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pStyle w:val="Heading4"/>
        <w:rPr/>
      </w:pPr>
      <w:r>
        <w:rPr/>
        <w:t xml:space="preserve">Kapitola 16 </w:t>
      </w:r>
    </w:p>
    <w:p>
      <w:pPr>
        <w:pStyle w:val="Heading1"/>
        <w:rPr/>
      </w:pPr>
      <w:r>
        <w:rPr/>
        <w:t>Léčivé Prvky v terapeutické komunitě</w:t>
      </w:r>
      <w:r>
        <w:rPr/>
        <w:t xml:space="preserve"> (</w:t>
      </w:r>
      <w:r>
        <w:rPr/>
        <w:t>Kooyman</w:t>
      </w:r>
      <w:r>
        <w:rPr/>
        <w:t>)</w:t>
      </w:r>
    </w:p>
    <w:p>
      <w:pPr>
        <w:pStyle w:val="Normal"/>
        <w:jc w:val="both"/>
        <w:rPr/>
      </w:pPr>
      <w:r>
        <w:rPr/>
        <w:t>Další soubor účinných faktorů terapeutické komunity, kterému musíme v této práci věnovat pozornost, pochází z okruhu evropských terapeutických komunit pro drogově závislé. Jeho autor, holandský psychiatr a adiktolog Martien Kooyman, jej zformuloval na základě přibližně dvacetiletých zkušeností  TK Emiliehoeve</w:t>
      </w:r>
      <w:r>
        <w:rPr/>
        <w:t>.</w:t>
      </w:r>
      <w:r>
        <w:rPr/>
        <w:t xml:space="preserve"> </w:t>
      </w:r>
    </w:p>
    <w:p>
      <w:pPr>
        <w:pStyle w:val="Normal"/>
        <w:jc w:val="both"/>
        <w:rPr/>
      </w:pPr>
      <w:r>
        <w:rPr/>
        <w:t xml:space="preserve">TK Emiliehoeve znamenala </w:t>
      </w:r>
      <w:r>
        <w:rPr/>
        <w:t xml:space="preserve">počátkem </w:t>
      </w:r>
      <w:r>
        <w:rPr/>
        <w:t xml:space="preserve">70. let minulého století „bod obratu“ ve vývoji evropských TK. Kooyman byl průkopníkem přenesení modelu „concept based“ TK </w:t>
      </w:r>
      <w:r>
        <w:rPr/>
        <w:t xml:space="preserve">pro drogově závislé </w:t>
      </w:r>
      <w:r>
        <w:rPr/>
        <w:t>z USA na evropskou půdu</w:t>
      </w:r>
      <w:r>
        <w:rPr/>
        <w:t>. Z</w:t>
      </w:r>
      <w:r>
        <w:rPr/>
        <w:t xml:space="preserve">de se hierarchické principy Daytop </w:t>
      </w:r>
      <w:r>
        <w:rPr/>
        <w:t>Village</w:t>
      </w:r>
      <w:r>
        <w:rPr/>
        <w:t>, odvozené ze Synanonu,</w:t>
      </w:r>
      <w:r>
        <w:rPr>
          <w:rStyle w:val="Footnotereference"/>
        </w:rPr>
        <w:footnoteReference w:id="0"/>
      </w:r>
      <w:r>
        <w:rPr/>
        <w:t xml:space="preserve"> setkávaly a střetávaly s evropskou terapeutickou kulturou a tradicí původních </w:t>
      </w:r>
      <w:r>
        <w:rPr/>
        <w:t xml:space="preserve">britských TK v linii Jonese a Maina </w:t>
      </w:r>
      <w:r>
        <w:rPr/>
        <w:t>i s</w:t>
      </w:r>
      <w:r>
        <w:rPr/>
        <w:t> poněkud chaotickou realizací této tradice v tehdejší praxi</w:t>
      </w:r>
      <w:r>
        <w:rPr/>
        <w:t>, v níž se mísily Ra</w:t>
      </w:r>
      <w:r>
        <w:rPr/>
        <w:t>p</w:t>
      </w:r>
      <w:r>
        <w:rPr/>
        <w:t>o</w:t>
      </w:r>
      <w:r>
        <w:rPr/>
        <w:t>portovy principy,  nepříliš šťastná aplikace  psychoanal</w:t>
      </w:r>
      <w:r>
        <w:rPr/>
        <w:t>ýzy</w:t>
      </w:r>
      <w:r>
        <w:rPr/>
        <w:t xml:space="preserve">, vliv antipsychiatrie a </w:t>
      </w:r>
      <w:r>
        <w:rPr/>
        <w:t>radikální sociální reformátorství s ideologií rovnosti klientů a terapeutů</w:t>
      </w:r>
      <w:r>
        <w:rPr/>
        <w:t>.</w:t>
      </w:r>
      <w:r>
        <w:rPr>
          <w:rStyle w:val="Footnotereference"/>
        </w:rPr>
        <w:footnoteReference w:id="1"/>
      </w:r>
      <w:r>
        <w:rPr/>
        <w:t xml:space="preserve"> </w:t>
      </w:r>
      <w:r>
        <w:rPr/>
        <w:t>Kooyman</w:t>
      </w:r>
      <w:r>
        <w:rPr/>
        <w:t xml:space="preserve">ova  TK v Emiliehoeve se zpočátku pokoušela v tomto </w:t>
      </w:r>
      <w:r>
        <w:rPr/>
        <w:t>pseudo</w:t>
      </w:r>
      <w:r>
        <w:rPr/>
        <w:t>demokratickém rámci pracovat s drogově závislými, po neúspěchu se transformovala do „hierarchického“ modelu, nicméně v modifikaci přijatelné pro Evropu.</w:t>
      </w:r>
      <w:r>
        <w:rPr>
          <w:rStyle w:val="Footnotereference"/>
        </w:rPr>
        <w:footnoteReference w:id="2"/>
      </w:r>
    </w:p>
    <w:p>
      <w:pPr>
        <w:pStyle w:val="Normal"/>
        <w:jc w:val="both"/>
        <w:rPr/>
      </w:pPr>
      <w:r>
        <w:rPr/>
        <w:t xml:space="preserve">Kooyman sám </w:t>
      </w:r>
      <w:r>
        <w:rPr/>
        <w:t>v u</w:t>
      </w:r>
      <w:r>
        <w:rPr/>
        <w:t xml:space="preserve">važování o TK pro závislé není fundamentalistou „hierarchického“ modelu </w:t>
      </w:r>
      <w:r>
        <w:rPr/>
        <w:t xml:space="preserve">přicházejícího z </w:t>
      </w:r>
      <w:r>
        <w:rPr/>
        <w:t>USA a pohybuje se v rámci konsensu vyjednaného na půdě WFTC.</w:t>
      </w:r>
      <w:r>
        <w:rPr>
          <w:rStyle w:val="Footnotereference"/>
        </w:rPr>
        <w:footnoteReference w:id="3"/>
      </w:r>
      <w:r>
        <w:rPr/>
        <w:t xml:space="preserve">  </w:t>
      </w:r>
      <w:r>
        <w:rPr/>
        <w:t>Jeho</w:t>
      </w:r>
      <w:r>
        <w:rPr/>
        <w:t xml:space="preserve"> práce prozrazuj</w:t>
      </w:r>
      <w:r>
        <w:rPr/>
        <w:t>e</w:t>
      </w:r>
      <w:r>
        <w:rPr/>
        <w:t xml:space="preserve"> erudici v  psychoterapeutických teoriích </w:t>
      </w:r>
      <w:r>
        <w:rPr/>
        <w:t>(</w:t>
      </w:r>
      <w:r>
        <w:rPr/>
        <w:t xml:space="preserve">k citovaným autorům patří </w:t>
      </w:r>
      <w:r>
        <w:rPr/>
        <w:t xml:space="preserve">např. </w:t>
      </w:r>
      <w:r>
        <w:rPr/>
        <w:t xml:space="preserve">John </w:t>
      </w:r>
      <w:r>
        <w:rPr/>
        <w:t xml:space="preserve">Bowlby, </w:t>
      </w:r>
      <w:r>
        <w:rPr/>
        <w:t xml:space="preserve">Erich H. </w:t>
      </w:r>
      <w:r>
        <w:rPr/>
        <w:t xml:space="preserve">Erikson, </w:t>
      </w:r>
      <w:r>
        <w:rPr/>
        <w:t xml:space="preserve">William </w:t>
      </w:r>
      <w:r>
        <w:rPr/>
        <w:t xml:space="preserve">Glaser, </w:t>
      </w:r>
      <w:r>
        <w:rPr/>
        <w:t>Arthu</w:t>
      </w:r>
      <w:r>
        <w:rPr/>
        <w:t xml:space="preserve">r </w:t>
      </w:r>
      <w:r>
        <w:rPr/>
        <w:t xml:space="preserve">Janov, </w:t>
      </w:r>
      <w:r>
        <w:rPr/>
        <w:t xml:space="preserve">Marion </w:t>
      </w:r>
      <w:r>
        <w:rPr/>
        <w:t xml:space="preserve">Krystal, </w:t>
      </w:r>
      <w:r>
        <w:rPr/>
        <w:t xml:space="preserve">Carl </w:t>
      </w:r>
      <w:r>
        <w:rPr/>
        <w:t xml:space="preserve">Rogers </w:t>
      </w:r>
      <w:r>
        <w:rPr/>
        <w:t>a</w:t>
      </w:r>
      <w:r>
        <w:rPr/>
        <w:t xml:space="preserve"> především </w:t>
      </w:r>
      <w:r>
        <w:rPr/>
        <w:t xml:space="preserve">Irvin </w:t>
      </w:r>
      <w:r>
        <w:rPr/>
        <w:t>Yalom)</w:t>
      </w:r>
      <w:r>
        <w:rPr>
          <w:rStyle w:val="Footnotereference"/>
        </w:rPr>
        <w:footnoteReference w:id="4"/>
      </w:r>
      <w:r>
        <w:rPr/>
        <w:t xml:space="preserve"> </w:t>
      </w:r>
      <w:r>
        <w:rPr/>
        <w:t xml:space="preserve">i  </w:t>
      </w:r>
      <w:r>
        <w:rPr/>
        <w:t>v </w:t>
      </w:r>
      <w:r>
        <w:rPr/>
        <w:t xml:space="preserve"> </w:t>
      </w:r>
      <w:r>
        <w:rPr/>
        <w:t xml:space="preserve">různých dimenzích bio-psycho-sociálního modelu závislosti od genetiky po </w:t>
      </w:r>
      <w:r>
        <w:rPr/>
        <w:t>hlediska systémové r</w:t>
      </w:r>
      <w:r>
        <w:rPr/>
        <w:t>odinn</w:t>
      </w:r>
      <w:r>
        <w:rPr/>
        <w:t>é</w:t>
      </w:r>
      <w:r>
        <w:rPr/>
        <w:t xml:space="preserve"> terapi</w:t>
      </w:r>
      <w:r>
        <w:rPr/>
        <w:t>e</w:t>
      </w:r>
      <w:r>
        <w:rPr/>
        <w:t xml:space="preserve">.  I když má rezervovaný postoj k psychoanalýze (což lze historicky pochopit),  nelze ho pokládat za úplný antipod Haigha a Camplingové, autorů, jimž byla věnována předchozí kapitola. Rovněž jeho výčet a výklad účinných faktorů TK má širší platnost, i když vychází z TK pro drogově závislé.  </w:t>
      </w:r>
    </w:p>
    <w:p>
      <w:pPr>
        <w:pStyle w:val="Normal"/>
        <w:jc w:val="both"/>
        <w:rPr/>
      </w:pPr>
      <w:r>
        <w:rPr/>
        <w:t>V</w:t>
      </w:r>
      <w:r>
        <w:rPr/>
        <w:t>e své knize „The therapeutic community for</w:t>
      </w:r>
      <w:r>
        <w:rPr/>
        <w:t xml:space="preserve"> addicts - Intimacy, parents involvement and treatment succes“ z r. 1993 formuluje </w:t>
      </w:r>
      <w:r>
        <w:rPr/>
        <w:t xml:space="preserve">Kooyman </w:t>
      </w:r>
      <w:r>
        <w:rPr/>
        <w:t>15 terapeutických faktorů v terapeutické komunitě a zdůrazňuje, že všechny jsou stejnou měrou potřebné pro efektivní proces terapie: když některý z nich chybí, bude léčba méně účinná.</w:t>
      </w:r>
    </w:p>
    <w:p>
      <w:pPr>
        <w:pStyle w:val="Normal"/>
        <w:jc w:val="both"/>
        <w:rPr/>
      </w:pPr>
      <w:r>
        <w:rPr/>
        <w:t>V následujícím textu uvádíme kursivou Kooymanův vlastní výklad těchto faktorů, doplněný komentářem autora této práce</w:t>
      </w:r>
      <w:r>
        <w:rPr>
          <w:rStyle w:val="Footnotereference"/>
        </w:rPr>
        <w:footnoteReference w:id="5"/>
      </w:r>
      <w:r>
        <w:rPr/>
        <w:t xml:space="preserve"> a </w:t>
      </w:r>
      <w:r>
        <w:rPr/>
        <w:t xml:space="preserve">ilustrovaný výsledky </w:t>
      </w:r>
      <w:r>
        <w:rPr/>
        <w:t>české výzkumné studi</w:t>
      </w:r>
      <w:r>
        <w:rPr/>
        <w:t>e</w:t>
      </w:r>
      <w:r>
        <w:rPr/>
        <w:t xml:space="preserve"> Kooymanových účinných faktorů (Hrubý, 2004), kterou stručně uvádíme na </w:t>
      </w:r>
      <w:r>
        <w:rPr/>
        <w:t>počátku následující</w:t>
      </w:r>
      <w:r>
        <w:rPr/>
        <w:t xml:space="preserve"> kapitoly</w:t>
      </w:r>
      <w:r>
        <w:rPr/>
        <w:t>.</w:t>
      </w:r>
      <w:r>
        <w:rPr>
          <w:rStyle w:val="Footnotereference"/>
        </w:rPr>
        <w:footnoteReference w:id="6"/>
      </w:r>
    </w:p>
    <w:p>
      <w:pPr>
        <w:pStyle w:val="Heading3"/>
        <w:rPr/>
      </w:pPr>
      <w:r>
        <w:rPr/>
        <w:t>1. TK jako náhradní rodina</w:t>
      </w:r>
    </w:p>
    <w:p>
      <w:pPr>
        <w:pStyle w:val="Styl4"/>
        <w:jc w:val="both"/>
        <w:rPr>
          <w:i/>
        </w:rPr>
      </w:pPr>
      <w:r>
        <w:rPr>
          <w:i/>
        </w:rPr>
        <w:t>TK slouží jako náhradní rodina a poskytuje klientovi možnost dospět v bezpečném prostředí.</w:t>
      </w:r>
    </w:p>
    <w:p>
      <w:pPr>
        <w:pStyle w:val="Normal"/>
        <w:jc w:val="both"/>
        <w:rPr/>
      </w:pPr>
      <w:r>
        <w:rPr/>
        <w:t>Pojetí TK jako rodiny či „náhradní rodiny“ v</w:t>
      </w:r>
      <w:r>
        <w:rPr/>
        <w:t> komunitách pro drogově závislé navazuje na tradici Synanonu a prvních z něj odvozených léčebn</w:t>
      </w:r>
      <w:r>
        <w:rPr/>
        <w:t xml:space="preserve">ých a </w:t>
      </w:r>
      <w:r>
        <w:rPr/>
        <w:t>resocializačních  center, jako byl Daytop Village</w:t>
      </w:r>
      <w:r>
        <w:rPr/>
        <w:t xml:space="preserve">. </w:t>
      </w:r>
      <w:r>
        <w:rPr/>
        <w:t xml:space="preserve">Převzala jej i TK Emiliehoeve, kde </w:t>
      </w:r>
      <w:r>
        <w:rPr/>
        <w:t>se například ranní setkání komunity zahajovalo pozdravem „dobrý den, rodino“, s</w:t>
      </w:r>
      <w:r>
        <w:rPr/>
        <w:t xml:space="preserve">tejně jako </w:t>
      </w:r>
      <w:r>
        <w:rPr/>
        <w:t xml:space="preserve">v TK linie Daytop či Phoenix. </w:t>
      </w:r>
      <w:r>
        <w:rPr/>
        <w:t>Jak uvádíme v ka</w:t>
      </w:r>
      <w:r>
        <w:rPr/>
        <w:t>pitole 3</w:t>
      </w:r>
      <w:r>
        <w:rPr>
          <w:rStyle w:val="Footnotereference"/>
        </w:rPr>
        <w:footnoteReference w:id="7"/>
      </w:r>
      <w:r>
        <w:rPr/>
        <w:t>, jednalo se spíše o patriarchální než moderní koncept rodiny, což korespondovalo s hierarchickým uspořádáním společenství</w:t>
      </w:r>
      <w:r>
        <w:rPr/>
        <w:t xml:space="preserve">. Tento rodinný model odpovídal </w:t>
      </w:r>
      <w:r>
        <w:rPr/>
        <w:t>potřeb</w:t>
      </w:r>
      <w:r>
        <w:rPr/>
        <w:t>ám</w:t>
      </w:r>
      <w:r>
        <w:rPr/>
        <w:t xml:space="preserve"> klientů</w:t>
      </w:r>
      <w:r>
        <w:rPr/>
        <w:t>, kteří svou původní rodinu často ztratili</w:t>
      </w:r>
      <w:r>
        <w:rPr/>
        <w:t>, vysvětloval roli a pozici klienta v TK („</w:t>
      </w:r>
      <w:r>
        <w:rPr/>
        <w:t>lidé v terapeutické komunitě jsou jejími členy – tak jako v rodině – a ne pacienty instituce“</w:t>
      </w:r>
      <w:r>
        <w:rPr>
          <w:rStyle w:val="Footnotereference"/>
        </w:rPr>
        <w:footnoteReference w:id="8"/>
      </w:r>
      <w:r>
        <w:rPr/>
        <w:t>)</w:t>
      </w:r>
      <w:r>
        <w:rPr/>
        <w:t xml:space="preserve">  a usnadňoval pochopení zákazu sexuálních vztahů mezi členy TK</w:t>
      </w:r>
      <w:r>
        <w:rPr/>
        <w:t xml:space="preserve"> jako incestních vztahů sui generis. </w:t>
      </w:r>
    </w:p>
    <w:p>
      <w:pPr>
        <w:pStyle w:val="Normal"/>
        <w:jc w:val="both"/>
        <w:rPr/>
      </w:pPr>
      <w:r>
        <w:rPr/>
        <w:t>Kooymanovu tezi je však třeba chápat i v psychoterapeutickém kontextu</w:t>
      </w:r>
      <w:r>
        <w:rPr/>
        <w:t>. „R</w:t>
      </w:r>
      <w:r>
        <w:rPr/>
        <w:t>e-parenting“ v</w:t>
      </w:r>
      <w:r>
        <w:rPr/>
        <w:t> </w:t>
      </w:r>
      <w:r>
        <w:rPr/>
        <w:t>terapeutické</w:t>
      </w:r>
      <w:r>
        <w:rPr/>
        <w:t xml:space="preserve"> situaci </w:t>
      </w:r>
      <w:r>
        <w:rPr/>
        <w:t xml:space="preserve">se </w:t>
      </w:r>
      <w:r>
        <w:rPr/>
        <w:t>hodnotí jako velmi významný a leckdy prvořadý účinný faktor psychoterapie</w:t>
      </w:r>
      <w:r>
        <w:rPr/>
        <w:t>. M</w:t>
      </w:r>
      <w:r>
        <w:rPr/>
        <w:t>ožnost osobního růstu v bezpečném prostředí</w:t>
      </w:r>
      <w:r>
        <w:rPr/>
        <w:t xml:space="preserve"> </w:t>
      </w:r>
      <w:r>
        <w:rPr/>
        <w:t xml:space="preserve">s využitím náhradních rodinných faktorů usnadňujících sekundární emoční vývoj je klíčovou myšlenkou </w:t>
      </w:r>
      <w:r>
        <w:rPr/>
        <w:t xml:space="preserve">léčebného působení TK podle </w:t>
      </w:r>
      <w:r>
        <w:rPr/>
        <w:t>autorů „demokratické“ linie TK (</w:t>
      </w:r>
      <w:r>
        <w:rPr/>
        <w:t>Haigh a Campling</w:t>
      </w:r>
      <w:r>
        <w:rPr>
          <w:rStyle w:val="Footnotereference"/>
        </w:rPr>
        <w:footnoteReference w:id="9"/>
      </w:r>
      <w:r>
        <w:rPr/>
        <w:t>)</w:t>
      </w:r>
      <w:r>
        <w:rPr/>
        <w:t>. „K</w:t>
      </w:r>
      <w:r>
        <w:rPr/>
        <w:t>orektivní rekapitulace primární rodiny</w:t>
      </w:r>
      <w:r>
        <w:rPr/>
        <w:t xml:space="preserve">“ se objevuje </w:t>
      </w:r>
      <w:r>
        <w:rPr/>
        <w:t xml:space="preserve">rovněž </w:t>
      </w:r>
      <w:r>
        <w:rPr/>
        <w:t>v</w:t>
      </w:r>
      <w:r>
        <w:rPr/>
        <w:t xml:space="preserve"> souboru </w:t>
      </w:r>
      <w:r>
        <w:rPr/>
        <w:t>účinných faktor</w:t>
      </w:r>
      <w:r>
        <w:rPr/>
        <w:t>ů</w:t>
      </w:r>
      <w:r>
        <w:rPr/>
        <w:t xml:space="preserve"> skupinové psychoterapie</w:t>
      </w:r>
      <w:r>
        <w:rPr/>
        <w:t xml:space="preserve"> v podání Yaloma</w:t>
      </w:r>
      <w:r>
        <w:rPr>
          <w:rStyle w:val="Footnotereference"/>
        </w:rPr>
        <w:footnoteReference w:id="10"/>
      </w:r>
      <w:r>
        <w:rPr/>
        <w:t xml:space="preserve">, </w:t>
      </w:r>
      <w:r>
        <w:rPr/>
        <w:t>na ně</w:t>
      </w:r>
      <w:r>
        <w:rPr/>
        <w:t>hož</w:t>
      </w:r>
      <w:r>
        <w:rPr/>
        <w:t xml:space="preserve"> se </w:t>
      </w:r>
      <w:r>
        <w:rPr/>
        <w:t xml:space="preserve">Kooyman </w:t>
      </w:r>
      <w:r>
        <w:rPr/>
        <w:t xml:space="preserve">často odvolává. </w:t>
      </w:r>
      <w:r>
        <w:rPr/>
        <w:t xml:space="preserve"> </w:t>
      </w:r>
      <w:r>
        <w:rPr/>
        <w:t xml:space="preserve">Bezpečné prostředí, přijetí, </w:t>
      </w:r>
      <w:r>
        <w:rPr/>
        <w:t xml:space="preserve">péče, </w:t>
      </w:r>
      <w:r>
        <w:rPr/>
        <w:t xml:space="preserve">pocit sounáležitosti a podpory patří k základním předpokladům zapojení klienta do terapeutického procesu.     </w:t>
      </w:r>
      <w:r>
        <w:rPr/>
        <w:t xml:space="preserve"> </w:t>
      </w:r>
      <w:r>
        <w:rPr/>
        <w:t xml:space="preserve"> </w:t>
      </w:r>
    </w:p>
    <w:p>
      <w:pPr>
        <w:pStyle w:val="Styl4"/>
        <w:jc w:val="both"/>
        <w:rPr/>
      </w:pPr>
      <w:r>
        <w:rPr/>
        <w:t xml:space="preserve">V české výzkumné studii </w:t>
      </w:r>
      <w:r>
        <w:rPr/>
        <w:t xml:space="preserve">Kooymanových účinných faktorů </w:t>
      </w:r>
      <w:r>
        <w:rPr/>
        <w:t>(Hrubý, 2004)</w:t>
      </w:r>
      <w:r>
        <w:rPr/>
        <w:t xml:space="preserve"> </w:t>
      </w:r>
      <w:r>
        <w:rPr/>
        <w:t xml:space="preserve">patří faktor „Bezpečné prostředí pro růst“ mezi ty, které klienti TK pokládají za „nejvíce pomáhající.“ </w:t>
      </w:r>
      <w:r>
        <w:rPr/>
        <w:t xml:space="preserve">  </w:t>
      </w:r>
    </w:p>
    <w:p>
      <w:pPr>
        <w:pStyle w:val="Styl4"/>
        <w:jc w:val="both"/>
        <w:rPr/>
      </w:pPr>
      <w:r>
        <w:rPr/>
        <w:t>Rodinný model TK má však i své hranice a jistá rizika, je-li chápán příliš doslovně. V jedné předchozí práci (Kalina, 2000) jsme upozornili, že rodinná metafora vystihuje pouze jeden rozměr TK a může být zavádějící</w:t>
      </w:r>
      <w:r>
        <w:rPr/>
        <w:t xml:space="preserve">. Pokud </w:t>
      </w:r>
      <w:r>
        <w:rPr/>
        <w:t xml:space="preserve">se v léčebných či  výcvikových komunitách </w:t>
      </w:r>
      <w:r>
        <w:rPr/>
        <w:t xml:space="preserve">klienti </w:t>
      </w:r>
      <w:r>
        <w:rPr/>
        <w:t xml:space="preserve">a terapeuti </w:t>
      </w:r>
      <w:r>
        <w:rPr/>
        <w:t xml:space="preserve">trvale </w:t>
      </w:r>
      <w:r>
        <w:rPr/>
        <w:t xml:space="preserve">a vzájemně </w:t>
      </w:r>
      <w:r>
        <w:rPr/>
        <w:t>fixují v roli dětí a rodičů</w:t>
      </w:r>
      <w:r>
        <w:rPr/>
        <w:t xml:space="preserve">, zabraňuje to růstu společenství i jednotlivců.  </w:t>
      </w:r>
      <w:r>
        <w:rPr/>
        <w:t xml:space="preserve"> </w:t>
      </w:r>
    </w:p>
    <w:p>
      <w:pPr>
        <w:pStyle w:val="Normal"/>
        <w:jc w:val="both"/>
        <w:rPr>
          <w:b/>
          <w:i/>
        </w:rPr>
      </w:pPr>
      <w:r>
        <w:rPr>
          <w:b/>
          <w:i/>
        </w:rPr>
        <w:t xml:space="preserve">2. </w:t>
      </w:r>
      <w:r>
        <w:rPr>
          <w:b/>
          <w:i/>
        </w:rPr>
        <w:t xml:space="preserve">Sjednocující </w:t>
      </w:r>
      <w:r>
        <w:rPr>
          <w:b/>
          <w:i/>
        </w:rPr>
        <w:t xml:space="preserve"> filosofie</w:t>
      </w:r>
    </w:p>
    <w:p>
      <w:pPr>
        <w:pStyle w:val="Normal"/>
        <w:numPr>
          <w:ilvl w:val="12"/>
          <w:numId w:val="0"/>
        </w:numPr>
        <w:jc w:val="both"/>
        <w:rPr>
          <w:i/>
        </w:rPr>
      </w:pPr>
      <w:r>
        <w:rPr>
          <w:i/>
        </w:rPr>
        <w:t>F</w:t>
      </w:r>
      <w:r>
        <w:rPr>
          <w:i/>
        </w:rPr>
        <w:t xml:space="preserve">ilosofie TK má být </w:t>
      </w:r>
      <w:r>
        <w:rPr>
          <w:i/>
        </w:rPr>
        <w:t>uc</w:t>
      </w:r>
      <w:r>
        <w:rPr>
          <w:i/>
        </w:rPr>
        <w:t xml:space="preserve">elená a </w:t>
      </w:r>
      <w:r>
        <w:rPr>
          <w:i/>
        </w:rPr>
        <w:t>s</w:t>
      </w:r>
      <w:r>
        <w:rPr>
          <w:i/>
        </w:rPr>
        <w:t>rozumitelná</w:t>
      </w:r>
      <w:r>
        <w:rPr>
          <w:rFonts w:cs="Arial"/>
          <w:i/>
        </w:rPr>
        <w:t>;</w:t>
      </w:r>
      <w:r>
        <w:rPr>
          <w:rFonts w:cs="Arial"/>
          <w:i/>
        </w:rPr>
        <w:t xml:space="preserve"> </w:t>
      </w:r>
      <w:r>
        <w:rPr>
          <w:i/>
        </w:rPr>
        <w:t xml:space="preserve">lze ji vysvětlit všem členům komunity tak, aby jí pochopili a podporovali. </w:t>
      </w:r>
    </w:p>
    <w:p>
      <w:pPr>
        <w:pStyle w:val="Normal"/>
        <w:numPr>
          <w:ilvl w:val="12"/>
          <w:numId w:val="0"/>
        </w:numPr>
        <w:jc w:val="both"/>
        <w:rPr/>
      </w:pPr>
      <w:r>
        <w:rPr/>
        <w:t xml:space="preserve">Mezi účinnými faktory psychoterapie v předchozích kapitolách jsme se setkali i s psychoedukací a </w:t>
      </w:r>
      <w:r>
        <w:rPr>
          <w:u w:val="single"/>
        </w:rPr>
        <w:t>výkladem poruchy</w:t>
      </w:r>
      <w:r>
        <w:rPr/>
        <w:t xml:space="preserve">, který by měl být pro pacienta či klienta v psychoterapii srozumitelný a dávat mu smysl (Kratochvíl, 1997).  </w:t>
      </w:r>
      <w:r>
        <w:rPr/>
        <w:t>Poskytnutí potřebných informací o metodě, jejím možném přínosu i o jejích rizicích a úskalích k tomu logicky patří a je zakotveno i v etických požadavcích na psychoterapeutickou profesi</w:t>
      </w:r>
      <w:r>
        <w:rPr/>
        <w:t>.</w:t>
      </w:r>
      <w:r>
        <w:rPr>
          <w:rStyle w:val="Footnotereference"/>
        </w:rPr>
        <w:footnoteReference w:id="11"/>
      </w:r>
      <w:r>
        <w:rPr/>
        <w:t xml:space="preserve"> </w:t>
      </w:r>
      <w:r>
        <w:rPr/>
        <w:t xml:space="preserve"> </w:t>
      </w:r>
      <w:r>
        <w:rPr/>
        <w:t xml:space="preserve">V terapeutické komunitě však jde nutně ještě o víc: filosofie TK, jak jsme ji popsali v kapitolách  </w:t>
      </w:r>
      <w:r>
        <w:rPr/>
        <w:t xml:space="preserve"> </w:t>
      </w:r>
      <w:r>
        <w:rPr/>
        <w:t xml:space="preserve">7 a 8, zahrnuje </w:t>
      </w:r>
      <w:r>
        <w:rPr/>
        <w:t>koncept člověka a jeho cesty, koncept poruchy</w:t>
      </w:r>
      <w:r>
        <w:rPr/>
        <w:t>,</w:t>
      </w:r>
      <w:r>
        <w:rPr/>
        <w:t xml:space="preserve">  změny </w:t>
      </w:r>
      <w:r>
        <w:rPr/>
        <w:t>a</w:t>
      </w:r>
      <w:r>
        <w:rPr/>
        <w:t xml:space="preserve"> úzdravy a  v neposlední řadě  také koncept společenství, ke kterému všichni patří, klienti i členové týmu. </w:t>
      </w:r>
      <w:r>
        <w:rPr/>
        <w:t xml:space="preserve"> Pohled na filosofii </w:t>
      </w:r>
      <w:r>
        <w:rPr/>
        <w:t xml:space="preserve">TK </w:t>
      </w:r>
      <w:r>
        <w:rPr/>
        <w:t xml:space="preserve">jako na element </w:t>
      </w:r>
      <w:r>
        <w:rPr/>
        <w:t xml:space="preserve">sjednocující všechny členy </w:t>
      </w:r>
      <w:r>
        <w:rPr/>
        <w:t>TK</w:t>
      </w:r>
      <w:r>
        <w:rPr/>
        <w:t>, tj. klienty i personál,</w:t>
      </w:r>
      <w:r>
        <w:rPr/>
        <w:t xml:space="preserve"> a požadavek ucelenosti a srozumitelnosti </w:t>
      </w:r>
      <w:r>
        <w:rPr/>
        <w:t xml:space="preserve">této filosofie </w:t>
      </w:r>
      <w:r>
        <w:rPr/>
        <w:t xml:space="preserve">je proto mimořádně důležitý, i když se v praxi nesnadno zvládá. </w:t>
      </w:r>
    </w:p>
    <w:p>
      <w:pPr>
        <w:pStyle w:val="Normal"/>
        <w:numPr>
          <w:ilvl w:val="12"/>
          <w:numId w:val="0"/>
        </w:numPr>
        <w:jc w:val="both"/>
        <w:rPr/>
      </w:pPr>
      <w:r>
        <w:rPr/>
        <w:t>„Hierarchické“ TK si vytvořily</w:t>
      </w:r>
      <w:r>
        <w:rPr/>
        <w:t xml:space="preserve">, zavedly </w:t>
      </w:r>
      <w:r>
        <w:rPr/>
        <w:t xml:space="preserve"> a dodnes v praxi používají </w:t>
      </w:r>
      <w:r>
        <w:rPr/>
        <w:t xml:space="preserve"> určité výkladové schéma o TK jako organizačním systému a metodě</w:t>
      </w:r>
      <w:r>
        <w:rPr/>
        <w:t xml:space="preserve">. S </w:t>
      </w:r>
      <w:r>
        <w:rPr/>
        <w:t>určitým odstupňováním podrobností používají v</w:t>
      </w:r>
      <w:r>
        <w:rPr/>
        <w:t xml:space="preserve"> soustavné </w:t>
      </w:r>
      <w:r>
        <w:rPr/>
        <w:t>edukaci klientů i ve vzdělávání personálu</w:t>
      </w:r>
      <w:r>
        <w:rPr/>
        <w:t xml:space="preserve"> (viz např. De Leon, 2000; </w:t>
      </w:r>
      <w:r>
        <w:rPr/>
        <w:t>TCC, 2006). T</w:t>
      </w:r>
      <w:r>
        <w:rPr/>
        <w:t>o</w:t>
      </w:r>
      <w:r>
        <w:rPr/>
        <w:t xml:space="preserve">to schéma </w:t>
      </w:r>
      <w:r>
        <w:rPr/>
        <w:t xml:space="preserve">je </w:t>
      </w:r>
      <w:r>
        <w:rPr/>
        <w:t>dosti z</w:t>
      </w:r>
      <w:r>
        <w:rPr/>
        <w:t>je</w:t>
      </w:r>
      <w:r>
        <w:rPr/>
        <w:t>dnodušující</w:t>
      </w:r>
      <w:r>
        <w:rPr>
          <w:rStyle w:val="Footnotereference"/>
        </w:rPr>
        <w:footnoteReference w:id="12"/>
      </w:r>
      <w:r>
        <w:rPr/>
        <w:t xml:space="preserve">, </w:t>
      </w:r>
      <w:r>
        <w:rPr/>
        <w:t xml:space="preserve"> </w:t>
      </w:r>
      <w:r>
        <w:rPr/>
        <w:t xml:space="preserve">požadavek ucelenosti a srozumitelnosti pro všechny však jistě splňuje. </w:t>
      </w:r>
      <w:r>
        <w:rPr/>
        <w:t xml:space="preserve"> </w:t>
      </w:r>
      <w:r>
        <w:rPr/>
        <w:t>„Dem</w:t>
      </w:r>
      <w:r>
        <w:rPr/>
        <w:t xml:space="preserve">okratické“ TK obvykle nepokládají za nutné </w:t>
      </w:r>
      <w:r>
        <w:rPr/>
        <w:t xml:space="preserve"> </w:t>
      </w:r>
      <w:r>
        <w:rPr/>
        <w:t>své klienty takto vyučovat či dokonce indoktrinovat a jsou také daleko  různorod</w:t>
      </w:r>
      <w:r>
        <w:rPr/>
        <w:t xml:space="preserve">ější </w:t>
      </w:r>
      <w:r>
        <w:rPr/>
        <w:t>v teoretické o</w:t>
      </w:r>
      <w:r>
        <w:rPr/>
        <w:t>rientaci</w:t>
      </w:r>
      <w:r>
        <w:rPr/>
        <w:t xml:space="preserve">, </w:t>
      </w:r>
      <w:r>
        <w:rPr/>
        <w:t xml:space="preserve"> v</w:t>
      </w:r>
      <w:r>
        <w:rPr/>
        <w:t xml:space="preserve"> organizačních souvislostech i v klientele, kterou se zabývají. </w:t>
      </w:r>
      <w:r>
        <w:rPr/>
        <w:t xml:space="preserve"> V návaznosti na Jonese však mnozí autoři tohoto okruhu (např. Campling a Haigh, 1999; Bloom, 2000) pokládají za nezbytné odstoupit od teoretických složitostí a mluvit o TK jazykem společným pro profesionály, klienty a jejich rodinné příslušníky.    </w:t>
      </w:r>
      <w:r>
        <w:rPr/>
        <w:t xml:space="preserve">Vedle výkladových schémat </w:t>
      </w:r>
      <w:r>
        <w:rPr/>
        <w:t xml:space="preserve">je v obou liniích TK </w:t>
      </w:r>
      <w:r>
        <w:rPr/>
        <w:t xml:space="preserve"> </w:t>
      </w:r>
      <w:r>
        <w:rPr/>
        <w:t>filosofie TK</w:t>
      </w:r>
      <w:r>
        <w:rPr/>
        <w:t xml:space="preserve"> v užším i širším slova smyslu </w:t>
      </w:r>
      <w:r>
        <w:rPr/>
        <w:t xml:space="preserve"> předávána v neformální kultuře „desater“ a citátů.</w:t>
      </w:r>
    </w:p>
    <w:p>
      <w:pPr>
        <w:pStyle w:val="Normal"/>
        <w:jc w:val="both"/>
        <w:rPr/>
      </w:pPr>
      <w:r>
        <w:rPr/>
        <w:t>Kennard (1998)</w:t>
      </w:r>
      <w:r>
        <w:rPr>
          <w:rStyle w:val="Footnotereference"/>
        </w:rPr>
        <w:footnoteReference w:id="13"/>
      </w:r>
      <w:r>
        <w:rPr/>
        <w:t xml:space="preserve"> uvádí několik základních společných prvků filosofie TK: </w:t>
      </w:r>
      <w:r>
        <w:rPr/>
        <w:t>(1) Potíže jednotlivce spočívají většinou v jeho vztahu s druhými lidmi. (2) Terapie je v podstatě proces učení. (3)  Všichni členové jsou si v základu rovni</w:t>
      </w:r>
      <w:r>
        <w:rPr/>
        <w:t xml:space="preserve"> (na úrovni lidské a psychologické.</w:t>
      </w:r>
      <w:r>
        <w:rPr/>
        <w:t xml:space="preserve"> (4)  Samotné členství v terapeutické komunitě představuje hodnotu. </w:t>
      </w:r>
    </w:p>
    <w:p>
      <w:pPr>
        <w:pStyle w:val="Heading3"/>
        <w:rPr/>
      </w:pPr>
      <w:r>
        <w:rPr/>
        <w:t>3. Terapeutická struktura</w:t>
      </w:r>
    </w:p>
    <w:p>
      <w:pPr>
        <w:pStyle w:val="Normal"/>
        <w:jc w:val="both"/>
        <w:rPr>
          <w:i/>
        </w:rPr>
      </w:pPr>
      <w:r>
        <w:rPr>
          <w:i/>
        </w:rPr>
        <w:t>P</w:t>
      </w:r>
      <w:r>
        <w:rPr>
          <w:i/>
        </w:rPr>
        <w:t xml:space="preserve">rostředí TK má jasnou strukturu, nejsou podávány nejasné nebo dvojznačné informace. Tato struktura nabízí klientům bezpečí a </w:t>
      </w:r>
      <w:r>
        <w:rPr>
          <w:i/>
        </w:rPr>
        <w:t xml:space="preserve">jistotu. </w:t>
      </w:r>
    </w:p>
    <w:p>
      <w:pPr>
        <w:pStyle w:val="Normal"/>
        <w:jc w:val="both"/>
        <w:rPr>
          <w:i/>
        </w:rPr>
      </w:pPr>
      <w:r>
        <w:rPr>
          <w:i/>
        </w:rPr>
        <w:t>TK má  málo</w:t>
      </w:r>
      <w:r>
        <w:rPr>
          <w:i/>
        </w:rPr>
        <w:t xml:space="preserve"> </w:t>
      </w:r>
      <w:r>
        <w:rPr>
          <w:i/>
        </w:rPr>
        <w:t>základních pravidel</w:t>
      </w:r>
      <w:r>
        <w:rPr>
          <w:i/>
        </w:rPr>
        <w:t xml:space="preserve">, ale tato pravidla jsou jasná a jednoznačná. </w:t>
      </w:r>
      <w:r>
        <w:rPr>
          <w:i/>
        </w:rPr>
        <w:t xml:space="preserve"> TK s velkým počtem pravidel je mrtvá. </w:t>
      </w:r>
    </w:p>
    <w:p>
      <w:pPr>
        <w:pStyle w:val="Normal"/>
        <w:jc w:val="both"/>
        <w:rPr>
          <w:i/>
        </w:rPr>
      </w:pPr>
      <w:r>
        <w:rPr>
          <w:i/>
        </w:rPr>
        <w:t>Prostředí TK nabízí dostatečný tlak k</w:t>
      </w:r>
      <w:r>
        <w:rPr>
          <w:i/>
        </w:rPr>
        <w:t> </w:t>
      </w:r>
      <w:r>
        <w:rPr>
          <w:i/>
        </w:rPr>
        <w:t>učení</w:t>
      </w:r>
      <w:r>
        <w:rPr>
          <w:i/>
        </w:rPr>
        <w:t xml:space="preserve"> </w:t>
      </w:r>
      <w:r>
        <w:rPr>
          <w:i/>
        </w:rPr>
        <w:t xml:space="preserve"> a současně dostatečnou strukturu</w:t>
      </w:r>
      <w:r>
        <w:rPr>
          <w:i/>
        </w:rPr>
        <w:t>, ale jen v </w:t>
      </w:r>
      <w:r>
        <w:rPr>
          <w:i/>
        </w:rPr>
        <w:t>nezbytn</w:t>
      </w:r>
      <w:r>
        <w:rPr>
          <w:i/>
        </w:rPr>
        <w:t xml:space="preserve">é míře, </w:t>
      </w:r>
      <w:r>
        <w:rPr>
          <w:i/>
        </w:rPr>
        <w:t>aby nedocházelo k „přeorganizovanosti.“ Musí být umožněno</w:t>
      </w:r>
      <w:r>
        <w:rPr/>
        <w:t xml:space="preserve"> </w:t>
      </w:r>
      <w:r>
        <w:rPr>
          <w:i/>
        </w:rPr>
        <w:t>dělat   chyby. Klienti se ve struktuře TK pohybují do pozic s narůstající zodpovědností podle úrovně jejich vývoje.</w:t>
      </w:r>
    </w:p>
    <w:p>
      <w:pPr>
        <w:pStyle w:val="Styl4"/>
        <w:jc w:val="both"/>
        <w:rPr>
          <w:rFonts w:cs="Arial"/>
        </w:rPr>
      </w:pPr>
      <w:r>
        <w:rPr/>
        <w:t>S</w:t>
      </w:r>
      <w:r>
        <w:rPr/>
        <w:t xml:space="preserve"> významem </w:t>
      </w:r>
      <w:r>
        <w:rPr/>
        <w:t>struktury a pravidel</w:t>
      </w:r>
      <w:r>
        <w:rPr/>
        <w:t xml:space="preserve"> pro </w:t>
      </w:r>
      <w:r>
        <w:rPr/>
        <w:t>zajiš</w:t>
      </w:r>
      <w:r>
        <w:rPr/>
        <w:t xml:space="preserve">tění </w:t>
      </w:r>
      <w:r>
        <w:rPr/>
        <w:t>bezpečí a jistot</w:t>
      </w:r>
      <w:r>
        <w:rPr/>
        <w:t xml:space="preserve">y klientů TK </w:t>
      </w:r>
      <w:r>
        <w:rPr/>
        <w:t>jsme se v této práci už opakovaně setkali, mimo jiné v</w:t>
      </w:r>
      <w:r>
        <w:rPr/>
        <w:t> </w:t>
      </w:r>
      <w:r>
        <w:rPr/>
        <w:t>psychoanalytické</w:t>
      </w:r>
      <w:r>
        <w:rPr/>
        <w:t>m podání v předchozí kapitole</w:t>
      </w:r>
      <w:r>
        <w:rPr/>
        <w:t>.</w:t>
      </w:r>
      <w:r>
        <w:rPr>
          <w:rStyle w:val="Footnotereference"/>
        </w:rPr>
        <w:footnoteReference w:id="14"/>
      </w:r>
      <w:r>
        <w:rPr/>
        <w:t xml:space="preserve"> </w:t>
      </w:r>
      <w:r>
        <w:rPr/>
        <w:t xml:space="preserve">K faktorům přijetí, podpory a péče zde přistupují ty elementy TK, které vytvářejí strukturu a řád: strukturovaný  denní program, jasná pravidla a hranice, tj. to, k čemu odkazuje pojem „containment“ ve smyslu </w:t>
      </w:r>
      <w:r>
        <w:rPr/>
        <w:t>ohraničování</w:t>
      </w:r>
      <w:r>
        <w:rPr/>
        <w:t xml:space="preserve"> </w:t>
      </w:r>
      <w:r>
        <w:rPr/>
        <w:t>a atributy „otcovského principu“:</w:t>
      </w:r>
      <w:r>
        <w:rPr/>
        <w:t xml:space="preserve"> </w:t>
      </w:r>
      <w:r>
        <w:rPr>
          <w:rFonts w:cs="Arial"/>
        </w:rPr>
        <w:t xml:space="preserve">morálka spravedlnosti, řád, zákon, struktura, pojmový jazyk. </w:t>
      </w:r>
    </w:p>
    <w:p>
      <w:pPr>
        <w:pStyle w:val="Normal"/>
        <w:numPr>
          <w:ilvl w:val="12"/>
          <w:numId w:val="0"/>
        </w:numPr>
        <w:jc w:val="both"/>
        <w:rPr/>
      </w:pPr>
      <w:r>
        <w:rPr/>
        <w:t xml:space="preserve"> Kooyman zde upozorňuje i na riziko znehodnocení tohoto principu</w:t>
      </w:r>
      <w:r>
        <w:rPr/>
        <w:t>, které může vést k degeneraci společenství. Čím více pravidel určitá komunita má, tím je menší prostor pro sociální učení.</w:t>
      </w:r>
      <w:r>
        <w:rPr>
          <w:rStyle w:val="Footnotereference"/>
        </w:rPr>
        <w:footnoteReference w:id="15"/>
      </w:r>
      <w:r>
        <w:rPr/>
        <w:t xml:space="preserve"> </w:t>
      </w:r>
      <w:r>
        <w:rPr/>
        <w:t xml:space="preserve"> </w:t>
      </w:r>
      <w:r>
        <w:rPr/>
        <w:t xml:space="preserve"> </w:t>
      </w:r>
    </w:p>
    <w:p>
      <w:pPr>
        <w:pStyle w:val="Normal"/>
        <w:jc w:val="both"/>
        <w:rPr>
          <w:b/>
          <w:i/>
        </w:rPr>
      </w:pPr>
      <w:r>
        <w:rPr>
          <w:b/>
          <w:i/>
        </w:rPr>
        <w:t>4</w:t>
      </w:r>
      <w:r>
        <w:rPr>
          <w:b/>
          <w:i/>
        </w:rPr>
        <w:t>. Rovnováha mezi demokracií, terapií a autonomií jednotlivce</w:t>
      </w:r>
    </w:p>
    <w:p>
      <w:pPr>
        <w:pStyle w:val="Normal"/>
        <w:jc w:val="both"/>
        <w:rPr>
          <w:i/>
        </w:rPr>
      </w:pPr>
      <w:r>
        <w:rPr>
          <w:i/>
        </w:rPr>
        <w:t>V</w:t>
      </w:r>
      <w:r>
        <w:rPr>
          <w:i/>
        </w:rPr>
        <w:t xml:space="preserve"> TK musí být tato rovnováha neustále udržována. Demokracií je míněn způsob delegováni moci všem osobám, aby rozhodnutím většiny přijímali rozhodnutí a řešili konflikty. Ale </w:t>
      </w:r>
      <w:r>
        <w:rPr>
          <w:i/>
        </w:rPr>
        <w:t xml:space="preserve">pokud by </w:t>
      </w:r>
      <w:r>
        <w:rPr>
          <w:i/>
        </w:rPr>
        <w:t>TK</w:t>
      </w:r>
      <w:r>
        <w:rPr>
          <w:i/>
        </w:rPr>
        <w:t xml:space="preserve"> </w:t>
      </w:r>
      <w:r>
        <w:rPr>
          <w:i/>
        </w:rPr>
        <w:t xml:space="preserve">delegovala všechnu moc klientům, kteří jsou oproti personálu v přesile, </w:t>
      </w:r>
      <w:r>
        <w:rPr>
          <w:i/>
        </w:rPr>
        <w:t xml:space="preserve">mohla </w:t>
      </w:r>
      <w:r>
        <w:rPr>
          <w:i/>
        </w:rPr>
        <w:t xml:space="preserve">by se  anti-terapeutickou, vytvářet kolektivní obranu proti terapii a </w:t>
      </w:r>
      <w:r>
        <w:rPr>
          <w:i/>
        </w:rPr>
        <w:t xml:space="preserve">podporovat </w:t>
      </w:r>
      <w:r>
        <w:rPr>
          <w:i/>
        </w:rPr>
        <w:t>vyhýb</w:t>
      </w:r>
      <w:r>
        <w:rPr>
          <w:i/>
        </w:rPr>
        <w:t xml:space="preserve">ání </w:t>
      </w:r>
      <w:r>
        <w:rPr>
          <w:i/>
        </w:rPr>
        <w:t>se konfliktům. Terapie je v TK povinná pro všechny a klienti se nemohou rozhodovat, zda se jí účastní nebo ne. Autonomie jednotlivce je omezena skutečností, že je součástí skupiny.</w:t>
      </w:r>
    </w:p>
    <w:p>
      <w:pPr>
        <w:pStyle w:val="Normal"/>
        <w:numPr>
          <w:ilvl w:val="12"/>
          <w:numId w:val="0"/>
        </w:numPr>
        <w:jc w:val="both"/>
        <w:rPr/>
      </w:pPr>
      <w:r>
        <w:rPr/>
        <w:t>Problémem demokracie v TK a spory o její podstatu se v této práci opakovaně zabýváme.</w:t>
      </w:r>
      <w:r>
        <w:rPr>
          <w:rStyle w:val="Footnotereference"/>
        </w:rPr>
        <w:footnoteReference w:id="16"/>
      </w:r>
      <w:r>
        <w:rPr/>
        <w:t xml:space="preserve"> </w:t>
      </w:r>
      <w:r>
        <w:rPr/>
        <w:t>Podobně jako novodobí autoři z okruhu „demokratických“ TK se zde Kooyman n</w:t>
      </w:r>
      <w:r>
        <w:rPr/>
        <w:t xml:space="preserve">a základě </w:t>
      </w:r>
      <w:r>
        <w:rPr/>
        <w:t>s</w:t>
      </w:r>
      <w:r>
        <w:rPr/>
        <w:t xml:space="preserve">vých </w:t>
      </w:r>
      <w:r>
        <w:rPr/>
        <w:t xml:space="preserve">zkušeností z TK Emiliehoeve </w:t>
      </w:r>
      <w:r>
        <w:rPr/>
        <w:t xml:space="preserve">vrací k </w:t>
      </w:r>
      <w:r>
        <w:rPr/>
        <w:t>původní</w:t>
      </w:r>
      <w:r>
        <w:rPr/>
        <w:t>mu</w:t>
      </w:r>
      <w:r>
        <w:rPr/>
        <w:t xml:space="preserve"> Jonesov</w:t>
      </w:r>
      <w:r>
        <w:rPr/>
        <w:t>u</w:t>
      </w:r>
      <w:r>
        <w:rPr/>
        <w:t xml:space="preserve"> pojetí </w:t>
      </w:r>
      <w:r>
        <w:rPr/>
        <w:t xml:space="preserve">omezené </w:t>
      </w:r>
      <w:r>
        <w:rPr/>
        <w:t>demokracie v TK</w:t>
      </w:r>
      <w:r>
        <w:rPr/>
        <w:t xml:space="preserve"> s terapeutickou distribucí pravomocí a odpovědnosti</w:t>
      </w:r>
      <w:r>
        <w:rPr/>
        <w:t>. Demokracie v TK nesmí jít proti základnímu „metapravidlu“, že terapeutická komunita musí zůstat terapeutickou komunitou,</w:t>
      </w:r>
      <w:r>
        <w:rPr>
          <w:rStyle w:val="Footnotereference"/>
        </w:rPr>
        <w:footnoteReference w:id="17"/>
      </w:r>
      <w:r>
        <w:rPr/>
        <w:t xml:space="preserve"> což se </w:t>
      </w:r>
      <w:r>
        <w:rPr/>
        <w:t xml:space="preserve">stalo </w:t>
      </w:r>
      <w:r>
        <w:rPr/>
        <w:t>právě v</w:t>
      </w:r>
      <w:r>
        <w:rPr/>
        <w:t> </w:t>
      </w:r>
      <w:r>
        <w:rPr/>
        <w:t>Emiliehoeve</w:t>
      </w:r>
      <w:r>
        <w:rPr/>
        <w:t xml:space="preserve"> a nejen tam. </w:t>
      </w:r>
      <w:r>
        <w:rPr/>
        <w:t xml:space="preserve"> </w:t>
      </w:r>
    </w:p>
    <w:p>
      <w:pPr>
        <w:pStyle w:val="Normal"/>
        <w:jc w:val="both"/>
        <w:rPr/>
      </w:pPr>
      <w:r>
        <w:rPr/>
        <w:t>P</w:t>
      </w:r>
      <w:r>
        <w:rPr/>
        <w:t>roblém „jednotlivec versus skupina</w:t>
      </w:r>
      <w:r>
        <w:rPr/>
        <w:t>“ reflektují autoři obou linií TK v tom smyslu, že pouze fungující skupina či společenství může zajistit prospěch jednotlivce. Přirozeně zde může docházet k napětí, avšak „n</w:t>
      </w:r>
      <w:r>
        <w:rPr/>
        <w:t>apětí mezi jednotlivcem a komunitou se využívá ve prospěch jedince a změny takto dosažené se využívá pro další úkoly při integraci dotyčného do společnosti</w:t>
      </w:r>
      <w:r>
        <w:rPr/>
        <w:t>“ (definice WFTC)</w:t>
      </w:r>
      <w:r>
        <w:rPr/>
        <w:t xml:space="preserve">. </w:t>
      </w:r>
    </w:p>
    <w:p>
      <w:pPr>
        <w:pStyle w:val="Styl4"/>
        <w:jc w:val="both"/>
        <w:rPr/>
      </w:pPr>
      <w:r>
        <w:rPr/>
        <w:t xml:space="preserve">Respondenti </w:t>
      </w:r>
      <w:r>
        <w:rPr/>
        <w:t>české výzkumné studi</w:t>
      </w:r>
      <w:r>
        <w:rPr/>
        <w:t>e</w:t>
      </w:r>
      <w:r>
        <w:rPr/>
        <w:t xml:space="preserve"> (</w:t>
      </w:r>
      <w:r>
        <w:rPr/>
        <w:t xml:space="preserve">viz </w:t>
      </w:r>
      <w:r>
        <w:rPr/>
        <w:t>závěr této kapitoly</w:t>
      </w:r>
      <w:r>
        <w:rPr/>
        <w:t xml:space="preserve">) uvádějí </w:t>
      </w:r>
      <w:r>
        <w:rPr/>
        <w:t>ten</w:t>
      </w:r>
      <w:r>
        <w:rPr/>
        <w:t xml:space="preserve">to faktor </w:t>
      </w:r>
      <w:r>
        <w:rPr/>
        <w:t xml:space="preserve">jako </w:t>
      </w:r>
      <w:r>
        <w:rPr/>
        <w:t>„nej</w:t>
      </w:r>
      <w:r>
        <w:rPr/>
        <w:t xml:space="preserve">méně </w:t>
      </w:r>
      <w:r>
        <w:rPr/>
        <w:t>pomáhající“</w:t>
      </w:r>
      <w:r>
        <w:rPr/>
        <w:t xml:space="preserve"> z celého Kooymanova souboru. </w:t>
      </w:r>
      <w:r>
        <w:rPr/>
        <w:t xml:space="preserve"> </w:t>
      </w:r>
      <w:r>
        <w:rPr/>
        <w:t xml:space="preserve">Zjevně patří mezi strukturální prvky, které udržuje personál, zatímco klientům je </w:t>
      </w:r>
      <w:r>
        <w:rPr/>
        <w:t xml:space="preserve">méně zjevný a </w:t>
      </w:r>
      <w:r>
        <w:rPr/>
        <w:t xml:space="preserve">jeho dopad </w:t>
      </w:r>
      <w:r>
        <w:rPr/>
        <w:t xml:space="preserve">na ně </w:t>
      </w:r>
      <w:r>
        <w:rPr/>
        <w:t xml:space="preserve">méně </w:t>
      </w:r>
      <w:r>
        <w:rPr/>
        <w:t xml:space="preserve">přímý. </w:t>
      </w:r>
      <w:r>
        <w:rPr/>
        <w:t xml:space="preserve"> To neznamená, že by měl být podceňován.  </w:t>
      </w:r>
    </w:p>
    <w:p>
      <w:pPr>
        <w:pStyle w:val="Normal"/>
        <w:jc w:val="both"/>
        <w:rPr>
          <w:b/>
          <w:i/>
        </w:rPr>
      </w:pPr>
      <w:r>
        <w:rPr>
          <w:b/>
          <w:i/>
        </w:rPr>
        <w:t>5. Sociální učení prostřednictvím sociální interakce</w:t>
      </w:r>
    </w:p>
    <w:p>
      <w:pPr>
        <w:pStyle w:val="Normal"/>
        <w:jc w:val="both"/>
        <w:rPr>
          <w:i/>
        </w:rPr>
      </w:pPr>
      <w:r>
        <w:rPr>
          <w:i/>
        </w:rPr>
        <w:t>V</w:t>
      </w:r>
      <w:r>
        <w:rPr>
          <w:i/>
        </w:rPr>
        <w:t xml:space="preserve">  TK probíhá sociální učení formou sociální interakce. Klient TK se nesmí izolovat. Má být aktivně vtažen a nepřetržitě dostávat informace o svém chování a postojích. Klient se učí fungovat v různých sociálních rolích. Prostřednictvím zpětných vazeb získává náhled na své chování, učí se činit rozhodnutí a přijímat důsledky svých rozhodnutí (nést za ně odpovědnost).  Klienti ve vyšších fázích slouží jako modely rolí – vzory pro začínající klienty.  </w:t>
      </w:r>
    </w:p>
    <w:p>
      <w:pPr>
        <w:pStyle w:val="Normal"/>
        <w:numPr>
          <w:ilvl w:val="12"/>
          <w:numId w:val="0"/>
        </w:numPr>
        <w:jc w:val="both"/>
        <w:rPr>
          <w:rFonts w:cs="Arial"/>
        </w:rPr>
      </w:pPr>
      <w:r>
        <w:rPr/>
        <w:t>Sociální</w:t>
      </w:r>
      <w:r>
        <w:rPr/>
        <w:t xml:space="preserve">, resp. interpersonální učení </w:t>
      </w:r>
      <w:r>
        <w:rPr/>
        <w:t xml:space="preserve"> je jedním ze základních principů a klíčových účinných faktorů TK</w:t>
      </w:r>
      <w:r>
        <w:rPr/>
        <w:t xml:space="preserve"> (Jones, 19</w:t>
      </w:r>
      <w:r>
        <w:rPr/>
        <w:t>53</w:t>
      </w:r>
      <w:r>
        <w:rPr>
          <w:rFonts w:cs="Arial"/>
        </w:rPr>
        <w:t>;</w:t>
      </w:r>
      <w:r>
        <w:rPr/>
        <w:t xml:space="preserve"> Kratochvíl, 1979</w:t>
      </w:r>
      <w:r>
        <w:rPr>
          <w:rFonts w:cs="Arial"/>
        </w:rPr>
        <w:t>; Campling a Haig, 1999)</w:t>
      </w:r>
      <w:r>
        <w:rPr>
          <w:rFonts w:cs="Arial"/>
        </w:rPr>
        <w:t xml:space="preserve"> i skupinové psychoterapie (Yalom</w:t>
      </w:r>
      <w:r>
        <w:rPr>
          <w:rFonts w:cs="Arial"/>
        </w:rPr>
        <w:t>,</w:t>
      </w:r>
      <w:r>
        <w:rPr>
          <w:rFonts w:cs="Arial"/>
        </w:rPr>
        <w:t xml:space="preserve"> 1999; Kratochvíl, 2005).</w:t>
      </w:r>
      <w:r>
        <w:rPr>
          <w:rStyle w:val="Footnotereference"/>
          <w:rFonts w:cs="Arial"/>
        </w:rPr>
        <w:footnoteReference w:id="18"/>
      </w:r>
      <w:r>
        <w:rPr>
          <w:rFonts w:cs="Arial"/>
        </w:rPr>
        <w:t xml:space="preserve"> V některých dalších svých terapeutických faktorech </w:t>
      </w:r>
      <w:r>
        <w:rPr>
          <w:rFonts w:cs="Arial"/>
        </w:rPr>
        <w:t xml:space="preserve">(např. 6, 9,11, 12) </w:t>
      </w:r>
      <w:r>
        <w:rPr>
          <w:rFonts w:cs="Arial"/>
        </w:rPr>
        <w:t xml:space="preserve">Kooyman specifikuje jeho jednotlivé aspekty. </w:t>
      </w:r>
      <w:r>
        <w:rPr>
          <w:rFonts w:cs="Arial"/>
        </w:rPr>
        <w:t xml:space="preserve"> V jeho výkladu  k uvedenému faktoru nacházíme elementy z Yalomova komplexu interpersonálního učení (zpětné vazby, </w:t>
      </w:r>
      <w:r>
        <w:rPr>
          <w:rFonts w:cs="Arial"/>
        </w:rPr>
        <w:t xml:space="preserve">náhled, převzetí odpovědnosti, </w:t>
      </w:r>
      <w:r>
        <w:rPr>
          <w:rFonts w:cs="Arial"/>
        </w:rPr>
        <w:t>učení nápodobou)</w:t>
      </w:r>
      <w:r>
        <w:rPr>
          <w:rFonts w:cs="Arial"/>
        </w:rPr>
        <w:t>.</w:t>
      </w:r>
    </w:p>
    <w:p>
      <w:pPr>
        <w:pStyle w:val="Styl4"/>
        <w:jc w:val="both"/>
        <w:rPr/>
      </w:pPr>
      <w:r>
        <w:rPr/>
        <w:t xml:space="preserve">Skupina klientů s pobytem delším než 6 měsíců v citované české výzkumné studii řadí tento faktor na druhé místo  mezi „nejvíce pomáhajícími.“   </w:t>
      </w:r>
    </w:p>
    <w:p>
      <w:pPr>
        <w:pStyle w:val="Heading3"/>
        <w:rPr/>
      </w:pPr>
      <w:r>
        <w:rPr/>
        <w:t>6. Učení prostřednictvím krizí</w:t>
      </w:r>
    </w:p>
    <w:p>
      <w:pPr>
        <w:pStyle w:val="Normal"/>
        <w:jc w:val="both"/>
        <w:rPr>
          <w:i/>
        </w:rPr>
      </w:pPr>
      <w:r>
        <w:rPr>
          <w:i/>
        </w:rPr>
        <w:t>U</w:t>
      </w:r>
      <w:r>
        <w:rPr>
          <w:i/>
        </w:rPr>
        <w:t xml:space="preserve">čení v TK je podporováno prožíváním krizových situací. Proces dozrávání je chápán jako série krizí, v nichž se dosavadní vzorce chování dezintegrují a po zvládnutí krize dochází k reintegraci na vyšší úrovni. </w:t>
      </w:r>
    </w:p>
    <w:p>
      <w:pPr>
        <w:pStyle w:val="Styl4"/>
        <w:jc w:val="both"/>
        <w:rPr/>
      </w:pPr>
      <w:r>
        <w:rPr/>
        <w:t xml:space="preserve">Učení prostřednictvím krizí lze chápat jako součást komplexního procesu sociálního učení (či interpersonálního učení podle Yaloma). </w:t>
      </w:r>
      <w:r>
        <w:rPr/>
        <w:t xml:space="preserve">Kooyman zde </w:t>
      </w:r>
      <w:r>
        <w:rPr/>
        <w:t>s odvoláním na vývojo</w:t>
      </w:r>
      <w:r>
        <w:rPr/>
        <w:t xml:space="preserve">vé konflikty Eriksona (1999) upozorňuje na význam krizí v osobním růstu a dozrávání i v terapeutickém vývoji, </w:t>
      </w:r>
      <w:r>
        <w:rPr/>
        <w:t xml:space="preserve">podobně jako Haigh a </w:t>
      </w:r>
      <w:r>
        <w:rPr/>
        <w:t xml:space="preserve">Campling </w:t>
      </w:r>
      <w:r>
        <w:rPr/>
        <w:t>v předchozí kapitole</w:t>
      </w:r>
      <w:r>
        <w:rPr/>
        <w:t xml:space="preserve">. </w:t>
      </w:r>
      <w:r>
        <w:rPr/>
        <w:t xml:space="preserve"> </w:t>
      </w:r>
      <w:r>
        <w:rPr/>
        <w:t>Je zajímavé, že někteří autoři z okruhu současných britských TK pro vývojové poruchy a poruchy osobnosti (Bloom, 1999</w:t>
      </w:r>
      <w:r>
        <w:rPr>
          <w:rFonts w:cs="Arial"/>
        </w:rPr>
        <w:t>; Farragher a Yanosy, 2005</w:t>
      </w:r>
      <w:r>
        <w:rPr/>
        <w:t xml:space="preserve">) formulují tezi o „kreativním chaosu“ v terapeutické komunitě, který má prostřednictvím přechodné dezintegrace vést k dosažení nové roviny integrace osobnosti. </w:t>
      </w:r>
    </w:p>
    <w:p>
      <w:pPr>
        <w:pStyle w:val="Styl4"/>
        <w:jc w:val="both"/>
        <w:rPr/>
      </w:pPr>
      <w:r>
        <w:rPr/>
        <w:t xml:space="preserve">Krize a poučení z krize </w:t>
      </w:r>
      <w:r>
        <w:rPr/>
        <w:t xml:space="preserve">je pro </w:t>
      </w:r>
      <w:r>
        <w:rPr/>
        <w:t xml:space="preserve">klienty TK zjevně </w:t>
      </w:r>
      <w:r>
        <w:rPr/>
        <w:t xml:space="preserve">velmi významné na emoční i kognitivně behaviorální rovině: </w:t>
      </w:r>
      <w:r>
        <w:rPr/>
        <w:t>citovan</w:t>
      </w:r>
      <w:r>
        <w:rPr/>
        <w:t>ý</w:t>
      </w:r>
      <w:r>
        <w:rPr/>
        <w:t xml:space="preserve"> výzkum Hrubého přisuzuj</w:t>
      </w:r>
      <w:r>
        <w:rPr/>
        <w:t>e</w:t>
      </w:r>
      <w:r>
        <w:rPr/>
        <w:t xml:space="preserve"> faktoru </w:t>
      </w:r>
      <w:r>
        <w:rPr/>
        <w:t>„u</w:t>
      </w:r>
      <w:r>
        <w:rPr/>
        <w:t xml:space="preserve">čení prostřednictvím krizí“  </w:t>
      </w:r>
      <w:r>
        <w:rPr/>
        <w:t xml:space="preserve">první místo  mezi „nejvíce pomáhajícími.“   </w:t>
      </w:r>
    </w:p>
    <w:p>
      <w:pPr>
        <w:pStyle w:val="Normal"/>
        <w:jc w:val="both"/>
        <w:rPr>
          <w:b/>
          <w:i/>
        </w:rPr>
      </w:pPr>
      <w:r>
        <w:rPr>
          <w:b/>
          <w:i/>
        </w:rPr>
        <w:t>7. Terapeutický dopad všech aktivit na komunitu</w:t>
      </w:r>
    </w:p>
    <w:p>
      <w:pPr>
        <w:pStyle w:val="Normal"/>
        <w:jc w:val="both"/>
        <w:rPr>
          <w:i/>
        </w:rPr>
      </w:pPr>
      <w:r>
        <w:rPr>
          <w:i/>
        </w:rPr>
        <w:t>V</w:t>
      </w:r>
      <w:r>
        <w:rPr>
          <w:i/>
        </w:rPr>
        <w:t xml:space="preserve">še, co se </w:t>
      </w:r>
      <w:r>
        <w:rPr>
          <w:i/>
        </w:rPr>
        <w:t xml:space="preserve">děje </w:t>
      </w:r>
      <w:r>
        <w:rPr>
          <w:i/>
        </w:rPr>
        <w:t xml:space="preserve">v TK, je terapie. Členové TK si musí připravovat stravu, pracovat, starat se o sebe i o dům a musí se proto učit zvládat rozličné role. </w:t>
      </w:r>
    </w:p>
    <w:p>
      <w:pPr>
        <w:pStyle w:val="Normal"/>
        <w:jc w:val="both"/>
        <w:rPr>
          <w:sz w:val="22"/>
          <w:highlight w:val="green"/>
        </w:rPr>
      </w:pPr>
      <w:r>
        <w:rPr/>
        <w:t xml:space="preserve">Zapojení prvků každodenního </w:t>
      </w:r>
      <w:r>
        <w:rPr/>
        <w:t xml:space="preserve">společného </w:t>
      </w:r>
      <w:r>
        <w:rPr/>
        <w:t>života do procesu osobního růstu a sociálního učení je jedinečnou charakteristikou TK</w:t>
      </w:r>
      <w:r>
        <w:rPr/>
        <w:t xml:space="preserve"> a součástí její definice např. u Kratochvíla (1979).  Nutné je ovšem udržet rovinu terapeutické komunikace, na níž je každodenní život  terapeuticky reflektován. </w:t>
      </w:r>
      <w:r>
        <w:rPr/>
        <w:t>Vzájemné potencování těchto dvou rovin („terapie“ a „společenství“ v Mainově smyslu</w:t>
      </w:r>
      <w:r>
        <w:rPr>
          <w:rStyle w:val="Footnotereference"/>
        </w:rPr>
        <w:footnoteReference w:id="19"/>
      </w:r>
      <w:r>
        <w:rPr/>
        <w:t xml:space="preserve">) i případné napětí mezi nimi lze pokládat za podstatu terapeutického působení </w:t>
      </w:r>
      <w:r>
        <w:rPr/>
        <w:t xml:space="preserve">  </w:t>
      </w:r>
      <w:r>
        <w:rPr/>
        <w:t xml:space="preserve">TK (viz Kalina, 2000). </w:t>
      </w:r>
    </w:p>
    <w:p>
      <w:pPr>
        <w:pStyle w:val="Heading3"/>
        <w:rPr/>
      </w:pPr>
      <w:r>
        <w:rPr/>
        <w:t xml:space="preserve">8. Zodpovědnost </w:t>
      </w:r>
      <w:r>
        <w:rPr/>
        <w:t>klientů</w:t>
      </w:r>
      <w:r>
        <w:rPr>
          <w:caps/>
        </w:rPr>
        <w:t xml:space="preserve"> </w:t>
      </w:r>
      <w:r>
        <w:rPr/>
        <w:t>za jejich chování</w:t>
      </w:r>
    </w:p>
    <w:p>
      <w:pPr>
        <w:pStyle w:val="Normal"/>
        <w:jc w:val="both"/>
        <w:rPr>
          <w:i/>
        </w:rPr>
      </w:pPr>
      <w:r>
        <w:rPr>
          <w:i/>
        </w:rPr>
        <w:t>S</w:t>
      </w:r>
      <w:r>
        <w:rPr>
          <w:i/>
        </w:rPr>
        <w:t> klientem-členem TK není zacházeno jako s pacientem. Není například zbaven své normální role a pokládán za nezodpovědného za svou situaci, což jsou dle Parsonse</w:t>
      </w:r>
      <w:r>
        <w:rPr>
          <w:rStyle w:val="Footnotereference"/>
          <w:i/>
        </w:rPr>
        <w:footnoteReference w:id="20"/>
      </w:r>
      <w:r>
        <w:rPr>
          <w:i/>
        </w:rPr>
        <w:t xml:space="preserve"> klasické atributy role pacienta. Od klientů TK se žádá, aby si nehráli na oběť nebo nesvalovali vinu za svoje problémy na svoji závislost, druhé lidi nebo společnost. Naopak se jim připomíná, že se dříve chovali dětinsky a neodpovědně. Klient je vnímán jako člověk, který potřebuje pomoc a musí se naučit o pomoc požádat, ale zároveň jako člověk, který může pomoci ostatním členům TK.  </w:t>
      </w:r>
    </w:p>
    <w:p>
      <w:pPr>
        <w:pStyle w:val="Normal"/>
        <w:jc w:val="both"/>
        <w:rPr/>
      </w:pPr>
      <w:r>
        <w:rPr/>
        <w:t>Toto pojetí role klienta TK patří k</w:t>
      </w:r>
      <w:r>
        <w:rPr/>
        <w:t> </w:t>
      </w:r>
      <w:r>
        <w:rPr/>
        <w:t>významným</w:t>
      </w:r>
      <w:r>
        <w:rPr/>
        <w:t xml:space="preserve"> společným rysům </w:t>
      </w:r>
      <w:r>
        <w:rPr/>
        <w:t>všech terapeutických ko</w:t>
      </w:r>
      <w:r>
        <w:rPr/>
        <w:t>munit.</w:t>
      </w:r>
      <w:r>
        <w:rPr>
          <w:rStyle w:val="Footnotereference"/>
        </w:rPr>
        <w:footnoteReference w:id="21"/>
      </w:r>
      <w:r>
        <w:rPr/>
        <w:t xml:space="preserve"> </w:t>
      </w:r>
      <w:r>
        <w:rPr/>
        <w:t xml:space="preserve"> Campling (2001) uvádí, že primární mechanismus, jimiž se TK snaží změnit chování klientů, je podpora v převzetí odpovědnosti za sebe i za druhé. </w:t>
      </w:r>
      <w:r>
        <w:rPr/>
        <w:t xml:space="preserve"> </w:t>
      </w:r>
      <w:r>
        <w:rPr>
          <w:u w:val="single"/>
        </w:rPr>
        <w:t>Převzetí odpovědnosti</w:t>
      </w:r>
      <w:r>
        <w:rPr/>
        <w:t xml:space="preserve"> je článkem Yalomova procesu interpersonálního učení ve skupinové psychoterapii.</w:t>
      </w:r>
      <w:r>
        <w:rPr>
          <w:rStyle w:val="Footnotereference"/>
        </w:rPr>
        <w:footnoteReference w:id="22"/>
      </w:r>
      <w:r>
        <w:rPr/>
        <w:t xml:space="preserve"> </w:t>
      </w:r>
      <w:r>
        <w:rPr>
          <w:u w:val="single"/>
        </w:rPr>
        <w:t>Pomáhání jiným</w:t>
      </w:r>
      <w:r>
        <w:rPr/>
        <w:t xml:space="preserve"> uvádí Kratochvíl jako důležitý účinný faktor skupinové psychoterapie a v obdobném, poněkud širším smyslu definuje Yalom terapeutický faktor </w:t>
      </w:r>
      <w:r>
        <w:rPr>
          <w:u w:val="single"/>
        </w:rPr>
        <w:t>altruismu</w:t>
      </w:r>
      <w:r>
        <w:rPr/>
        <w:t>.</w:t>
      </w:r>
      <w:r>
        <w:rPr>
          <w:rStyle w:val="Footnotereference"/>
        </w:rPr>
        <w:footnoteReference w:id="23"/>
      </w:r>
      <w:r>
        <w:rPr/>
        <w:t xml:space="preserve"> Na jiném místě své knihy Kooyman </w:t>
      </w:r>
      <w:r>
        <w:rPr/>
        <w:t>tento Yalomův faktor cituje a poznamenává: „</w:t>
      </w:r>
      <w:r>
        <w:rPr/>
        <w:t>Většina toxikomanů věří, že pro ostatní nemají žádnou cenu. Tím, že pomohou druhým, jejich sebehodnocení se zlepší.</w:t>
      </w:r>
      <w:r>
        <w:rPr/>
        <w:t xml:space="preserve">“  </w:t>
      </w:r>
      <w:r>
        <w:rPr/>
        <w:t>P</w:t>
      </w:r>
      <w:r>
        <w:rPr/>
        <w:t xml:space="preserve">latí </w:t>
      </w:r>
      <w:r>
        <w:rPr/>
        <w:t xml:space="preserve">to přirozeně </w:t>
      </w:r>
      <w:r>
        <w:rPr/>
        <w:t xml:space="preserve">i pro jiné kategorie klientů TK.  </w:t>
      </w:r>
    </w:p>
    <w:p>
      <w:pPr>
        <w:pStyle w:val="Styl4"/>
        <w:jc w:val="both"/>
        <w:rPr/>
      </w:pPr>
      <w:r>
        <w:rPr/>
        <w:t xml:space="preserve">V české výzkumné studii (Hrubý, 2004) patří tento faktor mezi  ty, které klienti TK pokládají za „nejvíce pomáhající.“   </w:t>
      </w:r>
    </w:p>
    <w:p>
      <w:pPr>
        <w:pStyle w:val="Normal"/>
        <w:jc w:val="both"/>
        <w:rPr>
          <w:b/>
          <w:i/>
        </w:rPr>
      </w:pPr>
      <w:r>
        <w:rPr>
          <w:b/>
          <w:i/>
        </w:rPr>
        <w:t>9. Zvyšování sebe</w:t>
      </w:r>
      <w:r>
        <w:rPr>
          <w:b/>
          <w:i/>
        </w:rPr>
        <w:t>úcty</w:t>
      </w:r>
      <w:r>
        <w:rPr>
          <w:b/>
          <w:i/>
        </w:rPr>
        <w:t xml:space="preserve"> cestou vlastního přičinění</w:t>
      </w:r>
    </w:p>
    <w:p>
      <w:pPr>
        <w:pStyle w:val="Normal"/>
        <w:jc w:val="both"/>
        <w:rPr>
          <w:i/>
        </w:rPr>
      </w:pPr>
      <w:r>
        <w:rPr>
          <w:i/>
        </w:rPr>
        <w:t>S</w:t>
      </w:r>
      <w:r>
        <w:rPr>
          <w:i/>
        </w:rPr>
        <w:t>ebe</w:t>
      </w:r>
      <w:r>
        <w:rPr>
          <w:i/>
        </w:rPr>
        <w:t xml:space="preserve">úcta </w:t>
      </w:r>
      <w:r>
        <w:rPr>
          <w:i/>
        </w:rPr>
        <w:t xml:space="preserve">klienta  vzrůstá tak, jak klient překonává strach z nezvládnutí věcí, postupně, krok za krokem, </w:t>
      </w:r>
      <w:r>
        <w:rPr>
          <w:i/>
        </w:rPr>
        <w:t xml:space="preserve">jednáním </w:t>
      </w:r>
      <w:r>
        <w:rPr>
          <w:i/>
        </w:rPr>
        <w:t>„</w:t>
      </w:r>
      <w:r>
        <w:rPr>
          <w:i/>
        </w:rPr>
        <w:t>as if</w:t>
      </w:r>
      <w:r>
        <w:rPr>
          <w:i/>
        </w:rPr>
        <w:t xml:space="preserve"> </w:t>
      </w:r>
      <w:r>
        <w:rPr>
          <w:i/>
        </w:rPr>
        <w:t>“</w:t>
      </w:r>
      <w:r>
        <w:rPr>
          <w:i/>
        </w:rPr>
        <w:t>.</w:t>
      </w:r>
      <w:r>
        <w:rPr>
          <w:i/>
        </w:rPr>
        <w:t xml:space="preserve"> Tomu napomáhá angažovanost v kreativních aktivitách a procesu výchovy v rámci TK. </w:t>
      </w:r>
      <w:r>
        <w:rPr>
          <w:i/>
        </w:rPr>
        <w:t xml:space="preserve">Zlepšující se </w:t>
      </w:r>
      <w:r>
        <w:rPr>
          <w:i/>
        </w:rPr>
        <w:t>sebe</w:t>
      </w:r>
      <w:r>
        <w:rPr>
          <w:i/>
        </w:rPr>
        <w:t xml:space="preserve">pojetí </w:t>
      </w:r>
      <w:r>
        <w:rPr>
          <w:i/>
        </w:rPr>
        <w:t xml:space="preserve"> současně zmenšuje strach z neúspěchu a odmítnutí. Pomocí druhým se klient utvrzuje ve své hodnotě pro druhé, což jeho sebe</w:t>
      </w:r>
      <w:r>
        <w:rPr>
          <w:i/>
        </w:rPr>
        <w:t>úctu</w:t>
      </w:r>
      <w:r>
        <w:rPr>
          <w:i/>
        </w:rPr>
        <w:t xml:space="preserve"> rovněž posiluje.   </w:t>
      </w:r>
    </w:p>
    <w:p>
      <w:pPr>
        <w:pStyle w:val="Styl4"/>
        <w:jc w:val="both"/>
        <w:rPr/>
      </w:pPr>
      <w:r>
        <w:rPr/>
        <w:t xml:space="preserve">Nízké (resp. nepřiměřené) sebehodnocení  patří k osobnostním charakteristikám většiny klientů TK; i klienti s grandiózní vnější fasádou v Kohutově smyslu </w:t>
      </w:r>
      <w:r>
        <w:rPr/>
        <w:t xml:space="preserve">se ve svém vnitřním Já sžírají pocity méněcennosti. </w:t>
      </w:r>
      <w:r>
        <w:rPr/>
        <w:t>Také většinou věří, že jsou „</w:t>
      </w:r>
      <w:r>
        <w:rPr/>
        <w:t xml:space="preserve">řízení z vnějšku“ a nezodpovídají sami za sebe. </w:t>
      </w:r>
      <w:r>
        <w:rPr/>
        <w:t xml:space="preserve">Kooyman zde shrnuje způsoby, které pomáhají klientovi v podpůrném </w:t>
      </w:r>
      <w:r>
        <w:rPr/>
        <w:t>prostředí komunity dospívat k reálné sebeúctě</w:t>
      </w:r>
      <w:r>
        <w:rPr/>
        <w:t>: angažovanost, kreativita, poznávání, pomoc druhým a</w:t>
      </w:r>
      <w:r>
        <w:rPr/>
        <w:t xml:space="preserve">pod. Klíčová je </w:t>
      </w:r>
      <w:r>
        <w:rPr/>
        <w:t>vědomá práce na sobě ve smyslu sebezdokonalování</w:t>
      </w:r>
      <w:r>
        <w:rPr/>
        <w:t>,</w:t>
      </w:r>
      <w:r>
        <w:rPr/>
        <w:t xml:space="preserve"> </w:t>
      </w:r>
      <w:r>
        <w:rPr/>
        <w:t>posilování vnitřního řízení</w:t>
      </w:r>
      <w:r>
        <w:rPr/>
        <w:t xml:space="preserve"> a nácviku odpovědného jednání</w:t>
      </w:r>
      <w:r>
        <w:rPr/>
        <w:t xml:space="preserve">, ve smyslu  „chápání problému jako výzvy“, jak o tom hovoří Kooyman u svého dalšího faktoru. </w:t>
      </w:r>
      <w:r>
        <w:rPr/>
        <w:t xml:space="preserve"> </w:t>
      </w:r>
      <w:r>
        <w:rPr/>
        <w:t xml:space="preserve"> </w:t>
      </w:r>
    </w:p>
    <w:p>
      <w:pPr>
        <w:pStyle w:val="Styl4"/>
        <w:jc w:val="both"/>
        <w:rPr/>
      </w:pPr>
      <w:r>
        <w:rPr/>
        <w:t>Poslední je vyjádřeno v p</w:t>
      </w:r>
      <w:r>
        <w:rPr/>
        <w:t>rincip</w:t>
      </w:r>
      <w:r>
        <w:rPr/>
        <w:t>u</w:t>
      </w:r>
      <w:r>
        <w:rPr/>
        <w:t xml:space="preserve"> „do as if“ („jednej jakoby“)</w:t>
      </w:r>
      <w:r>
        <w:rPr/>
        <w:t xml:space="preserve">, který </w:t>
      </w:r>
      <w:r>
        <w:rPr/>
        <w:t xml:space="preserve"> </w:t>
      </w:r>
      <w:r>
        <w:rPr/>
        <w:t xml:space="preserve">Woodhams (2001) vystihuje takto: „Klient má jednat ne jako člověk, jakým byl v minulosti, ale jako člověk, jakým se chce stát.“ </w:t>
      </w:r>
      <w:r>
        <w:rPr/>
        <w:t xml:space="preserve">V tomto znění jej </w:t>
      </w:r>
      <w:r>
        <w:rPr/>
        <w:t>převzaly „hierarchické“ TK prostřednictvím Synanonu z hnutí Anonymních alkoholiků</w:t>
      </w:r>
      <w:r>
        <w:rPr/>
        <w:t xml:space="preserve">, ale podobné výzvy obsahují i pravidla pro zapojení </w:t>
      </w:r>
      <w:r>
        <w:rPr/>
        <w:t>v „demokratických“ TK.</w:t>
      </w:r>
      <w:r>
        <w:rPr>
          <w:rStyle w:val="Footnotereference"/>
        </w:rPr>
        <w:footnoteReference w:id="24"/>
      </w:r>
      <w:r>
        <w:rPr/>
        <w:t xml:space="preserve"> </w:t>
      </w:r>
      <w:r>
        <w:rPr/>
        <w:t xml:space="preserve">V žádné terapeutické </w:t>
      </w:r>
      <w:r>
        <w:rPr/>
        <w:t xml:space="preserve">komunitě není klient pasivním objektem procesu změny, vždy je jeho aktérem pro sebe i pro druhé.   </w:t>
      </w:r>
      <w:r>
        <w:rPr/>
        <w:t>Citáty jako „</w:t>
      </w:r>
      <w:r>
        <w:rPr/>
        <w:t>Neodvážit se je osudné</w:t>
      </w:r>
      <w:r>
        <w:rPr/>
        <w:t>“, „</w:t>
      </w:r>
      <w:r>
        <w:rPr/>
        <w:t>Statečný není ten, kdo nezná strach</w:t>
      </w:r>
      <w:r>
        <w:rPr/>
        <w:t xml:space="preserve">; statečný je </w:t>
      </w:r>
      <w:r>
        <w:rPr/>
        <w:t>ten kdo strach zná, ale strach překoná</w:t>
      </w:r>
      <w:r>
        <w:rPr/>
        <w:t>“, „</w:t>
      </w:r>
      <w:r>
        <w:rPr/>
        <w:t>Hic Rhodos, hic salta (nekecej a ukaž)</w:t>
      </w:r>
      <w:r>
        <w:rPr/>
        <w:t>“ patří k</w:t>
      </w:r>
      <w:r>
        <w:rPr/>
        <w:t xml:space="preserve"> neformální </w:t>
      </w:r>
      <w:r>
        <w:rPr/>
        <w:t xml:space="preserve"> kultuře TK.</w:t>
      </w:r>
      <w:r>
        <w:rPr>
          <w:rStyle w:val="Footnotereference"/>
        </w:rPr>
        <w:footnoteReference w:id="25"/>
      </w:r>
      <w:r>
        <w:rPr/>
        <w:t xml:space="preserve">   </w:t>
      </w:r>
    </w:p>
    <w:p>
      <w:pPr>
        <w:pStyle w:val="Normal"/>
        <w:jc w:val="both"/>
        <w:rPr>
          <w:b/>
          <w:i/>
        </w:rPr>
      </w:pPr>
      <w:r>
        <w:rPr>
          <w:b/>
          <w:i/>
        </w:rPr>
        <w:t>10. Zvnitřnění pozitivního žebříčku hodnot</w:t>
      </w:r>
    </w:p>
    <w:p>
      <w:pPr>
        <w:pStyle w:val="Normal"/>
        <w:jc w:val="both"/>
        <w:rPr>
          <w:i/>
        </w:rPr>
      </w:pPr>
      <w:r>
        <w:rPr>
          <w:i/>
        </w:rPr>
        <w:t>K</w:t>
      </w:r>
      <w:r>
        <w:rPr>
          <w:i/>
        </w:rPr>
        <w:t xml:space="preserve">lientovi je nabízen pozitivní hodnotový systém, který klient postupně internalizuje. Učí se být čestný, konfrontovat a kritizovat negativní a sebedestruktivní chování a postoje a chápat problém jako výzvu.  </w:t>
      </w:r>
    </w:p>
    <w:p>
      <w:pPr>
        <w:pStyle w:val="Normal"/>
        <w:jc w:val="both"/>
        <w:rPr/>
      </w:pPr>
      <w:r>
        <w:rPr/>
        <w:t>Literaturou o TK všech typů proniká přesvědčení, že pro terapeutické i socializační působení komunity je nepostradatelný hodnotový rozměr</w:t>
      </w:r>
      <w:r>
        <w:rPr/>
        <w:t xml:space="preserve">. </w:t>
      </w:r>
      <w:r>
        <w:rPr/>
        <w:t>V procesu změny patří tento rozměr k řádu, kterému TK učí</w:t>
      </w:r>
      <w:r>
        <w:rPr/>
        <w:t xml:space="preserve"> a který klienti internalizují</w:t>
      </w:r>
      <w:r>
        <w:rPr/>
        <w:t xml:space="preserve">. </w:t>
      </w:r>
      <w:r>
        <w:rPr/>
        <w:t>Změna znamená i změnu hodnotového systému; k úzdravě patří i uplatnění morálních hodnot a norem získaných v TK, např. pravdivost, otevřenost, čestnost, samostatnost, odpovědnost vůči sobě i druhým, altruismus, svoboda a možnost volby, respekt ke svobodě a autonomii druhých,</w:t>
      </w:r>
      <w:r>
        <w:rPr/>
        <w:t xml:space="preserve"> etika práce apod. </w:t>
      </w:r>
      <w:r>
        <w:rPr/>
        <w:t xml:space="preserve"> </w:t>
      </w:r>
      <w:r>
        <w:rPr/>
        <w:t>Klient se sám rozhoduje, zda se jimi bude řídit, ale díky nim se j</w:t>
      </w:r>
      <w:r>
        <w:rPr/>
        <w:t>eho život může stát bohatším i svobodnějším.”</w:t>
      </w:r>
      <w:r>
        <w:rPr>
          <w:rStyle w:val="Footnotereference"/>
        </w:rPr>
        <w:footnoteReference w:id="26"/>
      </w:r>
      <w:r>
        <w:rPr/>
        <w:t xml:space="preserve"> </w:t>
      </w:r>
      <w:r>
        <w:rPr/>
        <w:t xml:space="preserve">Je pozoruhodné a povzbuzující, že </w:t>
      </w:r>
      <w:r>
        <w:rPr/>
        <w:t>respondenti citovaného č</w:t>
      </w:r>
      <w:r>
        <w:rPr/>
        <w:t>eské</w:t>
      </w:r>
      <w:r>
        <w:rPr/>
        <w:t xml:space="preserve">ho výzkumu zařadili </w:t>
      </w:r>
      <w:r>
        <w:rPr/>
        <w:t xml:space="preserve">tento faktor mezi  </w:t>
      </w:r>
      <w:r>
        <w:rPr/>
        <w:t xml:space="preserve">pět </w:t>
      </w:r>
      <w:r>
        <w:rPr/>
        <w:t>„nejvíce pomáhající</w:t>
      </w:r>
      <w:r>
        <w:rPr/>
        <w:t>ch</w:t>
      </w:r>
      <w:r>
        <w:rPr/>
        <w:t xml:space="preserve">.“   </w:t>
      </w:r>
    </w:p>
    <w:p>
      <w:pPr>
        <w:pStyle w:val="Heading3"/>
        <w:rPr/>
      </w:pPr>
      <w:r>
        <w:rPr/>
        <w:t>11. Konfrontace</w:t>
      </w:r>
    </w:p>
    <w:p>
      <w:pPr>
        <w:pStyle w:val="Normal"/>
        <w:jc w:val="both"/>
        <w:rPr>
          <w:i/>
        </w:rPr>
      </w:pPr>
      <w:r>
        <w:rPr>
          <w:i/>
        </w:rPr>
        <w:t>S</w:t>
      </w:r>
      <w:r>
        <w:rPr>
          <w:i/>
        </w:rPr>
        <w:t xml:space="preserve">amotný život v TK vytváří na nově přijatého klienta obrovský tlak. Tato počáteční krizová situace navozuje podmínky pro změnu jeho chování a postojů. Klient může mít tendenci se tlaku vyhnout a tím je často z TK vytlačen.  Když se začne v terapeutickém procesu vyvíjet, </w:t>
      </w:r>
      <w:r>
        <w:rPr>
          <w:i/>
        </w:rPr>
        <w:t xml:space="preserve">důvěra </w:t>
      </w:r>
      <w:r>
        <w:rPr>
          <w:i/>
        </w:rPr>
        <w:t xml:space="preserve">v program roste  a klient postupně upouští od svých obranných mechanismů. Učí se verbalizovat své vnitřní konflikty, emoce a napětí spojené s pocity viny a vlastní neschopností. Začne postupovat krok za krokem směrem k emoční konfrontaci s druhými. Učí se, že konfrontace není zaměřena na něj, ale na jeho chování. Zažívá kladné hodnocení svého nového chování  a tím mizí i jeho strach z odmítnutí. Učí se, že proto, aby mohl být hodný lásky, nemusí být perfektní, jak si mohl myslet jako dítě.  </w:t>
      </w:r>
    </w:p>
    <w:p>
      <w:pPr>
        <w:pStyle w:val="Styl4"/>
        <w:jc w:val="both"/>
        <w:rPr/>
      </w:pPr>
      <w:r>
        <w:rPr/>
        <w:t>Kooyman ve svém výkladu reflektuje řadu složek terapeutického procesu v komunitě:</w:t>
      </w:r>
    </w:p>
    <w:p>
      <w:pPr>
        <w:pStyle w:val="Styl4"/>
        <w:numPr>
          <w:ilvl w:val="0"/>
          <w:numId w:val="28"/>
        </w:numPr>
        <w:jc w:val="both"/>
        <w:rPr/>
      </w:pPr>
      <w:r>
        <w:rPr/>
        <w:t xml:space="preserve">Iniciální krize a akceptování v komunitě: </w:t>
      </w:r>
      <w:r>
        <w:rPr/>
        <w:t>krize navozuje změnu, učení v TK je podporováno prožíváním krizových situací (viz faktor 6, Učení prostřednictvím krizí), ale také pocitem sounáležitosti.  Na jiném místě Kooyman píše: „ Noví klienti mohou někdy vnímat komunitu jako hrozbu a snaží se ze strachu z odmítnutí izolovat. Když jsou s tím konfrontováni, mohou svému chování porozumět. Pocit, že patří k celé skupině, rozpouští jejich pocity nepřijetí.“</w:t>
      </w:r>
    </w:p>
    <w:p>
      <w:pPr>
        <w:pStyle w:val="Styl4"/>
        <w:numPr>
          <w:ilvl w:val="0"/>
          <w:numId w:val="28"/>
        </w:numPr>
        <w:jc w:val="both"/>
        <w:rPr/>
      </w:pPr>
      <w:r>
        <w:rPr/>
        <w:t xml:space="preserve">Yalomův faktor „univerzality“ (viz kapitola 14): podle Kooymana „konfrontace s ostatními klienty ruší dojem, že problém jednotlivce je tak jedinečný. Vědomí o situaci druhých vede k rozvoji důvěry a jistoty.“ </w:t>
      </w:r>
    </w:p>
    <w:p>
      <w:pPr>
        <w:pStyle w:val="Styl4"/>
        <w:numPr>
          <w:ilvl w:val="0"/>
          <w:numId w:val="28"/>
        </w:numPr>
        <w:jc w:val="both"/>
        <w:rPr/>
      </w:pPr>
      <w:r>
        <w:rPr/>
        <w:t xml:space="preserve">Zpětné vazby v komunitě, jimž je klient neustále vystaven a jejichž prostřednictvím se učí </w:t>
      </w:r>
      <w:r>
        <w:rPr/>
        <w:t>lépe rozum</w:t>
      </w:r>
      <w:r>
        <w:rPr/>
        <w:t>ět</w:t>
      </w:r>
      <w:r>
        <w:rPr/>
        <w:t xml:space="preserve"> tomu, co cítí lidé v jeho okolí, jak ho vnímají, a objev</w:t>
      </w:r>
      <w:r>
        <w:rPr/>
        <w:t>uje</w:t>
      </w:r>
      <w:r>
        <w:rPr/>
        <w:t xml:space="preserve"> své projevy, které jsou introspekcí nedosažitelné.</w:t>
      </w:r>
    </w:p>
    <w:p>
      <w:pPr>
        <w:pStyle w:val="Styl4"/>
        <w:numPr>
          <w:ilvl w:val="0"/>
          <w:numId w:val="28"/>
        </w:numPr>
        <w:jc w:val="both"/>
        <w:rPr/>
      </w:pPr>
      <w:r>
        <w:rPr/>
        <w:t xml:space="preserve">Verbalizace jako součást zvědomování a zpracování emocí (viz faktor 13, „Učení porozumět svým emocím a vyjadřovat je“). </w:t>
      </w:r>
    </w:p>
    <w:p>
      <w:pPr>
        <w:pStyle w:val="Styl4"/>
        <w:numPr>
          <w:ilvl w:val="0"/>
          <w:numId w:val="28"/>
        </w:numPr>
        <w:jc w:val="both"/>
        <w:rPr/>
      </w:pPr>
      <w:r>
        <w:rPr/>
        <w:t>Korektivní emoční zkušenost</w:t>
      </w:r>
      <w:r>
        <w:rPr/>
        <w:t>: Kooyman to ilustruje citací jiného holandského autora:</w:t>
      </w:r>
      <w:r>
        <w:rPr/>
        <w:t xml:space="preserve"> „Zdá se, že předpokládáme, že čím budeme dokonalejší a bez chyby, tím víc budeme milováni. Ve skutečnosti je to zřejmě naopak. Čím víc jsme schopni připustit vlastní lidské slabosti, tím víc jsme hodni lásky (Shostrum, 1967).</w:t>
      </w:r>
      <w:r>
        <w:rPr/>
        <w:t>“</w:t>
      </w:r>
      <w:r>
        <w:rPr/>
        <w:t xml:space="preserve"> </w:t>
      </w:r>
    </w:p>
    <w:p>
      <w:pPr>
        <w:pStyle w:val="Styl4"/>
        <w:jc w:val="both"/>
        <w:rPr/>
      </w:pPr>
      <w:r>
        <w:rPr/>
        <w:t>Samotný pojem „konfrontace“ je v literatuře o terapeutických komunitách hodnocen rozporuplně; více se jím budeme zabývat na jiném místě této práce.</w:t>
      </w:r>
      <w:r>
        <w:rPr>
          <w:rStyle w:val="Footnotereference"/>
        </w:rPr>
        <w:footnoteReference w:id="27"/>
      </w:r>
      <w:r>
        <w:rPr/>
        <w:t xml:space="preserve"> Z pohledu klientů se Kooymanův faktor konfrontace umístil mezi „nejméně pomáhajícími“ na jednom z posledních</w:t>
      </w:r>
      <w:r>
        <w:rPr/>
        <w:t xml:space="preserve"> míst</w:t>
      </w:r>
      <w:r>
        <w:rPr/>
        <w:t>, což svědčí o jeho mnohoznačnosti a nesnadné</w:t>
      </w:r>
      <w:r>
        <w:rPr/>
        <w:t>m</w:t>
      </w:r>
      <w:r>
        <w:rPr/>
        <w:t xml:space="preserve"> </w:t>
      </w:r>
      <w:r>
        <w:rPr/>
        <w:t>po</w:t>
      </w:r>
      <w:r>
        <w:rPr/>
        <w:t>cho</w:t>
      </w:r>
      <w:r>
        <w:rPr/>
        <w:t>p</w:t>
      </w:r>
      <w:r>
        <w:rPr/>
        <w:t>e</w:t>
      </w:r>
      <w:r>
        <w:rPr/>
        <w:t>ní.</w:t>
      </w:r>
      <w:r>
        <w:rPr/>
        <w:t xml:space="preserve"> </w:t>
      </w:r>
      <w:r>
        <w:rPr/>
        <w:t xml:space="preserve">  </w:t>
      </w:r>
    </w:p>
    <w:p>
      <w:pPr>
        <w:pStyle w:val="Normal"/>
        <w:jc w:val="both"/>
        <w:rPr>
          <w:b/>
          <w:i/>
        </w:rPr>
      </w:pPr>
      <w:r>
        <w:rPr>
          <w:b/>
          <w:i/>
        </w:rPr>
        <w:t>12. Pozitivní tlak vrstevníků</w:t>
      </w:r>
    </w:p>
    <w:p>
      <w:pPr>
        <w:pStyle w:val="Normal"/>
        <w:jc w:val="both"/>
        <w:rPr>
          <w:i/>
        </w:rPr>
      </w:pPr>
      <w:r>
        <w:rPr>
          <w:i/>
        </w:rPr>
        <w:t>S</w:t>
      </w:r>
      <w:r>
        <w:rPr>
          <w:i/>
        </w:rPr>
        <w:t xml:space="preserve">tejně jako může být tlak vrstevníků jedním z faktorů vedoucích k tomu, že jednotlivec začne brát drogy, může pozitivní tlak vrstevníků </w:t>
      </w:r>
      <w:r>
        <w:rPr>
          <w:i/>
        </w:rPr>
        <w:t>napomoci</w:t>
      </w:r>
      <w:r>
        <w:rPr>
          <w:i/>
        </w:rPr>
        <w:t xml:space="preserve"> k rozhodnutí žít bez drog</w:t>
      </w:r>
      <w:r>
        <w:rPr>
          <w:i/>
        </w:rPr>
        <w:t xml:space="preserve"> </w:t>
      </w:r>
      <w:r>
        <w:rPr>
          <w:i/>
        </w:rPr>
        <w:t xml:space="preserve">a rozvinout pozitivní prvky chování. </w:t>
      </w:r>
      <w:r>
        <w:rPr>
          <w:i/>
        </w:rPr>
        <w:t xml:space="preserve"> Klienti TK jsou konfrontováni s negativním chováním svých vrstevníků, učí se je komentovat a kritizovat a sami přijímat kritiku. </w:t>
      </w:r>
      <w:r>
        <w:rPr>
          <w:i/>
        </w:rPr>
        <w:t xml:space="preserve">Neoceňuje se hra na oběť a manipulativní chování bývá rychle rozpoznáno a ostře odsouzeno. </w:t>
      </w:r>
      <w:r>
        <w:rPr>
          <w:i/>
        </w:rPr>
        <w:t xml:space="preserve">Pokročilejší  slouží jako pozitivní model pro druhé. </w:t>
      </w:r>
    </w:p>
    <w:p>
      <w:pPr>
        <w:pStyle w:val="Normal"/>
        <w:numPr>
          <w:ilvl w:val="12"/>
          <w:numId w:val="0"/>
        </w:numPr>
        <w:jc w:val="both"/>
        <w:rPr/>
      </w:pPr>
      <w:r>
        <w:rPr/>
        <w:t>Na specifické problematice drogově závislých klientů vystihuje Kooyman důležit</w:t>
      </w:r>
      <w:r>
        <w:rPr/>
        <w:t xml:space="preserve">ost skupinové dynamiky pro navození změny. Také tento </w:t>
      </w:r>
      <w:r>
        <w:rPr/>
        <w:t>faktor</w:t>
      </w:r>
      <w:r>
        <w:rPr/>
        <w:t xml:space="preserve"> je </w:t>
      </w:r>
      <w:r>
        <w:rPr/>
        <w:t xml:space="preserve">odvozen z </w:t>
      </w:r>
      <w:r>
        <w:rPr/>
        <w:t>komplexního procesu sociálního učení (či interpersonálního učení podle Yaloma).</w:t>
      </w:r>
      <w:r>
        <w:rPr>
          <w:rStyle w:val="Footnotereference"/>
        </w:rPr>
        <w:footnoteReference w:id="28"/>
      </w:r>
      <w:r>
        <w:rPr/>
        <w:t xml:space="preserve"> </w:t>
      </w:r>
      <w:r>
        <w:rPr/>
        <w:t xml:space="preserve"> </w:t>
      </w:r>
      <w:r>
        <w:rPr/>
        <w:t xml:space="preserve">Může být zajímavé, že se citovaném </w:t>
      </w:r>
      <w:r>
        <w:rPr/>
        <w:t>české</w:t>
      </w:r>
      <w:r>
        <w:rPr/>
        <w:t>m</w:t>
      </w:r>
      <w:r>
        <w:rPr/>
        <w:t xml:space="preserve"> výzkum</w:t>
      </w:r>
      <w:r>
        <w:rPr/>
        <w:t>u</w:t>
      </w:r>
      <w:r>
        <w:rPr/>
        <w:t xml:space="preserve"> (Hrubý, 2004)</w:t>
      </w:r>
      <w:r>
        <w:rPr/>
        <w:t xml:space="preserve"> umísťuje mezi pěti </w:t>
      </w:r>
      <w:r>
        <w:rPr/>
        <w:t>„nejméně pomáhající</w:t>
      </w:r>
      <w:r>
        <w:rPr/>
        <w:t>mi</w:t>
      </w:r>
      <w:r>
        <w:rPr/>
        <w:t>“</w:t>
      </w:r>
      <w:r>
        <w:rPr/>
        <w:t xml:space="preserve"> faktory, respondentů s délkou pobytu v TK nad 6 měsíců </w:t>
      </w:r>
      <w:r>
        <w:rPr/>
        <w:t xml:space="preserve">  </w:t>
      </w:r>
      <w:r>
        <w:rPr/>
        <w:t xml:space="preserve">dokonce na posledním místě. </w:t>
      </w:r>
      <w:r>
        <w:rPr/>
        <w:t xml:space="preserve"> </w:t>
      </w:r>
    </w:p>
    <w:p>
      <w:pPr>
        <w:pStyle w:val="Heading3"/>
        <w:rPr/>
      </w:pPr>
      <w:r>
        <w:rPr/>
        <w:t xml:space="preserve">13. Učení porozumět </w:t>
      </w:r>
      <w:r>
        <w:rPr/>
        <w:t>svým emocím a vyjadřovat</w:t>
      </w:r>
      <w:r>
        <w:rPr/>
        <w:t xml:space="preserve"> </w:t>
      </w:r>
      <w:r>
        <w:rPr/>
        <w:t xml:space="preserve">je </w:t>
      </w:r>
    </w:p>
    <w:p>
      <w:pPr>
        <w:pStyle w:val="Normal"/>
        <w:jc w:val="both"/>
        <w:rPr>
          <w:i/>
        </w:rPr>
      </w:pPr>
      <w:r>
        <w:rPr>
          <w:i/>
        </w:rPr>
        <w:t>V</w:t>
      </w:r>
      <w:r>
        <w:rPr>
          <w:i/>
        </w:rPr>
        <w:t xml:space="preserve">e skupinových sezeních jsou klienti TK podporováni ve vyjadřování svých emocí. Učí se překonat svůj strach z vyjádření vlastního hněvu, strachu a bolesti, ale i zažívat a vyjadřovat pozitivní emoce jako je radost a láska, které se většinou vyjadřují mnohem obtížněji než emoce negativní. </w:t>
      </w:r>
    </w:p>
    <w:p>
      <w:pPr>
        <w:pStyle w:val="Styl4"/>
        <w:jc w:val="both"/>
        <w:rPr/>
      </w:pPr>
      <w:r>
        <w:rPr/>
        <w:t xml:space="preserve">V tradici </w:t>
      </w:r>
      <w:r>
        <w:rPr/>
        <w:t>Daytop Village</w:t>
      </w:r>
      <w:r>
        <w:rPr/>
        <w:t>, na níž Kooyman v </w:t>
      </w:r>
      <w:r>
        <w:rPr/>
        <w:t>Emiliehoeve</w:t>
      </w:r>
      <w:r>
        <w:rPr/>
        <w:t xml:space="preserve"> navazoval, měl značný význam Casrielův koncept „toxikomana jako člověka se zamrzlými emocemi“ </w:t>
      </w:r>
      <w:r>
        <w:rPr/>
        <w:t>(viz kapitola 3)</w:t>
      </w:r>
      <w:r>
        <w:rPr/>
        <w:t>. Klienti byli vedeni k přímému a často bouřlivému vyjadřování emocí.</w:t>
      </w:r>
      <w:r>
        <w:rPr>
          <w:rStyle w:val="Footnotereference"/>
        </w:rPr>
        <w:footnoteReference w:id="29"/>
      </w:r>
      <w:r>
        <w:rPr/>
        <w:t xml:space="preserve">  </w:t>
      </w:r>
      <w:r>
        <w:rPr/>
        <w:t xml:space="preserve"> </w:t>
      </w:r>
      <w:r>
        <w:rPr/>
        <w:t xml:space="preserve"> </w:t>
      </w:r>
      <w:r>
        <w:rPr/>
        <w:t xml:space="preserve">Intenzivní kontakt s vlastními potlačovanými emocemi, často spojenými s minulými traumatickými zážitky, a jejich svobodné projevení </w:t>
      </w:r>
      <w:r>
        <w:rPr/>
        <w:t>v terapeutické situaci ovšem patří k</w:t>
      </w:r>
      <w:r>
        <w:rPr/>
        <w:t xml:space="preserve"> základním prvkům </w:t>
      </w:r>
      <w:r>
        <w:rPr/>
        <w:t xml:space="preserve">skupinové </w:t>
      </w:r>
      <w:r>
        <w:rPr/>
        <w:t>psychoterapie</w:t>
      </w:r>
      <w:r>
        <w:rPr/>
        <w:t xml:space="preserve"> (faktory emočního  uvolnění, katarze, abreakce, sebeodhalení,  sebeprojevení apod.)</w:t>
      </w:r>
      <w:r>
        <w:rPr>
          <w:rStyle w:val="Footnotereference"/>
        </w:rPr>
        <w:footnoteReference w:id="30"/>
      </w:r>
      <w:r>
        <w:rPr/>
        <w:t xml:space="preserve"> </w:t>
      </w:r>
      <w:r>
        <w:rPr/>
        <w:t xml:space="preserve">Pro sekundární emoční vývoj v TK je důležité, že </w:t>
      </w:r>
      <w:r>
        <w:rPr/>
        <w:t xml:space="preserve">komunita </w:t>
      </w:r>
      <w:r>
        <w:rPr/>
        <w:t xml:space="preserve">vyjadřování negativních </w:t>
      </w:r>
      <w:r>
        <w:rPr/>
        <w:t>emocí vydrží (obklopí a ohraničí ve smyslu „contain“</w:t>
      </w:r>
      <w:r>
        <w:rPr/>
        <w:t>) a umožní tak jednotlivci, aby se s nimi sám vyrovnal</w:t>
      </w:r>
      <w:r>
        <w:rPr/>
        <w:t>,</w:t>
      </w:r>
      <w:r>
        <w:rPr/>
        <w:t xml:space="preserve"> necítil se nimi ohrožený</w:t>
      </w:r>
      <w:r>
        <w:rPr/>
        <w:t xml:space="preserve"> a nakonec v sobě objevil pozitivní emoce a možnost je vyjádřit, což je pro klienty často převratným zážitkem. </w:t>
      </w:r>
      <w:r>
        <w:rPr/>
        <w:t xml:space="preserve"> Významu emočního rozměru léčby v TK odpovídá i druhé místo tohoto faktoru  mezi  „nejvíce pomáhajícími“   ve zde citované výzkumné studii (Hrubý, 2004).</w:t>
      </w:r>
    </w:p>
    <w:p>
      <w:pPr>
        <w:pStyle w:val="Heading3"/>
        <w:rPr/>
      </w:pPr>
      <w:r>
        <w:rPr/>
        <w:t>14. Změna negativních postojů k životu v postoje pozitivní</w:t>
      </w:r>
    </w:p>
    <w:p>
      <w:pPr>
        <w:pStyle w:val="Normal"/>
        <w:jc w:val="both"/>
        <w:rPr>
          <w:i/>
        </w:rPr>
      </w:pPr>
      <w:r>
        <w:rPr>
          <w:i/>
        </w:rPr>
        <w:t>V</w:t>
      </w:r>
      <w:r>
        <w:rPr>
          <w:i/>
        </w:rPr>
        <w:t xml:space="preserve">ětšina závislých má negativní sebepojetí ve vztahu k druhým („nejsem hodný lásky, nepotřebuji druhé lidi, nemám právo existovat“ apod. ) </w:t>
      </w:r>
      <w:r>
        <w:rPr>
          <w:i/>
        </w:rPr>
        <w:t xml:space="preserve">Často si je uvědomují až ve skupinách. </w:t>
      </w:r>
      <w:r>
        <w:rPr>
          <w:i/>
        </w:rPr>
        <w:t xml:space="preserve">Může jít o negativní postoj vytvořený v raném dětství, kdy snad pomáhal přežít, ale v dospělosti je velkým handicapem. V průběhu léčby klient překonává tento handicap, mění negativní postoje k sobě samému a nahrazuje falešnou identitu identitou skutečnou.  </w:t>
      </w:r>
    </w:p>
    <w:p>
      <w:pPr>
        <w:pStyle w:val="Normal"/>
        <w:numPr>
          <w:ilvl w:val="12"/>
          <w:numId w:val="0"/>
        </w:numPr>
        <w:jc w:val="both"/>
        <w:rPr/>
      </w:pPr>
      <w:r>
        <w:rPr/>
        <w:t xml:space="preserve">Kooymanův výklad tohoto terapeutického faktoru </w:t>
      </w:r>
      <w:r>
        <w:rPr/>
        <w:t xml:space="preserve">vychází ze známých psychoterapeutických teorií a </w:t>
      </w:r>
      <w:r>
        <w:rPr/>
        <w:t>do značné míry koresponduje s tezemi Haigha  a Camplingové o sekundárním emočním vývoji v TK, jimiž jsme se zabývali v předchozí kapitole.</w:t>
      </w:r>
      <w:r>
        <w:rPr>
          <w:rStyle w:val="Footnotereference"/>
        </w:rPr>
        <w:footnoteReference w:id="31"/>
      </w:r>
      <w:r>
        <w:rPr/>
        <w:t xml:space="preserve"> </w:t>
      </w:r>
      <w:r>
        <w:rPr/>
        <w:t xml:space="preserve">Na rozdíl od předchozího faktoru, který reflektuje proměnu emocí, nevnímají </w:t>
      </w:r>
      <w:r>
        <w:rPr/>
        <w:t xml:space="preserve">klienti v citovaném výzkumu Kooymanových léčebných faktorů proměnu postojů jako příliš důležitou a řadí tento faktor mezi pět „nejméně pomáhajících.“   </w:t>
      </w:r>
      <w:r>
        <w:rPr/>
        <w:t xml:space="preserve"> </w:t>
      </w:r>
    </w:p>
    <w:p>
      <w:pPr>
        <w:pStyle w:val="Heading3"/>
        <w:rPr/>
      </w:pPr>
      <w:r>
        <w:rPr/>
        <w:t>15. Zlepšení vztahů s původní rodinou</w:t>
      </w:r>
    </w:p>
    <w:p>
      <w:pPr>
        <w:pStyle w:val="Normal"/>
        <w:jc w:val="both"/>
        <w:rPr>
          <w:i/>
        </w:rPr>
      </w:pPr>
      <w:r>
        <w:rPr>
          <w:i/>
        </w:rPr>
        <w:t>V</w:t>
      </w:r>
      <w:r>
        <w:rPr>
          <w:i/>
        </w:rPr>
        <w:t>ztahy  </w:t>
      </w:r>
      <w:r>
        <w:rPr>
          <w:i/>
        </w:rPr>
        <w:t xml:space="preserve">s rodiči a dalšími blízkými </w:t>
      </w:r>
      <w:r>
        <w:rPr>
          <w:i/>
        </w:rPr>
        <w:t>se za pomoci týmu mění, j</w:t>
      </w:r>
      <w:r>
        <w:rPr>
          <w:i/>
        </w:rPr>
        <w:t>akmile skončí vstupní (iniciační) fáze se zákazem kontaktů a vzájemný kontakt je opět možný. Rodiče navštěvují  rodičovské skupiny (často ještě před nástupem klienta do TK). V některých případech je rodinná terapie přímo součástí léčby v TK. V terapeutických skupinách lze</w:t>
      </w:r>
      <w:r>
        <w:rPr>
          <w:i/>
        </w:rPr>
        <w:t xml:space="preserve"> s nepřítomnými, symbolicky zastoupenými </w:t>
      </w:r>
      <w:r>
        <w:rPr>
          <w:i/>
        </w:rPr>
        <w:t>rodiči vyřešit řadu „nedokončených záležitostí“</w:t>
      </w:r>
      <w:r>
        <w:rPr>
          <w:i/>
        </w:rPr>
        <w:t xml:space="preserve">. </w:t>
      </w:r>
    </w:p>
    <w:p>
      <w:pPr>
        <w:pStyle w:val="Bodytext"/>
        <w:jc w:val="both"/>
        <w:rPr>
          <w:lang w:val="cs-CZ"/>
        </w:rPr>
      </w:pPr>
      <w:r>
        <w:rPr>
          <w:lang w:val="cs-CZ"/>
        </w:rPr>
        <w:t xml:space="preserve">Zatímco první Kooymanův faktor upozorňuje na význam </w:t>
      </w:r>
      <w:r>
        <w:rPr>
          <w:lang w:val="cs-CZ"/>
        </w:rPr>
        <w:t xml:space="preserve">„re-parentingu“, sekundárního emočního vývoje v prostředí TK, poslední faktor uvádí do hry  práci se vztahy ve skutečné rodině klienta. </w:t>
      </w:r>
      <w:r>
        <w:rPr>
          <w:lang w:val="cs-CZ"/>
        </w:rPr>
        <w:t xml:space="preserve">Může jít </w:t>
      </w:r>
      <w:r>
        <w:rPr>
          <w:lang w:val="cs-CZ"/>
        </w:rPr>
        <w:t xml:space="preserve">jednak </w:t>
      </w:r>
      <w:r>
        <w:rPr>
          <w:lang w:val="cs-CZ"/>
        </w:rPr>
        <w:t xml:space="preserve">o symbolickou práci v psychoterapeutické skupině (Kooyman uvádí řadu používaných technik a metod, např. </w:t>
      </w:r>
      <w:r>
        <w:rPr>
          <w:lang w:val="cs-CZ"/>
        </w:rPr>
        <w:t>encounterov</w:t>
      </w:r>
      <w:r>
        <w:rPr>
          <w:lang w:val="cs-CZ"/>
        </w:rPr>
        <w:t>é</w:t>
      </w:r>
      <w:r>
        <w:rPr>
          <w:lang w:val="cs-CZ"/>
        </w:rPr>
        <w:t xml:space="preserve"> skupin</w:t>
      </w:r>
      <w:r>
        <w:rPr>
          <w:lang w:val="cs-CZ"/>
        </w:rPr>
        <w:t xml:space="preserve">y, </w:t>
      </w:r>
      <w:r>
        <w:rPr>
          <w:lang w:val="cs-CZ"/>
        </w:rPr>
        <w:t>psychodramatick</w:t>
      </w:r>
      <w:r>
        <w:rPr>
          <w:lang w:val="cs-CZ"/>
        </w:rPr>
        <w:t>é</w:t>
      </w:r>
      <w:r>
        <w:rPr>
          <w:lang w:val="cs-CZ"/>
        </w:rPr>
        <w:t xml:space="preserve"> skupin</w:t>
      </w:r>
      <w:r>
        <w:rPr>
          <w:lang w:val="cs-CZ"/>
        </w:rPr>
        <w:t xml:space="preserve">y, </w:t>
      </w:r>
      <w:r>
        <w:rPr>
          <w:lang w:val="cs-CZ"/>
        </w:rPr>
        <w:t>pesso terapi</w:t>
      </w:r>
      <w:r>
        <w:rPr>
          <w:lang w:val="cs-CZ"/>
        </w:rPr>
        <w:t>e, b</w:t>
      </w:r>
      <w:r>
        <w:rPr>
          <w:lang w:val="cs-CZ"/>
        </w:rPr>
        <w:t>onding terapie</w:t>
      </w:r>
      <w:r>
        <w:rPr>
          <w:lang w:val="cs-CZ"/>
        </w:rPr>
        <w:t>)</w:t>
      </w:r>
      <w:r>
        <w:rPr>
          <w:rStyle w:val="Footnotereference"/>
          <w:lang w:val="cs-CZ"/>
        </w:rPr>
        <w:footnoteReference w:id="32"/>
      </w:r>
      <w:r>
        <w:rPr>
          <w:lang w:val="cs-CZ"/>
        </w:rPr>
        <w:t xml:space="preserve">, </w:t>
      </w:r>
      <w:r>
        <w:rPr>
          <w:lang w:val="cs-CZ"/>
        </w:rPr>
        <w:t xml:space="preserve"> </w:t>
      </w:r>
      <w:r>
        <w:rPr>
          <w:lang w:val="cs-CZ"/>
        </w:rPr>
        <w:t xml:space="preserve">jednak </w:t>
      </w:r>
      <w:r>
        <w:rPr>
          <w:lang w:val="cs-CZ"/>
        </w:rPr>
        <w:t xml:space="preserve">o přímou práci s členy rodiny a blízkými. </w:t>
      </w:r>
      <w:r>
        <w:rPr>
          <w:lang w:val="cs-CZ"/>
        </w:rPr>
        <w:t xml:space="preserve">Toto spojování symbolické práce a přímé intervence bývá </w:t>
      </w:r>
      <w:r>
        <w:rPr>
          <w:lang w:val="cs-CZ"/>
        </w:rPr>
        <w:t xml:space="preserve">někdy </w:t>
      </w:r>
      <w:r>
        <w:rPr>
          <w:lang w:val="cs-CZ"/>
        </w:rPr>
        <w:t xml:space="preserve">psychoterapeuty přijímáno rozpačitě, </w:t>
      </w:r>
      <w:r>
        <w:rPr>
          <w:lang w:val="cs-CZ"/>
        </w:rPr>
        <w:t>je však v zájmu klienta a při zachovávání určitých pravidel</w:t>
      </w:r>
      <w:r>
        <w:rPr>
          <w:rStyle w:val="Footnotereference"/>
          <w:lang w:val="cs-CZ"/>
        </w:rPr>
        <w:footnoteReference w:id="33"/>
      </w:r>
      <w:r>
        <w:rPr>
          <w:lang w:val="cs-CZ"/>
        </w:rPr>
        <w:t xml:space="preserve"> může být velmi účinné. </w:t>
      </w:r>
      <w:r>
        <w:rPr>
          <w:lang w:val="cs-CZ"/>
        </w:rPr>
        <w:t xml:space="preserve"> V českých TK má svou tradici od 60. let (Lobeč, </w:t>
      </w:r>
      <w:r>
        <w:rPr>
          <w:lang w:val="cs-CZ"/>
        </w:rPr>
        <w:t>Palata, Apolinář – viz kapitola 6).</w:t>
      </w:r>
    </w:p>
    <w:p>
      <w:pPr>
        <w:pStyle w:val="Styl4"/>
        <w:jc w:val="both"/>
        <w:rPr/>
      </w:pPr>
      <w:r>
        <w:rPr/>
        <w:t>Kooymanův faktor „zlepšení vztahů s původní rodinou“ můžeme pokládat za příklad „adaptivní spirály“, která se rozvíjí z terapeutické situace do interpersonálních a sociálních vztahů klienta v jeho přirozeném prostředí.</w:t>
      </w:r>
      <w:r>
        <w:rPr>
          <w:rStyle w:val="Footnotereference"/>
        </w:rPr>
        <w:footnoteReference w:id="34"/>
      </w:r>
      <w:r>
        <w:rPr/>
        <w:t xml:space="preserve"> </w:t>
      </w:r>
      <w:r>
        <w:rPr/>
        <w:t>Klienti českých TK –  r</w:t>
      </w:r>
      <w:r>
        <w:rPr/>
        <w:t xml:space="preserve">espondenti </w:t>
      </w:r>
      <w:r>
        <w:rPr/>
        <w:t xml:space="preserve">citované </w:t>
      </w:r>
      <w:r>
        <w:rPr/>
        <w:t xml:space="preserve">výzkumné </w:t>
      </w:r>
      <w:r>
        <w:rPr/>
        <w:t>studi</w:t>
      </w:r>
      <w:r>
        <w:rPr/>
        <w:t>e</w:t>
      </w:r>
      <w:r>
        <w:rPr/>
        <w:t xml:space="preserve"> </w:t>
      </w:r>
      <w:r>
        <w:rPr/>
        <w:t xml:space="preserve">–  </w:t>
      </w:r>
      <w:r>
        <w:rPr/>
        <w:t xml:space="preserve">zahrnuli </w:t>
      </w:r>
      <w:r>
        <w:rPr/>
        <w:t xml:space="preserve">tento faktor mezi  </w:t>
      </w:r>
      <w:r>
        <w:rPr/>
        <w:t xml:space="preserve">pět </w:t>
      </w:r>
      <w:r>
        <w:rPr/>
        <w:t xml:space="preserve"> „nejvíce pomáhající</w:t>
      </w:r>
      <w:r>
        <w:rPr/>
        <w:t>ch</w:t>
      </w:r>
      <w:r>
        <w:rPr/>
        <w:t xml:space="preserve">.“   </w:t>
      </w:r>
    </w:p>
    <w:p>
      <w:pPr>
        <w:pStyle w:val="Styl4"/>
        <w:spacing w:line="240" w:lineRule="auto"/>
        <w:rPr/>
      </w:pPr>
      <w:bookmarkStart w:id="0" w:name="_PictureBullets"/>
      <w:bookmarkEnd w:id="0"/>
    </w:p>
    <w:sect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5000000000000000000"/>
    <w:charset w:val="ee"/>
    <w:family w:val="roman"/>
    <w:pitch w:val="variable"/>
    <w:sig w:usb0="20007a87" w:usb1="80000000" w:usb2="00000008" w:usb3="00000000" w:csb0="000001ff" w:csb1="00000000"/>
  </w:font>
  <w:font w:name="Symbol">
    <w:panose1 w:val="05000000000000000000"/>
    <w:charset w:val="02"/>
    <w:family w:val="roman"/>
    <w:pitch w:val="variable"/>
    <w:sig w:usb0="00000000" w:usb1="10000000" w:usb2="00000000" w:usb3="00000000" w:csb0="80000000" w:csb1="00000000"/>
  </w:font>
  <w:font w:name="Arial">
    <w:panose1 w:val="05000000000000000000"/>
    <w:charset w:val="ee"/>
    <w:family w:val="swiss"/>
    <w:pitch w:val="variable"/>
    <w:sig w:usb0="20007a87" w:usb1="80000000" w:usb2="00000008" w:usb3="00000000" w:csb0="000001ff" w:csb1="00000000"/>
  </w:font>
  <w:font w:name="Courier New">
    <w:panose1 w:val="05000000000000000000"/>
    <w:charset w:val="ee"/>
    <w:family w:val="modern"/>
    <w:pitch w:val="fixed"/>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footnote w:id="0">
    <w:p>
      <w:pPr>
        <w:pStyle w:val="Footnotetext"/>
        <w:rPr/>
      </w:pPr>
      <w:r>
        <w:rPr>
          <w:rStyle w:val="Footnotereference"/>
        </w:rPr>
        <w:footnoteRef/>
      </w:r>
      <w:r>
        <w:rPr/>
        <w:t xml:space="preserve"> Viz kapitola 3</w:t>
      </w:r>
      <w:r>
        <w:rPr/>
        <w:t xml:space="preserve">,  „Hierarchické“ TK, oddíl 3.4., Daytop Village a počátky „konceptu“.  </w:t>
      </w:r>
    </w:p>
  </w:footnote>
  <w:footnote w:id="1">
    <w:p>
      <w:pPr>
        <w:pStyle w:val="Footnotetext"/>
        <w:rPr/>
      </w:pPr>
      <w:r>
        <w:rPr>
          <w:rStyle w:val="Footnotereference"/>
        </w:rPr>
        <w:footnoteRef/>
      </w:r>
      <w:r>
        <w:rPr/>
        <w:t xml:space="preserve"> Viz kapitoly v první části této práce (kapitola 2, 4,</w:t>
      </w:r>
      <w:r>
        <w:rPr/>
        <w:t xml:space="preserve"> </w:t>
      </w:r>
      <w:r>
        <w:rPr/>
        <w:t xml:space="preserve">5). </w:t>
      </w:r>
    </w:p>
  </w:footnote>
  <w:footnote w:id="2">
    <w:p>
      <w:pPr>
        <w:pStyle w:val="Footnotetext"/>
        <w:rPr/>
      </w:pPr>
      <w:r>
        <w:rPr>
          <w:rStyle w:val="Footnotereference"/>
        </w:rPr>
        <w:footnoteRef/>
      </w:r>
      <w:r>
        <w:rPr/>
        <w:t xml:space="preserve"> V</w:t>
      </w:r>
      <w:r>
        <w:rPr/>
        <w:t xml:space="preserve">iz </w:t>
      </w:r>
      <w:r>
        <w:rPr/>
        <w:t>kapitol</w:t>
      </w:r>
      <w:r>
        <w:rPr/>
        <w:t>a</w:t>
      </w:r>
      <w:r>
        <w:rPr/>
        <w:t xml:space="preserve"> 5</w:t>
      </w:r>
      <w:r>
        <w:rPr/>
        <w:t xml:space="preserve">, TK dnes, oddíl 5.3., Dvě linie a jejich styčné body/Daytop a Emiliehoeve.  </w:t>
      </w:r>
      <w:r>
        <w:rPr/>
        <w:t xml:space="preserve">  </w:t>
      </w:r>
    </w:p>
  </w:footnote>
  <w:footnote w:id="3">
    <w:p>
      <w:pPr>
        <w:pStyle w:val="Footnotetext"/>
        <w:rPr/>
      </w:pPr>
      <w:r>
        <w:rPr>
          <w:rStyle w:val="Footnotereference"/>
        </w:rPr>
        <w:footnoteRef/>
      </w:r>
      <w:r>
        <w:rPr/>
        <w:t xml:space="preserve"> Viz definice TK dle WFTC, 1981; kapitola 3, Hierarchické“ TK, oddíl 3.5., Další „hierarchické“ TK..    </w:t>
      </w:r>
    </w:p>
  </w:footnote>
  <w:footnote w:id="4">
    <w:p>
      <w:pPr>
        <w:pStyle w:val="Footnotetext"/>
        <w:rPr/>
      </w:pPr>
      <w:r>
        <w:rPr>
          <w:rStyle w:val="Footnotereference"/>
        </w:rPr>
        <w:footnoteRef/>
      </w:r>
      <w:r>
        <w:rPr/>
        <w:t xml:space="preserve"> W. Glasser: americký psychoterapeut, formuloval zásady „psychoterapie orientované na realitu“; kniha „Reality Therapy“ (1956, Ney York, Harper </w:t>
      </w:r>
      <w:r>
        <w:rPr>
          <w:rFonts w:cs="Arial"/>
        </w:rPr>
        <w:t>&amp;</w:t>
      </w:r>
      <w:r>
        <w:rPr/>
        <w:t xml:space="preserve"> Row) vyšla i v českém překladu. A. Janov: autor ve své době velmi rozšířené knihy o metodě uvolňování emocí  „The Primal Scream – A revolutionary care for neurosis.“ (1970, New Yor, G.P. Putnam). M.Krystal: psychoanalytická autorka 80.let, zabývající se zejména traumatizaci v dětství.    </w:t>
      </w:r>
    </w:p>
    <w:p>
      <w:pPr>
        <w:pStyle w:val="Footnotetext"/>
        <w:rPr/>
      </w:pPr>
    </w:p>
  </w:footnote>
  <w:footnote w:id="5">
    <w:p>
      <w:pPr>
        <w:pStyle w:val="Footnotetext"/>
        <w:rPr/>
      </w:pPr>
      <w:r>
        <w:rPr>
          <w:rStyle w:val="Footnotereference"/>
        </w:rPr>
        <w:footnoteRef/>
      </w:r>
      <w:r>
        <w:rPr/>
        <w:t xml:space="preserve"> </w:t>
      </w:r>
      <w:r>
        <w:rPr/>
        <w:t>Koymanova práce vyšla v češtině v překladu M. Hajného (Kooyman 2005) v publikaci P. Nevšímala (Nevšímal, 2005)</w:t>
      </w:r>
      <w:r>
        <w:rPr>
          <w:rFonts w:cs="Arial"/>
        </w:rPr>
        <w:t>;</w:t>
      </w:r>
      <w:r>
        <w:rPr/>
        <w:t xml:space="preserve"> o terapeutických faktorech viz str. 33-36 uvedené publikace. Zde se kromě toho opíráme o vlastní pracovní a částečně výkladový převod z anglického vydání (Kooyman 1993), již předtím  použitý v jiných publikacích (Kalina, 2000</w:t>
      </w:r>
      <w:r>
        <w:rPr>
          <w:rFonts w:cs="Arial"/>
        </w:rPr>
        <w:t xml:space="preserve">; Adameček a spol., 2003).    </w:t>
      </w:r>
      <w:r>
        <w:rPr/>
        <w:t xml:space="preserve"> </w:t>
      </w:r>
    </w:p>
  </w:footnote>
  <w:footnote w:id="6">
    <w:p>
      <w:pPr>
        <w:pStyle w:val="Heading2"/>
        <w:rPr/>
      </w:pPr>
      <w:r>
        <w:rPr>
          <w:rStyle w:val="Footnotereference"/>
          <w:b/>
          <w:caps/>
        </w:rPr>
        <w:footnoteRef/>
      </w:r>
      <w:r>
        <w:rPr/>
        <w:t xml:space="preserve"> Kapitola 17, Diskuse k účinným faktorům TK, oddíl 17.1., Kooymanovy terapeutické faktory z pohledu klientů TK</w:t>
      </w:r>
      <w:r>
        <w:rPr/>
        <w:t>.</w:t>
      </w:r>
    </w:p>
  </w:footnote>
  <w:footnote w:id="7">
    <w:p>
      <w:pPr>
        <w:pStyle w:val="Footnotetext"/>
        <w:rPr/>
      </w:pPr>
      <w:r>
        <w:rPr>
          <w:rStyle w:val="Footnotereference"/>
        </w:rPr>
        <w:footnoteRef/>
      </w:r>
      <w:r>
        <w:rPr/>
        <w:t xml:space="preserve"> Kapitola 3, „Hierarchické“ TK, oddíl 3.4., Daytop Village a počátky „konceptu“.  </w:t>
      </w:r>
    </w:p>
  </w:footnote>
  <w:footnote w:id="8">
    <w:p>
      <w:pPr>
        <w:pStyle w:val="Footnotetext"/>
        <w:rPr/>
      </w:pPr>
      <w:r>
        <w:rPr>
          <w:rStyle w:val="Footnotereference"/>
        </w:rPr>
        <w:footnoteRef/>
      </w:r>
      <w:r>
        <w:rPr/>
        <w:t xml:space="preserve"> Viz definice WFTC, 1981, kapitola 3, „Hierarchické“ TK, oddíl 3.5., Další „hierarchické“ TK. </w:t>
      </w:r>
    </w:p>
  </w:footnote>
  <w:footnote w:id="9">
    <w:p>
      <w:pPr>
        <w:pStyle w:val="Footnotetext"/>
        <w:rPr/>
      </w:pPr>
      <w:r>
        <w:rPr>
          <w:rStyle w:val="Footnotereference"/>
        </w:rPr>
        <w:footnoteRef/>
      </w:r>
      <w:r>
        <w:rPr/>
        <w:t xml:space="preserve"> Viz kapitola 15, Principy působení TK (Haigh a Campling). </w:t>
      </w:r>
    </w:p>
  </w:footnote>
  <w:footnote w:id="10">
    <w:p>
      <w:pPr>
        <w:pStyle w:val="Footnotetext"/>
        <w:rPr/>
      </w:pPr>
      <w:r>
        <w:rPr>
          <w:rStyle w:val="Footnotereference"/>
        </w:rPr>
        <w:footnoteRef/>
      </w:r>
      <w:r>
        <w:rPr/>
        <w:t xml:space="preserve"> Viz kapitola 14, Účinné faktory skupinové psychoterapie, oddíl 14.4., Interpersonální učení. </w:t>
      </w:r>
    </w:p>
  </w:footnote>
  <w:footnote w:id="11">
    <w:p>
      <w:pPr>
        <w:pStyle w:val="Heading4"/>
        <w:spacing w:before="0" w:after="0" w:line="240" w:lineRule="auto"/>
        <w:jc w:val="both"/>
        <w:rPr>
          <w:b w:val="off"/>
          <w:sz w:val="20"/>
        </w:rPr>
      </w:pPr>
      <w:r>
        <w:rPr>
          <w:rStyle w:val="Footnotereference"/>
          <w:b w:val="off"/>
        </w:rPr>
        <w:footnoteRef/>
      </w:r>
      <w:r>
        <w:rPr/>
        <w:t xml:space="preserve"> </w:t>
      </w:r>
      <w:r>
        <w:rPr>
          <w:b w:val="off"/>
          <w:sz w:val="20"/>
        </w:rPr>
        <w:t>Například Etická směrnice Evropské psychoterapeutické  asociace (EPA) a z ní vycházející Etický kodex České psychoterapeutické společnosti požadují, aby psychoterapeut seznámil pacienta či klienta mimo jiné i s použitou psychoterapeutickou metodou (je-li to přiměřené a vhodné s ohledem na proces psychoterapeutického léčení) a jejími podmínkami (včetně způsobu</w:t>
      </w:r>
      <w:r>
        <w:rPr/>
        <w:t xml:space="preserve"> </w:t>
      </w:r>
      <w:r>
        <w:rPr>
          <w:b w:val="off"/>
          <w:sz w:val="20"/>
        </w:rPr>
        <w:t>ukončení léčby). Mnoho  psychoterapeutů to však opomíjí a často se argumentuje, že  pro proces psychoterapeutického léčení to vhodné není.</w:t>
      </w:r>
    </w:p>
  </w:footnote>
  <w:footnote w:id="12">
    <w:p>
      <w:pPr>
        <w:pStyle w:val="Footnotetext"/>
        <w:rPr/>
      </w:pPr>
      <w:r>
        <w:rPr>
          <w:rStyle w:val="Footnotereference"/>
        </w:rPr>
        <w:footnoteRef/>
      </w:r>
      <w:r>
        <w:rPr/>
        <w:t xml:space="preserve"> Může být pokládáno i za rigidní a doktrinářské (Raimo, 2001). </w:t>
      </w:r>
    </w:p>
  </w:footnote>
  <w:footnote w:id="13">
    <w:p>
      <w:pPr>
        <w:pStyle w:val="Footnotetext"/>
        <w:rPr/>
      </w:pPr>
      <w:r>
        <w:rPr>
          <w:rStyle w:val="Footnotereference"/>
        </w:rPr>
        <w:footnoteRef/>
      </w:r>
      <w:r>
        <w:rPr/>
        <w:t xml:space="preserve"> Viz kapitola 5, TK dnes, oddíl 5.4., Společné znaky TK.  </w:t>
      </w:r>
    </w:p>
  </w:footnote>
  <w:footnote w:id="14">
    <w:p>
      <w:pPr>
        <w:pStyle w:val="Footnotetext"/>
        <w:rPr/>
      </w:pPr>
      <w:r>
        <w:rPr>
          <w:rStyle w:val="Footnotereference"/>
        </w:rPr>
        <w:footnoteRef/>
      </w:r>
      <w:r>
        <w:rPr/>
        <w:t xml:space="preserve"> Viz kapitola 15, Principy působení TK (Haigh a Campling), oddíl 15.3., Containment. </w:t>
      </w:r>
    </w:p>
  </w:footnote>
  <w:footnote w:id="15">
    <w:p>
      <w:pPr>
        <w:pStyle w:val="Footnotetext"/>
        <w:rPr/>
      </w:pPr>
      <w:r>
        <w:rPr>
          <w:rStyle w:val="Footnotereference"/>
        </w:rPr>
        <w:footnoteRef/>
      </w:r>
      <w:r>
        <w:rPr/>
        <w:t xml:space="preserve"> „Zaplevelení“ sociálního prostředí </w:t>
      </w:r>
      <w:r>
        <w:rPr/>
        <w:t xml:space="preserve">TK </w:t>
      </w:r>
      <w:r>
        <w:rPr/>
        <w:t>pravidly doslova na všechno, nerozlišování mezi pravidly zásadními a méně důležitými, přeměna zvyků na závazná pravidla</w:t>
      </w:r>
      <w:r>
        <w:rPr/>
        <w:t xml:space="preserve"> atd. není podle poznatků autora této práce zcela neobvyklé a může vést ke značnému omezení terapeutického potenciálu TK. </w:t>
      </w:r>
      <w:r>
        <w:rPr/>
        <w:t xml:space="preserve"> </w:t>
      </w:r>
      <w:r>
        <w:rPr/>
        <w:t xml:space="preserve">Zdá se, že se v této formě degenerace spojuje úzkost a obrany týmu i klientů. </w:t>
      </w:r>
    </w:p>
  </w:footnote>
  <w:footnote w:id="16">
    <w:p>
      <w:pPr>
        <w:pStyle w:val="Normal"/>
        <w:numPr>
          <w:ilvl w:val="12"/>
          <w:numId w:val="0"/>
        </w:numPr>
        <w:spacing w:before="0" w:line="240" w:lineRule="auto"/>
        <w:jc w:val="both"/>
        <w:rPr>
          <w:sz w:val="20"/>
        </w:rPr>
      </w:pPr>
      <w:r>
        <w:rPr>
          <w:rStyle w:val="Footnotereference"/>
          <w:sz w:val="20"/>
        </w:rPr>
        <w:footnoteRef/>
      </w:r>
      <w:r>
        <w:rPr>
          <w:sz w:val="20"/>
        </w:rPr>
        <w:t xml:space="preserve"> Viz např. kapitola 7, oddíl 7.2., Demokratické ideály</w:t>
      </w:r>
      <w:r>
        <w:rPr>
          <w:rFonts w:cs="Arial"/>
          <w:sz w:val="20"/>
        </w:rPr>
        <w:t>;</w:t>
      </w:r>
      <w:r>
        <w:rPr>
          <w:sz w:val="20"/>
        </w:rPr>
        <w:t xml:space="preserve"> kapitola 15, oddíl 15.6., Jednání.</w:t>
      </w:r>
    </w:p>
  </w:footnote>
  <w:footnote w:id="17">
    <w:p>
      <w:pPr>
        <w:pStyle w:val="Footnotetext"/>
        <w:rPr/>
      </w:pPr>
      <w:r>
        <w:rPr>
          <w:rStyle w:val="Footnotereference"/>
        </w:rPr>
        <w:footnoteRef/>
      </w:r>
      <w:r>
        <w:rPr/>
        <w:t xml:space="preserve"> Viz kapitola 9, Pravidla a normy TK, oddíl 9.1., Metapravidla.</w:t>
      </w:r>
    </w:p>
  </w:footnote>
  <w:footnote w:id="18">
    <w:p>
      <w:pPr>
        <w:pStyle w:val="Footnotetext"/>
        <w:rPr/>
      </w:pPr>
      <w:r>
        <w:rPr>
          <w:rStyle w:val="Footnotereference"/>
        </w:rPr>
        <w:footnoteRef/>
      </w:r>
      <w:r>
        <w:rPr/>
        <w:t xml:space="preserve"> Viz kapitoly 14 a 15. </w:t>
      </w:r>
    </w:p>
  </w:footnote>
  <w:footnote w:id="19">
    <w:p>
      <w:pPr>
        <w:pStyle w:val="Footnotetext"/>
        <w:rPr/>
      </w:pPr>
      <w:r>
        <w:rPr>
          <w:rStyle w:val="Footnotereference"/>
        </w:rPr>
        <w:footnoteRef/>
      </w:r>
      <w:r>
        <w:rPr/>
        <w:t xml:space="preserve"> Viz kapitola 1, Pojem TK. </w:t>
      </w:r>
    </w:p>
  </w:footnote>
  <w:footnote w:id="20">
    <w:p>
      <w:pPr>
        <w:pStyle w:val="Normal"/>
        <w:spacing w:before="0" w:line="240" w:lineRule="auto"/>
        <w:jc w:val="both"/>
        <w:rPr>
          <w:sz w:val="20"/>
        </w:rPr>
      </w:pPr>
      <w:r>
        <w:rPr>
          <w:rStyle w:val="Footnotereference"/>
          <w:sz w:val="20"/>
        </w:rPr>
        <w:footnoteRef/>
      </w:r>
      <w:r>
        <w:rPr>
          <w:sz w:val="20"/>
        </w:rPr>
        <w:t xml:space="preserve"> Kooyman zde odkazuje na klasickou práci amerického sociologa Talcotta Parsonse „The Social System“ z r. 1951.</w:t>
      </w:r>
      <w:r>
        <w:rPr>
          <w:sz w:val="20"/>
        </w:rPr>
        <w:t xml:space="preserve"> V češtině citováno např. in Chromý, K. (1983). Psychiatrická sociologie. Praha: Avicenum.   </w:t>
      </w:r>
    </w:p>
  </w:footnote>
  <w:footnote w:id="21">
    <w:p>
      <w:pPr>
        <w:pStyle w:val="Footnotetext"/>
        <w:rPr/>
      </w:pPr>
      <w:r>
        <w:rPr>
          <w:rStyle w:val="Footnotereference"/>
        </w:rPr>
        <w:footnoteRef/>
      </w:r>
      <w:r>
        <w:rPr/>
        <w:t xml:space="preserve"> Viz kapitola 10, Role a komunikace klientů a personálu, oddíl 10.1. Role personálu a role klientů; oddíl 10.3., Role člena komunity.   </w:t>
      </w:r>
    </w:p>
  </w:footnote>
  <w:footnote w:id="22">
    <w:p>
      <w:pPr>
        <w:pStyle w:val="Footnotetext"/>
        <w:rPr/>
      </w:pPr>
      <w:r>
        <w:rPr>
          <w:rStyle w:val="Footnotereference"/>
        </w:rPr>
        <w:footnoteRef/>
      </w:r>
      <w:r>
        <w:rPr/>
        <w:t xml:space="preserve"> Yalom (1999);  viz též v této práci kapitola 21, Proces změny. </w:t>
      </w:r>
    </w:p>
  </w:footnote>
  <w:footnote w:id="23">
    <w:p>
      <w:pPr>
        <w:pStyle w:val="Heading4"/>
        <w:spacing w:before="0" w:after="0" w:line="240" w:lineRule="auto"/>
        <w:jc w:val="both"/>
        <w:rPr>
          <w:b w:val="off"/>
          <w:sz w:val="20"/>
        </w:rPr>
      </w:pPr>
      <w:r>
        <w:rPr>
          <w:rStyle w:val="Footnotereference"/>
          <w:b w:val="off"/>
          <w:sz w:val="20"/>
        </w:rPr>
        <w:footnoteRef/>
      </w:r>
      <w:r>
        <w:rPr>
          <w:b w:val="off"/>
          <w:sz w:val="20"/>
        </w:rPr>
        <w:t xml:space="preserve"> Viz kapitola 14, Účinné faktory skupinové psychoterapie, oddíl 14.2., Členství, soudržnost, vzájemná podpora a pomoc.</w:t>
      </w:r>
    </w:p>
  </w:footnote>
  <w:footnote w:id="24">
    <w:p>
      <w:pPr>
        <w:pStyle w:val="Footnotetext"/>
        <w:rPr/>
      </w:pPr>
      <w:r>
        <w:rPr>
          <w:rStyle w:val="Footnotereference"/>
        </w:rPr>
        <w:footnoteRef/>
      </w:r>
      <w:r>
        <w:rPr/>
        <w:t xml:space="preserve"> Viz kapitola 9, Pravidla a normy TK, oddíl 9.5., Zapojení; příloha 4. </w:t>
      </w:r>
    </w:p>
  </w:footnote>
  <w:footnote w:id="25">
    <w:p>
      <w:pPr>
        <w:pStyle w:val="Footnotetext"/>
        <w:rPr/>
      </w:pPr>
      <w:r>
        <w:rPr>
          <w:rStyle w:val="Footnotereference"/>
        </w:rPr>
        <w:footnoteRef/>
      </w:r>
      <w:r>
        <w:rPr/>
        <w:t xml:space="preserve"> Viz příloha 2, Moudrosti TK. </w:t>
      </w:r>
    </w:p>
  </w:footnote>
  <w:footnote w:id="26">
    <w:p>
      <w:pPr>
        <w:pStyle w:val="Footnotetext"/>
        <w:rPr/>
      </w:pPr>
      <w:r>
        <w:rPr>
          <w:rStyle w:val="Footnotereference"/>
        </w:rPr>
        <w:footnoteRef/>
      </w:r>
      <w:r>
        <w:rPr/>
        <w:t xml:space="preserve"> </w:t>
      </w:r>
      <w:r>
        <w:rPr/>
        <w:t xml:space="preserve">Kratochvíl, 1979; </w:t>
      </w:r>
      <w:r>
        <w:rPr/>
        <w:t xml:space="preserve">Adameček a spol., 2003; Gale, </w:t>
      </w:r>
      <w:r>
        <w:rPr/>
        <w:t>2003; v</w:t>
      </w:r>
      <w:r>
        <w:rPr/>
        <w:t xml:space="preserve">iz </w:t>
      </w:r>
      <w:r>
        <w:rPr/>
        <w:t xml:space="preserve">též </w:t>
      </w:r>
      <w:r>
        <w:rPr/>
        <w:t xml:space="preserve">kapitola 8, </w:t>
      </w:r>
      <w:r>
        <w:rPr/>
        <w:t>oddíl 8.3., Změna</w:t>
      </w:r>
      <w:r>
        <w:rPr/>
        <w:t xml:space="preserve">, a </w:t>
      </w:r>
      <w:r>
        <w:rPr/>
        <w:t xml:space="preserve">8.4., Úzdrava a nový životní styl. </w:t>
      </w:r>
    </w:p>
  </w:footnote>
  <w:footnote w:id="27">
    <w:p>
      <w:pPr>
        <w:pStyle w:val="Footnotetext"/>
        <w:rPr/>
      </w:pPr>
      <w:r>
        <w:rPr>
          <w:rStyle w:val="Footnotereference"/>
        </w:rPr>
        <w:footnoteRef/>
      </w:r>
      <w:r>
        <w:rPr/>
        <w:t xml:space="preserve"> Kapitola 21, Proces změny. </w:t>
      </w:r>
    </w:p>
  </w:footnote>
  <w:footnote w:id="28">
    <w:p>
      <w:pPr>
        <w:pStyle w:val="Footnotetext"/>
        <w:rPr/>
      </w:pPr>
      <w:r>
        <w:rPr>
          <w:rStyle w:val="Footnotereference"/>
        </w:rPr>
        <w:footnoteRef/>
      </w:r>
      <w:r>
        <w:rPr/>
        <w:t xml:space="preserve"> Viz kapitola 14, Účinné faktory skupinové psychoterapie, zejména oddíl 14.4., Interpersonální učení. </w:t>
      </w:r>
    </w:p>
  </w:footnote>
  <w:footnote w:id="29">
    <w:p>
      <w:pPr>
        <w:pStyle w:val="Footnotetext"/>
        <w:rPr/>
      </w:pPr>
      <w:r>
        <w:rPr>
          <w:rStyle w:val="Footnotereference"/>
        </w:rPr>
        <w:footnoteRef/>
      </w:r>
      <w:r>
        <w:rPr/>
        <w:t xml:space="preserve"> </w:t>
      </w:r>
      <w:r>
        <w:rPr/>
        <w:t xml:space="preserve">Kooyman oceňoval </w:t>
      </w:r>
      <w:r>
        <w:rPr/>
        <w:t xml:space="preserve">původní Casrielovu metodu „bonding therapy“ a využíval i další </w:t>
      </w:r>
      <w:r>
        <w:rPr/>
        <w:t xml:space="preserve"> přístupy</w:t>
      </w:r>
      <w:r>
        <w:rPr/>
        <w:t xml:space="preserve"> zaměřené na uvolňování emocí, oblíbené </w:t>
      </w:r>
      <w:r>
        <w:rPr/>
        <w:t xml:space="preserve"> </w:t>
      </w:r>
      <w:r>
        <w:rPr/>
        <w:t xml:space="preserve">v </w:t>
      </w:r>
      <w:r>
        <w:rPr/>
        <w:t>60.-70. let</w:t>
      </w:r>
      <w:r>
        <w:rPr/>
        <w:t>ech</w:t>
      </w:r>
      <w:r>
        <w:rPr/>
        <w:t>, např. encounter nebo „Primal Scream“ Arthura Jano</w:t>
      </w:r>
      <w:r>
        <w:rPr/>
        <w:t>v</w:t>
      </w:r>
      <w:r>
        <w:rPr/>
        <w:t xml:space="preserve">a.  </w:t>
      </w:r>
    </w:p>
  </w:footnote>
  <w:footnote w:id="30">
    <w:p>
      <w:pPr>
        <w:pStyle w:val="Styl2"/>
        <w:rPr/>
      </w:pPr>
      <w:r>
        <w:rPr>
          <w:rStyle w:val="Footnotereference"/>
        </w:rPr>
        <w:footnoteRef/>
      </w:r>
      <w:r>
        <w:rPr/>
        <w:t xml:space="preserve"> Prochaska a Norcross</w:t>
      </w:r>
      <w:r>
        <w:rPr/>
        <w:t xml:space="preserve"> (</w:t>
      </w:r>
      <w:r>
        <w:rPr/>
        <w:t>1999</w:t>
      </w:r>
      <w:r>
        <w:rPr/>
        <w:t xml:space="preserve">), </w:t>
      </w:r>
      <w:r>
        <w:rPr/>
        <w:t>Yalom</w:t>
      </w:r>
      <w:r>
        <w:rPr/>
        <w:t xml:space="preserve"> (</w:t>
      </w:r>
      <w:r>
        <w:rPr/>
        <w:t>1999</w:t>
      </w:r>
      <w:r>
        <w:rPr/>
        <w:t xml:space="preserve">), </w:t>
      </w:r>
      <w:r>
        <w:rPr/>
        <w:t>Kratochvíl</w:t>
      </w:r>
      <w:r>
        <w:rPr/>
        <w:t xml:space="preserve"> (</w:t>
      </w:r>
      <w:r>
        <w:rPr/>
        <w:t>2005</w:t>
      </w:r>
      <w:r>
        <w:rPr/>
        <w:t>)</w:t>
      </w:r>
      <w:r>
        <w:rPr/>
        <w:t>; viz kapitoly 13 a 14 této práce.</w:t>
      </w:r>
    </w:p>
  </w:footnote>
  <w:footnote w:id="31">
    <w:p>
      <w:pPr>
        <w:pStyle w:val="Footnotetext"/>
        <w:rPr/>
      </w:pPr>
      <w:r>
        <w:rPr>
          <w:rStyle w:val="Footnotereference"/>
        </w:rPr>
        <w:footnoteRef/>
      </w:r>
      <w:r>
        <w:rPr/>
        <w:t xml:space="preserve"> Pro porozumění zdrojům tohoto negativního sebepojetí je důležitá zejména pasáž v kapitole 15, Principy působení TK (Haigh a Campling), oddíl 15.3., Containment.  </w:t>
      </w:r>
    </w:p>
  </w:footnote>
  <w:footnote w:id="32">
    <w:p>
      <w:pPr>
        <w:pStyle w:val="Footnotetext"/>
        <w:rPr/>
      </w:pPr>
      <w:r>
        <w:rPr>
          <w:rStyle w:val="Footnotereference"/>
        </w:rPr>
        <w:footnoteRef/>
      </w:r>
      <w:r>
        <w:rPr/>
        <w:t xml:space="preserve"> Kooyman nezmiňuje gestalt therapy, i když uvádí techniku „prázdné židle“, která je v tomto přístupu hojně využívaná.  </w:t>
      </w:r>
    </w:p>
  </w:footnote>
  <w:footnote w:id="33">
    <w:p>
      <w:pPr>
        <w:pStyle w:val="Footnotetext"/>
        <w:rPr/>
      </w:pPr>
      <w:r>
        <w:rPr>
          <w:rStyle w:val="Footnotereference"/>
        </w:rPr>
        <w:footnoteRef/>
      </w:r>
      <w:r>
        <w:rPr/>
        <w:t xml:space="preserve"> Viz kapitola 33, Práce s rodinou.    </w:t>
      </w:r>
    </w:p>
  </w:footnote>
  <w:footnote w:id="34">
    <w:p>
      <w:pPr>
        <w:pStyle w:val="Styl2"/>
        <w:rPr/>
      </w:pPr>
      <w:r>
        <w:rPr>
          <w:rStyle w:val="Footnotereference"/>
          <w:b/>
        </w:rPr>
        <w:footnoteRef/>
      </w:r>
      <w:r>
        <w:rPr/>
        <w:t xml:space="preserve"> Yalom (1999), viz též kapitola 14, Účinné faktory skupinové psychoterapie, oddíl 14.5., Získávání nových informací, nácvik nového chování, socializaace.</w:t>
      </w:r>
    </w:p>
  </w:footnote>
  <w:footnote w:id="35">
    <w:p>
      <w:pPr>
        <w:pStyle w:val="Norm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singleLevel"/>
    <w:lvl w:ilvl="0">
      <w:start w:val="1"/>
      <w:numFmt w:val="decimal"/>
      <w:suff w:val="tab"/>
      <w:lvlText w:val="%1."/>
      <w:lvlJc w:val="left"/>
      <w:pPr>
        <w:tabs>
          <w:tab w:val="num" w:leader="none" w:pos="1492"/>
        </w:tabs>
        <w:ind w:left="1492" w:hanging="360"/>
      </w:pPr>
      <w:rPr/>
    </w:lvl>
  </w:abstractNum>
  <w:abstractNum w:abstractNumId="1">
    <w:multiLevelType w:val="singleLevel"/>
    <w:lvl w:ilvl="0">
      <w:start w:val="1"/>
      <w:numFmt w:val="decimal"/>
      <w:suff w:val="tab"/>
      <w:lvlText w:val="%1."/>
      <w:lvlJc w:val="left"/>
      <w:pPr>
        <w:tabs>
          <w:tab w:val="num" w:leader="none" w:pos="1209"/>
        </w:tabs>
        <w:ind w:left="1209" w:hanging="360"/>
      </w:pPr>
      <w:rPr/>
    </w:lvl>
  </w:abstractNum>
  <w:abstractNum w:abstractNumId="2">
    <w:multiLevelType w:val="singleLevel"/>
    <w:lvl w:ilvl="0">
      <w:start w:val="1"/>
      <w:numFmt w:val="decimal"/>
      <w:suff w:val="tab"/>
      <w:lvlText w:val="%1."/>
      <w:lvlJc w:val="left"/>
      <w:pPr>
        <w:tabs>
          <w:tab w:val="num" w:leader="none" w:pos="926"/>
        </w:tabs>
        <w:ind w:left="926" w:hanging="360"/>
      </w:pPr>
      <w:rPr/>
    </w:lvl>
  </w:abstractNum>
  <w:abstractNum w:abstractNumId="3">
    <w:multiLevelType w:val="singleLevel"/>
    <w:lvl w:ilvl="0">
      <w:start w:val="1"/>
      <w:numFmt w:val="decimal"/>
      <w:suff w:val="tab"/>
      <w:lvlText w:val="%1."/>
      <w:lvlJc w:val="left"/>
      <w:pPr>
        <w:tabs>
          <w:tab w:val="num" w:leader="none" w:pos="643"/>
        </w:tabs>
        <w:ind w:left="643" w:hanging="360"/>
      </w:pPr>
      <w:rPr/>
    </w:lvl>
  </w:abstractNum>
  <w:abstractNum w:abstractNumId="4">
    <w:multiLevelType w:val="singleLevel"/>
    <w:lvl w:ilvl="0">
      <w:start w:val="1"/>
      <w:numFmt w:val="bullet"/>
      <w:suff w:val="tab"/>
      <w:lvlText w:val=""/>
      <w:lvlJc w:val="left"/>
      <w:pPr>
        <w:tabs>
          <w:tab w:val="num" w:leader="none" w:pos="1492"/>
        </w:tabs>
        <w:ind w:left="1492" w:hanging="360"/>
      </w:pPr>
      <w:rPr>
        <w:rFonts w:ascii="Symbol" w:hAnsi="Symbol"/>
      </w:rPr>
    </w:lvl>
  </w:abstractNum>
  <w:abstractNum w:abstractNumId="5">
    <w:multiLevelType w:val="singleLevel"/>
    <w:lvl w:ilvl="0">
      <w:start w:val="1"/>
      <w:numFmt w:val="bullet"/>
      <w:suff w:val="tab"/>
      <w:lvlText w:val=""/>
      <w:lvlJc w:val="left"/>
      <w:pPr>
        <w:tabs>
          <w:tab w:val="num" w:leader="none" w:pos="1209"/>
        </w:tabs>
        <w:ind w:left="1209" w:hanging="360"/>
      </w:pPr>
      <w:rPr>
        <w:rFonts w:ascii="Symbol" w:hAnsi="Symbol"/>
      </w:rPr>
    </w:lvl>
  </w:abstractNum>
  <w:abstractNum w:abstractNumId="6">
    <w:multiLevelType w:val="singleLevel"/>
    <w:lvl w:ilvl="0">
      <w:start w:val="1"/>
      <w:numFmt w:val="bullet"/>
      <w:suff w:val="tab"/>
      <w:lvlText w:val=""/>
      <w:lvlJc w:val="left"/>
      <w:pPr>
        <w:tabs>
          <w:tab w:val="num" w:leader="none" w:pos="926"/>
        </w:tabs>
        <w:ind w:left="926" w:hanging="360"/>
      </w:pPr>
      <w:rPr>
        <w:rFonts w:ascii="Symbol" w:hAnsi="Symbol"/>
      </w:rPr>
    </w:lvl>
  </w:abstractNum>
  <w:abstractNum w:abstractNumId="7">
    <w:multiLevelType w:val="singleLevel"/>
    <w:lvl w:ilvl="0">
      <w:start w:val="1"/>
      <w:numFmt w:val="bullet"/>
      <w:suff w:val="tab"/>
      <w:lvlText w:val=""/>
      <w:lvlJc w:val="left"/>
      <w:pPr>
        <w:tabs>
          <w:tab w:val="num" w:leader="none" w:pos="643"/>
        </w:tabs>
        <w:ind w:left="643" w:hanging="360"/>
      </w:pPr>
      <w:rPr>
        <w:rFonts w:ascii="Symbol" w:hAnsi="Symbol"/>
      </w:rPr>
    </w:lvl>
  </w:abstractNum>
  <w:abstractNum w:abstractNumId="8">
    <w:multiLevelType w:val="singleLevel"/>
    <w:lvl w:ilvl="0">
      <w:start w:val="1"/>
      <w:numFmt w:val="decimal"/>
      <w:suff w:val="tab"/>
      <w:lvlText w:val="%1."/>
      <w:lvlJc w:val="left"/>
      <w:pPr>
        <w:tabs>
          <w:tab w:val="num" w:leader="none" w:pos="360"/>
        </w:tabs>
        <w:ind w:left="360" w:hanging="360"/>
      </w:pPr>
      <w:rPr/>
    </w:lvl>
  </w:abstractNum>
  <w:abstractNum w:abstractNumId="9">
    <w:multiLevelType w:val="singleLevel"/>
    <w:lvl w:ilvl="0">
      <w:start w:val="1"/>
      <w:numFmt w:val="bullet"/>
      <w:suff w:val="tab"/>
      <w:lvlText w:val=""/>
      <w:lvlJc w:val="left"/>
      <w:pPr>
        <w:tabs>
          <w:tab w:val="num" w:leader="none" w:pos="360"/>
        </w:tabs>
        <w:ind w:left="360" w:hanging="360"/>
      </w:pPr>
      <w:rPr>
        <w:rFonts w:ascii="Symbol" w:hAnsi="Symbol"/>
      </w:rPr>
    </w:lvl>
  </w:abstractNum>
  <w:abstractNum w:abstractNumId="10">
    <w:multiLevelType w:val="multilevel"/>
    <w:lvl w:ilvl="0">
      <w:start w:val="1"/>
      <w:numFmt w:val="decimal"/>
      <w:suff w:val="tab"/>
      <w:lvlText w:val="%1."/>
      <w:lvlJc w:val="left"/>
      <w:pPr>
        <w:tabs>
          <w:tab w:val="num" w:leader="none" w:pos="720"/>
        </w:tabs>
        <w:ind w:left="720" w:hanging="360"/>
      </w:pPr>
      <w:rPr/>
    </w:lvl>
    <w:lvl w:ilvl="1">
      <w:start w:val="1"/>
      <w:numFmt w:val="lowerLetter"/>
      <w:suff w:val="tab"/>
      <w:lvlText w:val="%2."/>
      <w:lvlJc w:val="left"/>
      <w:pPr>
        <w:tabs>
          <w:tab w:val="num" w:leader="none" w:pos="1440"/>
        </w:tabs>
        <w:ind w:left="1440" w:hanging="360"/>
      </w:pPr>
      <w:rPr/>
    </w:lvl>
    <w:lvl w:ilvl="2">
      <w:start w:val="1"/>
      <w:numFmt w:val="lowerRoman"/>
      <w:suff w:val="tab"/>
      <w:lvlText w:val="%3."/>
      <w:lvlJc w:val="right"/>
      <w:pPr>
        <w:tabs>
          <w:tab w:val="num" w:leader="none" w:pos="2160"/>
        </w:tabs>
        <w:ind w:left="2160" w:hanging="180"/>
      </w:pPr>
      <w:rPr/>
    </w:lvl>
    <w:lvl w:ilvl="3">
      <w:start w:val="1"/>
      <w:numFmt w:val="decimal"/>
      <w:suff w:val="tab"/>
      <w:lvlText w:val="%4."/>
      <w:lvlJc w:val="left"/>
      <w:pPr>
        <w:tabs>
          <w:tab w:val="num" w:leader="none" w:pos="2880"/>
        </w:tabs>
        <w:ind w:left="2880" w:hanging="360"/>
      </w:pPr>
      <w:rPr/>
    </w:lvl>
    <w:lvl w:ilvl="4">
      <w:start w:val="1"/>
      <w:numFmt w:val="lowerLetter"/>
      <w:suff w:val="tab"/>
      <w:lvlText w:val="%5."/>
      <w:lvlJc w:val="left"/>
      <w:pPr>
        <w:tabs>
          <w:tab w:val="num" w:leader="none" w:pos="3600"/>
        </w:tabs>
        <w:ind w:left="3600" w:hanging="360"/>
      </w:pPr>
      <w:rPr/>
    </w:lvl>
    <w:lvl w:ilvl="5">
      <w:start w:val="1"/>
      <w:numFmt w:val="lowerRoman"/>
      <w:suff w:val="tab"/>
      <w:lvlText w:val="%6."/>
      <w:lvlJc w:val="right"/>
      <w:pPr>
        <w:tabs>
          <w:tab w:val="num" w:leader="none" w:pos="4320"/>
        </w:tabs>
        <w:ind w:left="4320" w:hanging="180"/>
      </w:pPr>
      <w:rPr/>
    </w:lvl>
    <w:lvl w:ilvl="6">
      <w:start w:val="1"/>
      <w:numFmt w:val="decimal"/>
      <w:suff w:val="tab"/>
      <w:lvlText w:val="%7."/>
      <w:lvlJc w:val="left"/>
      <w:pPr>
        <w:tabs>
          <w:tab w:val="num" w:leader="none" w:pos="5040"/>
        </w:tabs>
        <w:ind w:left="5040" w:hanging="360"/>
      </w:pPr>
      <w:rPr/>
    </w:lvl>
    <w:lvl w:ilvl="7">
      <w:start w:val="1"/>
      <w:numFmt w:val="lowerLetter"/>
      <w:suff w:val="tab"/>
      <w:lvlText w:val="%8."/>
      <w:lvlJc w:val="left"/>
      <w:pPr>
        <w:tabs>
          <w:tab w:val="num" w:leader="none" w:pos="5760"/>
        </w:tabs>
        <w:ind w:left="5760" w:hanging="360"/>
      </w:pPr>
      <w:rPr/>
    </w:lvl>
    <w:lvl w:ilvl="8">
      <w:start w:val="1"/>
      <w:numFmt w:val="lowerRoman"/>
      <w:suff w:val="tab"/>
      <w:lvlText w:val="%9."/>
      <w:lvlJc w:val="right"/>
      <w:pPr>
        <w:tabs>
          <w:tab w:val="num" w:leader="none" w:pos="6480"/>
        </w:tabs>
        <w:ind w:left="6480" w:hanging="180"/>
      </w:pPr>
      <w:rPr/>
    </w:lvl>
  </w:abstractNum>
  <w:abstractNum w:abstractNumId="11">
    <w:multiLevelType w:val="multilevel"/>
    <w:lvl w:ilvl="0">
      <w:start w:val="1"/>
      <w:numFmt w:val="decimal"/>
      <w:suff w:val="tab"/>
      <w:lvlText w:val="%1."/>
      <w:lvlJc w:val="left"/>
      <w:pPr>
        <w:tabs>
          <w:tab w:val="num" w:leader="none" w:pos="720"/>
        </w:tabs>
        <w:ind w:left="720" w:hanging="360"/>
      </w:pPr>
      <w:rPr/>
    </w:lvl>
    <w:lvl w:ilvl="1">
      <w:start w:val="1"/>
      <w:numFmt w:val="decimal"/>
      <w:suff w:val="tab"/>
      <w:lvlText w:val="%2)"/>
      <w:lvlJc w:val="left"/>
      <w:pPr>
        <w:tabs>
          <w:tab w:val="num" w:leader="none" w:pos="1440"/>
        </w:tabs>
        <w:ind w:left="1440" w:hanging="360"/>
      </w:pPr>
      <w:rPr/>
    </w:lvl>
    <w:lvl w:ilvl="2">
      <w:start w:val="1"/>
      <w:numFmt w:val="lowerRoman"/>
      <w:suff w:val="tab"/>
      <w:lvlText w:val="%3."/>
      <w:lvlJc w:val="right"/>
      <w:pPr>
        <w:tabs>
          <w:tab w:val="num" w:leader="none" w:pos="2160"/>
        </w:tabs>
        <w:ind w:left="2160" w:hanging="180"/>
      </w:pPr>
      <w:rPr/>
    </w:lvl>
    <w:lvl w:ilvl="3">
      <w:start w:val="1"/>
      <w:numFmt w:val="decimal"/>
      <w:suff w:val="tab"/>
      <w:lvlText w:val="%4."/>
      <w:lvlJc w:val="left"/>
      <w:pPr>
        <w:tabs>
          <w:tab w:val="num" w:leader="none" w:pos="2880"/>
        </w:tabs>
        <w:ind w:left="2880" w:hanging="360"/>
      </w:pPr>
      <w:rPr/>
    </w:lvl>
    <w:lvl w:ilvl="4">
      <w:start w:val="1"/>
      <w:numFmt w:val="lowerLetter"/>
      <w:suff w:val="tab"/>
      <w:lvlText w:val="%5."/>
      <w:lvlJc w:val="left"/>
      <w:pPr>
        <w:tabs>
          <w:tab w:val="num" w:leader="none" w:pos="3600"/>
        </w:tabs>
        <w:ind w:left="3600" w:hanging="360"/>
      </w:pPr>
      <w:rPr/>
    </w:lvl>
    <w:lvl w:ilvl="5">
      <w:start w:val="1"/>
      <w:numFmt w:val="lowerRoman"/>
      <w:suff w:val="tab"/>
      <w:lvlText w:val="%6."/>
      <w:lvlJc w:val="right"/>
      <w:pPr>
        <w:tabs>
          <w:tab w:val="num" w:leader="none" w:pos="4320"/>
        </w:tabs>
        <w:ind w:left="4320" w:hanging="180"/>
      </w:pPr>
      <w:rPr/>
    </w:lvl>
    <w:lvl w:ilvl="6">
      <w:start w:val="1"/>
      <w:numFmt w:val="decimal"/>
      <w:suff w:val="tab"/>
      <w:lvlText w:val="%7."/>
      <w:lvlJc w:val="left"/>
      <w:pPr>
        <w:tabs>
          <w:tab w:val="num" w:leader="none" w:pos="5040"/>
        </w:tabs>
        <w:ind w:left="5040" w:hanging="360"/>
      </w:pPr>
      <w:rPr/>
    </w:lvl>
    <w:lvl w:ilvl="7">
      <w:start w:val="1"/>
      <w:numFmt w:val="lowerLetter"/>
      <w:suff w:val="tab"/>
      <w:lvlText w:val="%8."/>
      <w:lvlJc w:val="left"/>
      <w:pPr>
        <w:tabs>
          <w:tab w:val="num" w:leader="none" w:pos="5760"/>
        </w:tabs>
        <w:ind w:left="5760" w:hanging="360"/>
      </w:pPr>
      <w:rPr/>
    </w:lvl>
    <w:lvl w:ilvl="8">
      <w:start w:val="1"/>
      <w:numFmt w:val="lowerRoman"/>
      <w:suff w:val="tab"/>
      <w:lvlText w:val="%9."/>
      <w:lvlJc w:val="right"/>
      <w:pPr>
        <w:tabs>
          <w:tab w:val="num" w:leader="none" w:pos="6480"/>
        </w:tabs>
        <w:ind w:left="6480" w:hanging="180"/>
      </w:pPr>
      <w:rPr/>
    </w:lvl>
  </w:abstractNum>
  <w:abstractNum w:abstractNumId="12">
    <w:multiLevelType w:val="multilevel"/>
    <w:lvl w:ilvl="0">
      <w:start w:val="1"/>
      <w:numFmt w:val="decimal"/>
      <w:suff w:val="tab"/>
      <w:lvlText w:val="%1."/>
      <w:lvlJc w:val="left"/>
      <w:pPr>
        <w:tabs>
          <w:tab w:val="num" w:leader="none" w:pos="720"/>
        </w:tabs>
        <w:ind w:left="720" w:hanging="360"/>
      </w:pPr>
      <w:rPr/>
    </w:lvl>
    <w:lvl w:ilvl="1">
      <w:start w:val="1"/>
      <w:numFmt w:val="decimal"/>
      <w:suff w:val="tab"/>
      <w:lvlText w:val="%2)"/>
      <w:lvlJc w:val="left"/>
      <w:pPr>
        <w:tabs>
          <w:tab w:val="num" w:leader="none" w:pos="1440"/>
        </w:tabs>
        <w:ind w:left="1440" w:hanging="360"/>
      </w:pPr>
      <w:rPr/>
    </w:lvl>
    <w:lvl w:ilvl="2">
      <w:start w:val="1"/>
      <w:numFmt w:val="lowerRoman"/>
      <w:suff w:val="tab"/>
      <w:lvlText w:val="%3."/>
      <w:lvlJc w:val="right"/>
      <w:pPr>
        <w:tabs>
          <w:tab w:val="num" w:leader="none" w:pos="2160"/>
        </w:tabs>
        <w:ind w:left="2160" w:hanging="180"/>
      </w:pPr>
      <w:rPr/>
    </w:lvl>
    <w:lvl w:ilvl="3">
      <w:start w:val="1"/>
      <w:numFmt w:val="decimal"/>
      <w:suff w:val="tab"/>
      <w:lvlText w:val="%4."/>
      <w:lvlJc w:val="left"/>
      <w:pPr>
        <w:tabs>
          <w:tab w:val="num" w:leader="none" w:pos="2880"/>
        </w:tabs>
        <w:ind w:left="2880" w:hanging="360"/>
      </w:pPr>
      <w:rPr/>
    </w:lvl>
    <w:lvl w:ilvl="4">
      <w:start w:val="1"/>
      <w:numFmt w:val="lowerLetter"/>
      <w:suff w:val="tab"/>
      <w:lvlText w:val="%5."/>
      <w:lvlJc w:val="left"/>
      <w:pPr>
        <w:tabs>
          <w:tab w:val="num" w:leader="none" w:pos="3600"/>
        </w:tabs>
        <w:ind w:left="3600" w:hanging="360"/>
      </w:pPr>
      <w:rPr/>
    </w:lvl>
    <w:lvl w:ilvl="5">
      <w:start w:val="1"/>
      <w:numFmt w:val="lowerRoman"/>
      <w:suff w:val="tab"/>
      <w:lvlText w:val="%6."/>
      <w:lvlJc w:val="right"/>
      <w:pPr>
        <w:tabs>
          <w:tab w:val="num" w:leader="none" w:pos="4320"/>
        </w:tabs>
        <w:ind w:left="4320" w:hanging="180"/>
      </w:pPr>
      <w:rPr/>
    </w:lvl>
    <w:lvl w:ilvl="6">
      <w:start w:val="1"/>
      <w:numFmt w:val="decimal"/>
      <w:suff w:val="tab"/>
      <w:lvlText w:val="%7."/>
      <w:lvlJc w:val="left"/>
      <w:pPr>
        <w:tabs>
          <w:tab w:val="num" w:leader="none" w:pos="5040"/>
        </w:tabs>
        <w:ind w:left="5040" w:hanging="360"/>
      </w:pPr>
      <w:rPr/>
    </w:lvl>
    <w:lvl w:ilvl="7">
      <w:start w:val="1"/>
      <w:numFmt w:val="lowerLetter"/>
      <w:suff w:val="tab"/>
      <w:lvlText w:val="%8."/>
      <w:lvlJc w:val="left"/>
      <w:pPr>
        <w:tabs>
          <w:tab w:val="num" w:leader="none" w:pos="5760"/>
        </w:tabs>
        <w:ind w:left="5760" w:hanging="360"/>
      </w:pPr>
      <w:rPr/>
    </w:lvl>
    <w:lvl w:ilvl="8">
      <w:start w:val="1"/>
      <w:numFmt w:val="lowerRoman"/>
      <w:suff w:val="tab"/>
      <w:lvlText w:val="%9."/>
      <w:lvlJc w:val="right"/>
      <w:pPr>
        <w:tabs>
          <w:tab w:val="num" w:leader="none" w:pos="6480"/>
        </w:tabs>
        <w:ind w:left="6480" w:hanging="180"/>
      </w:pPr>
      <w:rPr/>
    </w:lvl>
  </w:abstractNum>
  <w:abstractNum w:abstractNumId="13">
    <w:multiLevelType w:val="multilevel"/>
    <w:lvl w:ilvl="0">
      <w:start w:val="1"/>
      <w:numFmt w:val="bullet"/>
      <w:suff w:val="tab"/>
      <w:lvlText w:val=""/>
      <w:lvlJc w:val="left"/>
      <w:pPr>
        <w:tabs>
          <w:tab w:val="num" w:leader="none" w:pos="720"/>
        </w:tabs>
        <w:ind w:left="720" w:hanging="360"/>
      </w:pPr>
      <w:rPr>
        <w:rFonts w:ascii="Symbol" w:hAnsi="Symbol"/>
      </w:rPr>
    </w:lvl>
    <w:lvl w:ilvl="1">
      <w:start w:val="1"/>
      <w:numFmt w:val="bullet"/>
      <w:suff w:val="tab"/>
      <w:lvlText w:val="o"/>
      <w:lvlJc w:val="left"/>
      <w:pPr>
        <w:tabs>
          <w:tab w:val="num" w:leader="none" w:pos="1440"/>
        </w:tabs>
        <w:ind w:left="1440" w:hanging="360"/>
      </w:pPr>
      <w:rPr>
        <w:rFonts w:ascii="Courier New" w:cs="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cs="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cs="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14">
    <w:multiLevelType w:val="multilevel"/>
    <w:lvl w:ilvl="0">
      <w:start w:val="1"/>
      <w:numFmt w:val="bullet"/>
      <w:suff w:val="tab"/>
      <w:lvlText w:val=""/>
      <w:lvlJc w:val="left"/>
      <w:pPr>
        <w:tabs>
          <w:tab w:val="num" w:leader="none" w:pos="720"/>
        </w:tabs>
        <w:ind w:left="720" w:hanging="360"/>
      </w:pPr>
      <w:rPr>
        <w:rFonts w:ascii="Symbol" w:hAnsi="Symbol"/>
        <w:sz w:val="20"/>
      </w:rPr>
    </w:lvl>
    <w:lvl w:ilvl="1">
      <w:start w:val="1"/>
      <w:numFmt w:val="bullet"/>
      <w:suff w:val="tab"/>
      <w:lvlText w:val="o"/>
      <w:lvlJc w:val="left"/>
      <w:pPr>
        <w:tabs>
          <w:tab w:val="num" w:leader="none" w:pos="1440"/>
        </w:tabs>
        <w:ind w:left="1440" w:hanging="360"/>
      </w:pPr>
      <w:rPr>
        <w:rFonts w:ascii="Courier New" w:hAnsi="Courier New"/>
        <w:sz w:val="20"/>
      </w:rPr>
    </w:lvl>
    <w:lvl w:ilvl="2">
      <w:start w:val="1"/>
      <w:numFmt w:val="bullet"/>
      <w:suff w:val="tab"/>
      <w:lvlText w:val=""/>
      <w:lvlJc w:val="left"/>
      <w:pPr>
        <w:tabs>
          <w:tab w:val="num" w:leader="none" w:pos="2160"/>
        </w:tabs>
        <w:ind w:left="2160" w:hanging="360"/>
      </w:pPr>
      <w:rPr>
        <w:rFonts w:ascii="Wingdings" w:hAnsi="Wingdings"/>
        <w:sz w:val="20"/>
      </w:rPr>
    </w:lvl>
    <w:lvl w:ilvl="3">
      <w:start w:val="1"/>
      <w:numFmt w:val="bullet"/>
      <w:suff w:val="tab"/>
      <w:lvlText w:val=""/>
      <w:lvlJc w:val="left"/>
      <w:pPr>
        <w:tabs>
          <w:tab w:val="num" w:leader="none" w:pos="2880"/>
        </w:tabs>
        <w:ind w:left="2880" w:hanging="360"/>
      </w:pPr>
      <w:rPr>
        <w:rFonts w:ascii="Wingdings" w:hAnsi="Wingdings"/>
        <w:sz w:val="20"/>
      </w:rPr>
    </w:lvl>
    <w:lvl w:ilvl="4">
      <w:start w:val="1"/>
      <w:numFmt w:val="bullet"/>
      <w:suff w:val="tab"/>
      <w:lvlText w:val=""/>
      <w:lvlJc w:val="left"/>
      <w:pPr>
        <w:tabs>
          <w:tab w:val="num" w:leader="none" w:pos="3600"/>
        </w:tabs>
        <w:ind w:left="3600" w:hanging="360"/>
      </w:pPr>
      <w:rPr>
        <w:rFonts w:ascii="Wingdings" w:hAnsi="Wingdings"/>
        <w:sz w:val="20"/>
      </w:rPr>
    </w:lvl>
    <w:lvl w:ilvl="5">
      <w:start w:val="1"/>
      <w:numFmt w:val="bullet"/>
      <w:suff w:val="tab"/>
      <w:lvlText w:val=""/>
      <w:lvlJc w:val="left"/>
      <w:pPr>
        <w:tabs>
          <w:tab w:val="num" w:leader="none" w:pos="4320"/>
        </w:tabs>
        <w:ind w:left="4320" w:hanging="360"/>
      </w:pPr>
      <w:rPr>
        <w:rFonts w:ascii="Wingdings" w:hAnsi="Wingdings"/>
        <w:sz w:val="20"/>
      </w:rPr>
    </w:lvl>
    <w:lvl w:ilvl="6">
      <w:start w:val="1"/>
      <w:numFmt w:val="bullet"/>
      <w:suff w:val="tab"/>
      <w:lvlText w:val=""/>
      <w:lvlJc w:val="left"/>
      <w:pPr>
        <w:tabs>
          <w:tab w:val="num" w:leader="none" w:pos="5040"/>
        </w:tabs>
        <w:ind w:left="5040" w:hanging="360"/>
      </w:pPr>
      <w:rPr>
        <w:rFonts w:ascii="Wingdings" w:hAnsi="Wingdings"/>
        <w:sz w:val="20"/>
      </w:rPr>
    </w:lvl>
    <w:lvl w:ilvl="7">
      <w:start w:val="1"/>
      <w:numFmt w:val="bullet"/>
      <w:suff w:val="tab"/>
      <w:lvlText w:val=""/>
      <w:lvlJc w:val="left"/>
      <w:pPr>
        <w:tabs>
          <w:tab w:val="num" w:leader="none" w:pos="5760"/>
        </w:tabs>
        <w:ind w:left="5760" w:hanging="360"/>
      </w:pPr>
      <w:rPr>
        <w:rFonts w:ascii="Wingdings" w:hAnsi="Wingdings"/>
        <w:sz w:val="20"/>
      </w:rPr>
    </w:lvl>
    <w:lvl w:ilvl="8">
      <w:start w:val="1"/>
      <w:numFmt w:val="bullet"/>
      <w:suff w:val="tab"/>
      <w:lvlText w:val=""/>
      <w:lvlJc w:val="left"/>
      <w:pPr>
        <w:tabs>
          <w:tab w:val="num" w:leader="none" w:pos="6480"/>
        </w:tabs>
        <w:ind w:left="6480" w:hanging="360"/>
      </w:pPr>
      <w:rPr>
        <w:rFonts w:ascii="Wingdings" w:hAnsi="Wingdings"/>
        <w:sz w:val="20"/>
      </w:rPr>
    </w:lvl>
  </w:abstractNum>
  <w:abstractNum w:abstractNumId="15">
    <w:multiLevelType w:val="multilevel"/>
    <w:lvl w:ilvl="0">
      <w:start w:val="15"/>
      <w:numFmt w:val="decimal"/>
      <w:suff w:val="tab"/>
      <w:lvlText w:val="%1."/>
      <w:lvlJc w:val="left"/>
      <w:pPr>
        <w:tabs>
          <w:tab w:val="num" w:leader="none" w:pos="645"/>
        </w:tabs>
        <w:ind w:left="645" w:hanging="645"/>
      </w:pPr>
      <w:rPr/>
    </w:lvl>
    <w:lvl w:ilvl="1">
      <w:start w:val="4"/>
      <w:numFmt w:val="decimal"/>
      <w:suff w:val="tab"/>
      <w:lvlText w:val="%1.%2."/>
      <w:lvlJc w:val="left"/>
      <w:pPr>
        <w:tabs>
          <w:tab w:val="num" w:leader="none" w:pos="720"/>
        </w:tabs>
        <w:ind w:left="720" w:hanging="720"/>
      </w:pPr>
      <w:rPr/>
    </w:lvl>
    <w:lvl w:ilvl="2">
      <w:start w:val="1"/>
      <w:numFmt w:val="decimal"/>
      <w:suff w:val="tab"/>
      <w:lvlText w:val="%1.%2.%3."/>
      <w:lvlJc w:val="left"/>
      <w:pPr>
        <w:tabs>
          <w:tab w:val="num" w:leader="none" w:pos="720"/>
        </w:tabs>
        <w:ind w:left="720" w:hanging="720"/>
      </w:pPr>
      <w:rPr/>
    </w:lvl>
    <w:lvl w:ilvl="3">
      <w:start w:val="1"/>
      <w:numFmt w:val="decimal"/>
      <w:suff w:val="tab"/>
      <w:lvlText w:val="%1.%2.%3.%4."/>
      <w:lvlJc w:val="left"/>
      <w:pPr>
        <w:tabs>
          <w:tab w:val="num" w:leader="none" w:pos="1080"/>
        </w:tabs>
        <w:ind w:left="1080" w:hanging="1080"/>
      </w:pPr>
      <w:rPr/>
    </w:lvl>
    <w:lvl w:ilvl="4">
      <w:start w:val="1"/>
      <w:numFmt w:val="decimal"/>
      <w:suff w:val="tab"/>
      <w:lvlText w:val="%1.%2.%3.%4.%5."/>
      <w:lvlJc w:val="left"/>
      <w:pPr>
        <w:tabs>
          <w:tab w:val="num" w:leader="none" w:pos="1080"/>
        </w:tabs>
        <w:ind w:left="1080" w:hanging="1080"/>
      </w:pPr>
      <w:rPr/>
    </w:lvl>
    <w:lvl w:ilvl="5">
      <w:start w:val="1"/>
      <w:numFmt w:val="decimal"/>
      <w:suff w:val="tab"/>
      <w:lvlText w:val="%1.%2.%3.%4.%5.%6."/>
      <w:lvlJc w:val="left"/>
      <w:pPr>
        <w:tabs>
          <w:tab w:val="num" w:leader="none" w:pos="1440"/>
        </w:tabs>
        <w:ind w:left="1440" w:hanging="1440"/>
      </w:pPr>
      <w:rPr/>
    </w:lvl>
    <w:lvl w:ilvl="6">
      <w:start w:val="1"/>
      <w:numFmt w:val="decimal"/>
      <w:suff w:val="tab"/>
      <w:lvlText w:val="%1.%2.%3.%4.%5.%6.%7."/>
      <w:lvlJc w:val="left"/>
      <w:pPr>
        <w:tabs>
          <w:tab w:val="num" w:leader="none" w:pos="1440"/>
        </w:tabs>
        <w:ind w:left="1440" w:hanging="1440"/>
      </w:pPr>
      <w:rPr/>
    </w:lvl>
    <w:lvl w:ilvl="7">
      <w:start w:val="1"/>
      <w:numFmt w:val="decimal"/>
      <w:suff w:val="tab"/>
      <w:lvlText w:val="%1.%2.%3.%4.%5.%6.%7.%8."/>
      <w:lvlJc w:val="left"/>
      <w:pPr>
        <w:tabs>
          <w:tab w:val="num" w:leader="none" w:pos="1800"/>
        </w:tabs>
        <w:ind w:left="1800" w:hanging="1800"/>
      </w:pPr>
      <w:rPr/>
    </w:lvl>
    <w:lvl w:ilvl="8">
      <w:start w:val="1"/>
      <w:numFmt w:val="decimal"/>
      <w:suff w:val="tab"/>
      <w:lvlText w:val="%1.%2.%3.%4.%5.%6.%7.%8.%9."/>
      <w:lvlJc w:val="left"/>
      <w:pPr>
        <w:tabs>
          <w:tab w:val="num" w:leader="none" w:pos="2160"/>
        </w:tabs>
        <w:ind w:left="2160" w:hanging="2160"/>
      </w:pPr>
      <w:rPr/>
    </w:lvl>
  </w:abstractNum>
  <w:abstractNum w:abstractNumId="16">
    <w:multiLevelType w:val="multilevel"/>
    <w:lvl w:ilvl="0">
      <w:start w:val="1"/>
      <w:numFmt w:val="bullet"/>
      <w:suff w:val="tab"/>
      <w:lvlText w:val=""/>
      <w:lvlJc w:val="left"/>
      <w:pPr>
        <w:tabs>
          <w:tab w:val="num" w:leader="none" w:pos="720"/>
        </w:tabs>
        <w:ind w:left="720" w:hanging="360"/>
      </w:pPr>
      <w:rPr>
        <w:rFonts w:ascii="Symbol" w:hAnsi="Symbol"/>
        <w:sz w:val="20"/>
      </w:rPr>
    </w:lvl>
    <w:lvl w:ilvl="1">
      <w:start w:val="1"/>
      <w:numFmt w:val="bullet"/>
      <w:suff w:val="tab"/>
      <w:lvlText w:val="o"/>
      <w:lvlJc w:val="left"/>
      <w:pPr>
        <w:tabs>
          <w:tab w:val="num" w:leader="none" w:pos="1440"/>
        </w:tabs>
        <w:ind w:left="1440" w:hanging="360"/>
      </w:pPr>
      <w:rPr>
        <w:rFonts w:ascii="Courier New" w:hAnsi="Courier New"/>
        <w:sz w:val="20"/>
      </w:rPr>
    </w:lvl>
    <w:lvl w:ilvl="2">
      <w:start w:val="1"/>
      <w:numFmt w:val="bullet"/>
      <w:suff w:val="tab"/>
      <w:lvlText w:val=""/>
      <w:lvlJc w:val="left"/>
      <w:pPr>
        <w:tabs>
          <w:tab w:val="num" w:leader="none" w:pos="2160"/>
        </w:tabs>
        <w:ind w:left="2160" w:hanging="360"/>
      </w:pPr>
      <w:rPr>
        <w:rFonts w:ascii="Wingdings" w:hAnsi="Wingdings"/>
        <w:sz w:val="20"/>
      </w:rPr>
    </w:lvl>
    <w:lvl w:ilvl="3">
      <w:start w:val="1"/>
      <w:numFmt w:val="bullet"/>
      <w:suff w:val="tab"/>
      <w:lvlText w:val=""/>
      <w:lvlJc w:val="left"/>
      <w:pPr>
        <w:tabs>
          <w:tab w:val="num" w:leader="none" w:pos="2880"/>
        </w:tabs>
        <w:ind w:left="2880" w:hanging="360"/>
      </w:pPr>
      <w:rPr>
        <w:rFonts w:ascii="Wingdings" w:hAnsi="Wingdings"/>
        <w:sz w:val="20"/>
      </w:rPr>
    </w:lvl>
    <w:lvl w:ilvl="4">
      <w:start w:val="1"/>
      <w:numFmt w:val="bullet"/>
      <w:suff w:val="tab"/>
      <w:lvlText w:val=""/>
      <w:lvlJc w:val="left"/>
      <w:pPr>
        <w:tabs>
          <w:tab w:val="num" w:leader="none" w:pos="3600"/>
        </w:tabs>
        <w:ind w:left="3600" w:hanging="360"/>
      </w:pPr>
      <w:rPr>
        <w:rFonts w:ascii="Wingdings" w:hAnsi="Wingdings"/>
        <w:sz w:val="20"/>
      </w:rPr>
    </w:lvl>
    <w:lvl w:ilvl="5">
      <w:start w:val="1"/>
      <w:numFmt w:val="bullet"/>
      <w:suff w:val="tab"/>
      <w:lvlText w:val=""/>
      <w:lvlJc w:val="left"/>
      <w:pPr>
        <w:tabs>
          <w:tab w:val="num" w:leader="none" w:pos="4320"/>
        </w:tabs>
        <w:ind w:left="4320" w:hanging="360"/>
      </w:pPr>
      <w:rPr>
        <w:rFonts w:ascii="Wingdings" w:hAnsi="Wingdings"/>
        <w:sz w:val="20"/>
      </w:rPr>
    </w:lvl>
    <w:lvl w:ilvl="6">
      <w:start w:val="1"/>
      <w:numFmt w:val="bullet"/>
      <w:suff w:val="tab"/>
      <w:lvlText w:val=""/>
      <w:lvlJc w:val="left"/>
      <w:pPr>
        <w:tabs>
          <w:tab w:val="num" w:leader="none" w:pos="5040"/>
        </w:tabs>
        <w:ind w:left="5040" w:hanging="360"/>
      </w:pPr>
      <w:rPr>
        <w:rFonts w:ascii="Wingdings" w:hAnsi="Wingdings"/>
        <w:sz w:val="20"/>
      </w:rPr>
    </w:lvl>
    <w:lvl w:ilvl="7">
      <w:start w:val="1"/>
      <w:numFmt w:val="bullet"/>
      <w:suff w:val="tab"/>
      <w:lvlText w:val=""/>
      <w:lvlJc w:val="left"/>
      <w:pPr>
        <w:tabs>
          <w:tab w:val="num" w:leader="none" w:pos="5760"/>
        </w:tabs>
        <w:ind w:left="5760" w:hanging="360"/>
      </w:pPr>
      <w:rPr>
        <w:rFonts w:ascii="Wingdings" w:hAnsi="Wingdings"/>
        <w:sz w:val="20"/>
      </w:rPr>
    </w:lvl>
    <w:lvl w:ilvl="8">
      <w:start w:val="1"/>
      <w:numFmt w:val="bullet"/>
      <w:suff w:val="tab"/>
      <w:lvlText w:val=""/>
      <w:lvlJc w:val="left"/>
      <w:pPr>
        <w:tabs>
          <w:tab w:val="num" w:leader="none" w:pos="6480"/>
        </w:tabs>
        <w:ind w:left="6480" w:hanging="360"/>
      </w:pPr>
      <w:rPr>
        <w:rFonts w:ascii="Wingdings" w:hAnsi="Wingdings"/>
        <w:sz w:val="20"/>
      </w:rPr>
    </w:lvl>
  </w:abstractNum>
  <w:abstractNum w:abstractNumId="17">
    <w:multiLevelType w:val="multilevel"/>
    <w:lvl w:ilvl="0">
      <w:start w:val="1"/>
      <w:numFmt w:val="bullet"/>
      <w:suff w:val="tab"/>
      <w:lvlText w:val=""/>
      <w:lvlJc w:val="left"/>
      <w:pPr>
        <w:tabs>
          <w:tab w:val="num" w:leader="none" w:pos="720"/>
        </w:tabs>
        <w:ind w:left="720" w:hanging="360"/>
      </w:pPr>
      <w:rPr>
        <w:rFonts w:ascii="Symbol" w:hAnsi="Symbol"/>
      </w:rPr>
    </w:lvl>
    <w:lvl w:ilvl="1">
      <w:start w:val="1"/>
      <w:numFmt w:val="bullet"/>
      <w:suff w:val="tab"/>
      <w:lvlText w:val="o"/>
      <w:lvlJc w:val="left"/>
      <w:pPr>
        <w:tabs>
          <w:tab w:val="num" w:leader="none" w:pos="1440"/>
        </w:tabs>
        <w:ind w:left="1440" w:hanging="360"/>
      </w:pPr>
      <w:rPr>
        <w:rFonts w:ascii="Courier New" w:cs="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cs="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cs="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18">
    <w:multiLevelType w:val="multilevel"/>
    <w:lvl w:ilvl="0">
      <w:start w:val="1"/>
      <w:numFmt w:val="bullet"/>
      <w:suff w:val="tab"/>
      <w:lvlText w:val=""/>
      <w:lvlJc w:val="left"/>
      <w:pPr>
        <w:tabs>
          <w:tab w:val="num" w:leader="none" w:pos="720"/>
        </w:tabs>
        <w:ind w:left="720" w:hanging="360"/>
      </w:pPr>
      <w:rPr>
        <w:rFonts w:ascii="Wingdings" w:hAnsi="Wingdings"/>
      </w:rPr>
    </w:lvl>
    <w:lvl w:ilvl="1">
      <w:start w:val="1"/>
      <w:numFmt w:val="bullet"/>
      <w:suff w:val="tab"/>
      <w:lvlText w:val="o"/>
      <w:lvlJc w:val="left"/>
      <w:pPr>
        <w:tabs>
          <w:tab w:val="num" w:leader="none" w:pos="1440"/>
        </w:tabs>
        <w:ind w:left="1440" w:hanging="360"/>
      </w:pPr>
      <w:rPr>
        <w:rFonts w:ascii="Courier New" w:cs="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cs="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cs="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19">
    <w:multiLevelType w:val="multilevel"/>
    <w:lvl w:ilvl="0">
      <w:start w:val="1"/>
      <w:numFmt w:val="bullet"/>
      <w:suff w:val="tab"/>
      <w:lvlText w:val=""/>
      <w:lvlJc w:val="left"/>
      <w:pPr>
        <w:tabs>
          <w:tab w:val="num" w:leader="none" w:pos="720"/>
        </w:tabs>
        <w:ind w:left="720" w:hanging="360"/>
      </w:pPr>
      <w:rPr>
        <w:rFonts w:ascii="Symbol" w:hAnsi="Symbol"/>
      </w:rPr>
    </w:lvl>
    <w:lvl w:ilvl="1">
      <w:start w:val="1"/>
      <w:numFmt w:val="bullet"/>
      <w:suff w:val="tab"/>
      <w:lvlText w:val="o"/>
      <w:lvlJc w:val="left"/>
      <w:pPr>
        <w:tabs>
          <w:tab w:val="num" w:leader="none" w:pos="1440"/>
        </w:tabs>
        <w:ind w:left="1440" w:hanging="360"/>
      </w:pPr>
      <w:rPr>
        <w:rFonts w:ascii="Courier New" w:cs="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cs="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cs="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20">
    <w:multiLevelType w:val="multilevel"/>
    <w:lvl w:ilvl="0">
      <w:start w:val="1"/>
      <w:numFmt w:val="bullet"/>
      <w:suff w:val="tab"/>
      <w:lvlText w:val=""/>
      <w:lvlJc w:val="left"/>
      <w:pPr>
        <w:tabs>
          <w:tab w:val="num" w:leader="none" w:pos="720"/>
        </w:tabs>
        <w:ind w:left="720" w:hanging="360"/>
      </w:pPr>
      <w:rPr>
        <w:rFonts w:ascii="Symbol" w:hAnsi="Symbol"/>
      </w:rPr>
    </w:lvl>
    <w:lvl w:ilvl="1">
      <w:start w:val="1"/>
      <w:numFmt w:val="bullet"/>
      <w:suff w:val="tab"/>
      <w:lvlText w:val="o"/>
      <w:lvlJc w:val="left"/>
      <w:pPr>
        <w:tabs>
          <w:tab w:val="num" w:leader="none" w:pos="1440"/>
        </w:tabs>
        <w:ind w:left="1440" w:hanging="360"/>
      </w:pPr>
      <w:rPr>
        <w:rFonts w:ascii="Courier New" w:cs="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cs="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cs="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21">
    <w:multiLevelType w:val="multilevel"/>
    <w:lvl w:ilvl="0">
      <w:start w:val="1"/>
      <w:numFmt w:val="bullet"/>
      <w:suff w:val="tab"/>
      <w:lvlText w:val=""/>
      <w:lvlJc w:val="left"/>
      <w:pPr>
        <w:tabs>
          <w:tab w:val="num" w:leader="none" w:pos="720"/>
        </w:tabs>
        <w:ind w:left="720" w:hanging="360"/>
      </w:pPr>
      <w:rPr>
        <w:rFonts w:ascii="Symbol" w:hAnsi="Symbol"/>
      </w:rPr>
    </w:lvl>
    <w:lvl w:ilvl="1">
      <w:start w:val="1"/>
      <w:numFmt w:val="bullet"/>
      <w:suff w:val="tab"/>
      <w:lvlText w:val="o"/>
      <w:lvlJc w:val="left"/>
      <w:pPr>
        <w:tabs>
          <w:tab w:val="num" w:leader="none" w:pos="1440"/>
        </w:tabs>
        <w:ind w:left="1440" w:hanging="360"/>
      </w:pPr>
      <w:rPr>
        <w:rFonts w:ascii="Courier New" w:cs="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cs="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cs="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22">
    <w:multiLevelType w:val="multilevel"/>
    <w:lvl w:ilvl="0">
      <w:start w:val="1"/>
      <w:numFmt w:val="bullet"/>
      <w:suff w:val="tab"/>
      <w:lvlText w:val=""/>
      <w:lvlJc w:val="left"/>
      <w:pPr>
        <w:tabs>
          <w:tab w:val="num" w:leader="none" w:pos="720"/>
        </w:tabs>
        <w:ind w:left="720" w:hanging="360"/>
      </w:pPr>
      <w:rPr>
        <w:rFonts w:ascii="Symbol" w:hAnsi="Symbol"/>
      </w:rPr>
    </w:lvl>
    <w:lvl w:ilvl="1">
      <w:start w:val="1"/>
      <w:numFmt w:val="bullet"/>
      <w:suff w:val="tab"/>
      <w:lvlText w:val="o"/>
      <w:lvlJc w:val="left"/>
      <w:pPr>
        <w:tabs>
          <w:tab w:val="num" w:leader="none" w:pos="1440"/>
        </w:tabs>
        <w:ind w:left="1440" w:hanging="360"/>
      </w:pPr>
      <w:rPr>
        <w:rFonts w:ascii="Courier New" w:cs="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cs="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cs="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23">
    <w:multiLevelType w:val="multilevel"/>
    <w:lvl w:ilvl="0">
      <w:start w:val="1"/>
      <w:numFmt w:val="decimal"/>
      <w:suff w:val="tab"/>
      <w:lvlText w:val="%1."/>
      <w:lvlJc w:val="left"/>
      <w:pPr>
        <w:tabs>
          <w:tab w:val="num" w:leader="none" w:pos="720"/>
        </w:tabs>
        <w:ind w:left="720" w:hanging="360"/>
      </w:pPr>
      <w:rPr/>
    </w:lvl>
    <w:lvl w:ilvl="1">
      <w:start w:val="1"/>
      <w:numFmt w:val="lowerLetter"/>
      <w:suff w:val="tab"/>
      <w:lvlText w:val="%2."/>
      <w:lvlJc w:val="left"/>
      <w:pPr>
        <w:tabs>
          <w:tab w:val="num" w:leader="none" w:pos="1440"/>
        </w:tabs>
        <w:ind w:left="1440" w:hanging="360"/>
      </w:pPr>
      <w:rPr/>
    </w:lvl>
    <w:lvl w:ilvl="2">
      <w:start w:val="1"/>
      <w:numFmt w:val="lowerRoman"/>
      <w:suff w:val="tab"/>
      <w:lvlText w:val="%3."/>
      <w:lvlJc w:val="right"/>
      <w:pPr>
        <w:tabs>
          <w:tab w:val="num" w:leader="none" w:pos="2160"/>
        </w:tabs>
        <w:ind w:left="2160" w:hanging="180"/>
      </w:pPr>
      <w:rPr/>
    </w:lvl>
    <w:lvl w:ilvl="3">
      <w:start w:val="1"/>
      <w:numFmt w:val="decimal"/>
      <w:suff w:val="tab"/>
      <w:lvlText w:val="%4."/>
      <w:lvlJc w:val="left"/>
      <w:pPr>
        <w:tabs>
          <w:tab w:val="num" w:leader="none" w:pos="2880"/>
        </w:tabs>
        <w:ind w:left="2880" w:hanging="360"/>
      </w:pPr>
      <w:rPr/>
    </w:lvl>
    <w:lvl w:ilvl="4">
      <w:start w:val="1"/>
      <w:numFmt w:val="lowerLetter"/>
      <w:suff w:val="tab"/>
      <w:lvlText w:val="%5."/>
      <w:lvlJc w:val="left"/>
      <w:pPr>
        <w:tabs>
          <w:tab w:val="num" w:leader="none" w:pos="3600"/>
        </w:tabs>
        <w:ind w:left="3600" w:hanging="360"/>
      </w:pPr>
      <w:rPr/>
    </w:lvl>
    <w:lvl w:ilvl="5">
      <w:start w:val="1"/>
      <w:numFmt w:val="lowerRoman"/>
      <w:suff w:val="tab"/>
      <w:lvlText w:val="%6."/>
      <w:lvlJc w:val="right"/>
      <w:pPr>
        <w:tabs>
          <w:tab w:val="num" w:leader="none" w:pos="4320"/>
        </w:tabs>
        <w:ind w:left="4320" w:hanging="180"/>
      </w:pPr>
      <w:rPr/>
    </w:lvl>
    <w:lvl w:ilvl="6">
      <w:start w:val="1"/>
      <w:numFmt w:val="decimal"/>
      <w:suff w:val="tab"/>
      <w:lvlText w:val="%7."/>
      <w:lvlJc w:val="left"/>
      <w:pPr>
        <w:tabs>
          <w:tab w:val="num" w:leader="none" w:pos="5040"/>
        </w:tabs>
        <w:ind w:left="5040" w:hanging="360"/>
      </w:pPr>
      <w:rPr/>
    </w:lvl>
    <w:lvl w:ilvl="7">
      <w:start w:val="1"/>
      <w:numFmt w:val="lowerLetter"/>
      <w:suff w:val="tab"/>
      <w:lvlText w:val="%8."/>
      <w:lvlJc w:val="left"/>
      <w:pPr>
        <w:tabs>
          <w:tab w:val="num" w:leader="none" w:pos="5760"/>
        </w:tabs>
        <w:ind w:left="5760" w:hanging="360"/>
      </w:pPr>
      <w:rPr/>
    </w:lvl>
    <w:lvl w:ilvl="8">
      <w:start w:val="1"/>
      <w:numFmt w:val="lowerRoman"/>
      <w:suff w:val="tab"/>
      <w:lvlText w:val="%9."/>
      <w:lvlJc w:val="right"/>
      <w:pPr>
        <w:tabs>
          <w:tab w:val="num" w:leader="none" w:pos="6480"/>
        </w:tabs>
        <w:ind w:left="6480" w:hanging="180"/>
      </w:pPr>
      <w:rPr/>
    </w:lvl>
  </w:abstractNum>
  <w:abstractNum w:abstractNumId="24">
    <w:multiLevelType w:val="multilevel"/>
    <w:lvl w:ilvl="0">
      <w:start w:val="1"/>
      <w:numFmt w:val="decimal"/>
      <w:suff w:val="tab"/>
      <w:lvlText w:val="%1)"/>
      <w:lvlJc w:val="left"/>
      <w:pPr>
        <w:tabs>
          <w:tab w:val="num" w:leader="none" w:pos="360"/>
        </w:tabs>
        <w:ind w:left="360" w:hanging="360"/>
      </w:pPr>
      <w:rPr/>
    </w:lvl>
    <w:lvl w:ilvl="1">
      <w:start w:val="1"/>
      <w:numFmt w:val="bullet"/>
      <w:suff w:val="tab"/>
      <w:lvlText w:val=""/>
      <w:lvlJc w:val="left"/>
      <w:pPr>
        <w:tabs>
          <w:tab w:val="num" w:leader="none" w:pos="1080"/>
        </w:tabs>
        <w:ind w:left="1080" w:hanging="360"/>
      </w:pPr>
      <w:rPr>
        <w:rFonts w:ascii="Symbol" w:hAnsi="Symbol"/>
      </w:rPr>
    </w:lvl>
    <w:lvl w:ilvl="2">
      <w:start w:val="1"/>
      <w:numFmt w:val="lowerRoman"/>
      <w:suff w:val="tab"/>
      <w:lvlText w:val="%3."/>
      <w:lvlJc w:val="right"/>
      <w:pPr>
        <w:tabs>
          <w:tab w:val="num" w:leader="none" w:pos="1800"/>
        </w:tabs>
        <w:ind w:left="1800" w:hanging="180"/>
      </w:pPr>
      <w:rPr/>
    </w:lvl>
    <w:lvl w:ilvl="3">
      <w:start w:val="1"/>
      <w:numFmt w:val="decimal"/>
      <w:suff w:val="tab"/>
      <w:lvlText w:val="%4."/>
      <w:lvlJc w:val="left"/>
      <w:pPr>
        <w:tabs>
          <w:tab w:val="num" w:leader="none" w:pos="2520"/>
        </w:tabs>
        <w:ind w:left="2520" w:hanging="360"/>
      </w:pPr>
      <w:rPr/>
    </w:lvl>
    <w:lvl w:ilvl="4">
      <w:start w:val="1"/>
      <w:numFmt w:val="lowerLetter"/>
      <w:suff w:val="tab"/>
      <w:lvlText w:val="%5."/>
      <w:lvlJc w:val="left"/>
      <w:pPr>
        <w:tabs>
          <w:tab w:val="num" w:leader="none" w:pos="3240"/>
        </w:tabs>
        <w:ind w:left="3240" w:hanging="360"/>
      </w:pPr>
      <w:rPr/>
    </w:lvl>
    <w:lvl w:ilvl="5">
      <w:start w:val="1"/>
      <w:numFmt w:val="lowerRoman"/>
      <w:suff w:val="tab"/>
      <w:lvlText w:val="%6."/>
      <w:lvlJc w:val="right"/>
      <w:pPr>
        <w:tabs>
          <w:tab w:val="num" w:leader="none" w:pos="3960"/>
        </w:tabs>
        <w:ind w:left="3960" w:hanging="180"/>
      </w:pPr>
      <w:rPr/>
    </w:lvl>
    <w:lvl w:ilvl="6">
      <w:start w:val="1"/>
      <w:numFmt w:val="decimal"/>
      <w:suff w:val="tab"/>
      <w:lvlText w:val="%7."/>
      <w:lvlJc w:val="left"/>
      <w:pPr>
        <w:tabs>
          <w:tab w:val="num" w:leader="none" w:pos="4680"/>
        </w:tabs>
        <w:ind w:left="4680" w:hanging="360"/>
      </w:pPr>
      <w:rPr/>
    </w:lvl>
    <w:lvl w:ilvl="7">
      <w:start w:val="1"/>
      <w:numFmt w:val="lowerLetter"/>
      <w:suff w:val="tab"/>
      <w:lvlText w:val="%8."/>
      <w:lvlJc w:val="left"/>
      <w:pPr>
        <w:tabs>
          <w:tab w:val="num" w:leader="none" w:pos="5400"/>
        </w:tabs>
        <w:ind w:left="5400" w:hanging="360"/>
      </w:pPr>
      <w:rPr/>
    </w:lvl>
    <w:lvl w:ilvl="8">
      <w:start w:val="1"/>
      <w:numFmt w:val="lowerRoman"/>
      <w:suff w:val="tab"/>
      <w:lvlText w:val="%9."/>
      <w:lvlJc w:val="right"/>
      <w:pPr>
        <w:tabs>
          <w:tab w:val="num" w:leader="none" w:pos="6120"/>
        </w:tabs>
        <w:ind w:left="6120" w:hanging="180"/>
      </w:pPr>
      <w:rPr/>
    </w:lvl>
  </w:abstractNum>
  <w:abstractNum w:abstractNumId="25">
    <w:multiLevelType w:val="multilevel"/>
    <w:lvl w:ilvl="0">
      <w:start w:val="1"/>
      <w:numFmt w:val="decimal"/>
      <w:suff w:val="tab"/>
      <w:lvlText w:val="%1."/>
      <w:lvlJc w:val="left"/>
      <w:pPr>
        <w:tabs>
          <w:tab w:val="num" w:leader="none" w:pos="720"/>
        </w:tabs>
        <w:ind w:left="720" w:hanging="360"/>
      </w:pPr>
      <w:rPr/>
    </w:lvl>
    <w:lvl w:ilvl="1">
      <w:start w:val="1"/>
      <w:numFmt w:val="lowerLetter"/>
      <w:suff w:val="tab"/>
      <w:lvlText w:val="%2."/>
      <w:lvlJc w:val="left"/>
      <w:pPr>
        <w:tabs>
          <w:tab w:val="num" w:leader="none" w:pos="1440"/>
        </w:tabs>
        <w:ind w:left="1440" w:hanging="360"/>
      </w:pPr>
      <w:rPr/>
    </w:lvl>
    <w:lvl w:ilvl="2">
      <w:start w:val="1"/>
      <w:numFmt w:val="lowerRoman"/>
      <w:suff w:val="tab"/>
      <w:lvlText w:val="%3."/>
      <w:lvlJc w:val="right"/>
      <w:pPr>
        <w:tabs>
          <w:tab w:val="num" w:leader="none" w:pos="2160"/>
        </w:tabs>
        <w:ind w:left="2160" w:hanging="180"/>
      </w:pPr>
      <w:rPr/>
    </w:lvl>
    <w:lvl w:ilvl="3">
      <w:start w:val="1"/>
      <w:numFmt w:val="decimal"/>
      <w:suff w:val="tab"/>
      <w:lvlText w:val="%4."/>
      <w:lvlJc w:val="left"/>
      <w:pPr>
        <w:tabs>
          <w:tab w:val="num" w:leader="none" w:pos="2880"/>
        </w:tabs>
        <w:ind w:left="2880" w:hanging="360"/>
      </w:pPr>
      <w:rPr/>
    </w:lvl>
    <w:lvl w:ilvl="4">
      <w:start w:val="1"/>
      <w:numFmt w:val="lowerLetter"/>
      <w:suff w:val="tab"/>
      <w:lvlText w:val="%5."/>
      <w:lvlJc w:val="left"/>
      <w:pPr>
        <w:tabs>
          <w:tab w:val="num" w:leader="none" w:pos="3600"/>
        </w:tabs>
        <w:ind w:left="3600" w:hanging="360"/>
      </w:pPr>
      <w:rPr/>
    </w:lvl>
    <w:lvl w:ilvl="5">
      <w:start w:val="1"/>
      <w:numFmt w:val="lowerRoman"/>
      <w:suff w:val="tab"/>
      <w:lvlText w:val="%6."/>
      <w:lvlJc w:val="right"/>
      <w:pPr>
        <w:tabs>
          <w:tab w:val="num" w:leader="none" w:pos="4320"/>
        </w:tabs>
        <w:ind w:left="4320" w:hanging="180"/>
      </w:pPr>
      <w:rPr/>
    </w:lvl>
    <w:lvl w:ilvl="6">
      <w:start w:val="1"/>
      <w:numFmt w:val="decimal"/>
      <w:suff w:val="tab"/>
      <w:lvlText w:val="%7."/>
      <w:lvlJc w:val="left"/>
      <w:pPr>
        <w:tabs>
          <w:tab w:val="num" w:leader="none" w:pos="5040"/>
        </w:tabs>
        <w:ind w:left="5040" w:hanging="360"/>
      </w:pPr>
      <w:rPr/>
    </w:lvl>
    <w:lvl w:ilvl="7">
      <w:start w:val="1"/>
      <w:numFmt w:val="lowerLetter"/>
      <w:suff w:val="tab"/>
      <w:lvlText w:val="%8."/>
      <w:lvlJc w:val="left"/>
      <w:pPr>
        <w:tabs>
          <w:tab w:val="num" w:leader="none" w:pos="5760"/>
        </w:tabs>
        <w:ind w:left="5760" w:hanging="360"/>
      </w:pPr>
      <w:rPr/>
    </w:lvl>
    <w:lvl w:ilvl="8">
      <w:start w:val="1"/>
      <w:numFmt w:val="lowerRoman"/>
      <w:suff w:val="tab"/>
      <w:lvlText w:val="%9."/>
      <w:lvlJc w:val="right"/>
      <w:pPr>
        <w:tabs>
          <w:tab w:val="num" w:leader="none" w:pos="6480"/>
        </w:tabs>
        <w:ind w:left="6480" w:hanging="180"/>
      </w:pPr>
      <w:rPr/>
    </w:lvl>
  </w:abstractNum>
  <w:abstractNum w:abstractNumId="26">
    <w:multiLevelType w:val="multilevel"/>
    <w:lvl w:ilvl="0">
      <w:start w:val="1"/>
      <w:numFmt w:val="bullet"/>
      <w:suff w:val="tab"/>
      <w:lvlText w:val=""/>
      <w:lvlJc w:val="left"/>
      <w:pPr>
        <w:tabs>
          <w:tab w:val="num" w:leader="none" w:pos="720"/>
        </w:tabs>
        <w:ind w:left="720" w:hanging="360"/>
      </w:pPr>
      <w:rPr>
        <w:rFonts w:ascii="Wingdings" w:hAnsi="Wingdings"/>
      </w:rPr>
    </w:lvl>
    <w:lvl w:ilvl="1">
      <w:start w:val="1"/>
      <w:numFmt w:val="bullet"/>
      <w:suff w:val="tab"/>
      <w:lvlText w:val="o"/>
      <w:lvlJc w:val="left"/>
      <w:pPr>
        <w:tabs>
          <w:tab w:val="num" w:leader="none" w:pos="1440"/>
        </w:tabs>
        <w:ind w:left="1440" w:hanging="360"/>
      </w:pPr>
      <w:rPr>
        <w:rFonts w:ascii="Courier New" w:cs="Courier New" w:hAnsi="Courier New"/>
      </w:rPr>
    </w:lvl>
    <w:lvl w:ilvl="2">
      <w:start w:val="1"/>
      <w:numFmt w:val="bullet"/>
      <w:suff w:val="tab"/>
      <w:lvlText w:val=""/>
      <w:lvlJc w:val="left"/>
      <w:pPr>
        <w:tabs>
          <w:tab w:val="num" w:leader="none" w:pos="2160"/>
        </w:tabs>
        <w:ind w:left="2160" w:hanging="360"/>
      </w:pPr>
      <w:rPr>
        <w:rFonts w:ascii="Wingdings" w:hAnsi="Wingdings"/>
      </w:rPr>
    </w:lvl>
    <w:lvl w:ilvl="3">
      <w:start w:val="1"/>
      <w:numFmt w:val="bullet"/>
      <w:suff w:val="tab"/>
      <w:lvlText w:val=""/>
      <w:lvlJc w:val="left"/>
      <w:pPr>
        <w:tabs>
          <w:tab w:val="num" w:leader="none" w:pos="2880"/>
        </w:tabs>
        <w:ind w:left="2880" w:hanging="360"/>
      </w:pPr>
      <w:rPr>
        <w:rFonts w:ascii="Symbol" w:hAnsi="Symbol"/>
      </w:rPr>
    </w:lvl>
    <w:lvl w:ilvl="4">
      <w:start w:val="1"/>
      <w:numFmt w:val="bullet"/>
      <w:suff w:val="tab"/>
      <w:lvlText w:val="o"/>
      <w:lvlJc w:val="left"/>
      <w:pPr>
        <w:tabs>
          <w:tab w:val="num" w:leader="none" w:pos="3600"/>
        </w:tabs>
        <w:ind w:left="3600" w:hanging="360"/>
      </w:pPr>
      <w:rPr>
        <w:rFonts w:ascii="Courier New" w:cs="Courier New" w:hAnsi="Courier New"/>
      </w:rPr>
    </w:lvl>
    <w:lvl w:ilvl="5">
      <w:start w:val="1"/>
      <w:numFmt w:val="bullet"/>
      <w:suff w:val="tab"/>
      <w:lvlText w:val=""/>
      <w:lvlJc w:val="left"/>
      <w:pPr>
        <w:tabs>
          <w:tab w:val="num" w:leader="none" w:pos="4320"/>
        </w:tabs>
        <w:ind w:left="4320" w:hanging="360"/>
      </w:pPr>
      <w:rPr>
        <w:rFonts w:ascii="Wingdings" w:hAnsi="Wingdings"/>
      </w:rPr>
    </w:lvl>
    <w:lvl w:ilvl="6">
      <w:start w:val="1"/>
      <w:numFmt w:val="bullet"/>
      <w:suff w:val="tab"/>
      <w:lvlText w:val=""/>
      <w:lvlJc w:val="left"/>
      <w:pPr>
        <w:tabs>
          <w:tab w:val="num" w:leader="none" w:pos="5040"/>
        </w:tabs>
        <w:ind w:left="5040" w:hanging="360"/>
      </w:pPr>
      <w:rPr>
        <w:rFonts w:ascii="Symbol" w:hAnsi="Symbol"/>
      </w:rPr>
    </w:lvl>
    <w:lvl w:ilvl="7">
      <w:start w:val="1"/>
      <w:numFmt w:val="bullet"/>
      <w:suff w:val="tab"/>
      <w:lvlText w:val="o"/>
      <w:lvlJc w:val="left"/>
      <w:pPr>
        <w:tabs>
          <w:tab w:val="num" w:leader="none" w:pos="5760"/>
        </w:tabs>
        <w:ind w:left="5760" w:hanging="360"/>
      </w:pPr>
      <w:rPr>
        <w:rFonts w:ascii="Courier New" w:cs="Courier New" w:hAnsi="Courier New"/>
      </w:rPr>
    </w:lvl>
    <w:lvl w:ilvl="8">
      <w:start w:val="1"/>
      <w:numFmt w:val="bullet"/>
      <w:suff w:val="tab"/>
      <w:lvlText w:val=""/>
      <w:lvlJc w:val="left"/>
      <w:pPr>
        <w:tabs>
          <w:tab w:val="num" w:leader="none" w:pos="6480"/>
        </w:tabs>
        <w:ind w:left="6480" w:hanging="360"/>
      </w:pPr>
      <w:rPr>
        <w:rFonts w:ascii="Wingdings" w:hAnsi="Wingdings"/>
      </w:rPr>
    </w:lvl>
  </w:abstractNum>
  <w:abstractNum w:abstractNumId="27">
    <w:multiLevelType w:val="multilevel"/>
    <w:lvl w:ilvl="0">
      <w:start w:val="1"/>
      <w:numFmt w:val="decimal"/>
      <w:suff w:val="tab"/>
      <w:lvlText w:val="%1."/>
      <w:lvlJc w:val="left"/>
      <w:pPr>
        <w:tabs>
          <w:tab w:val="num" w:leader="none" w:pos="720"/>
        </w:tabs>
        <w:ind w:left="720" w:hanging="360"/>
      </w:pPr>
      <w:rPr/>
    </w:lvl>
    <w:lvl w:ilvl="1">
      <w:start w:val="1"/>
      <w:numFmt w:val="lowerLetter"/>
      <w:suff w:val="tab"/>
      <w:lvlText w:val="%2."/>
      <w:lvlJc w:val="left"/>
      <w:pPr>
        <w:tabs>
          <w:tab w:val="num" w:leader="none" w:pos="1440"/>
        </w:tabs>
        <w:ind w:left="1440" w:hanging="360"/>
      </w:pPr>
      <w:rPr/>
    </w:lvl>
    <w:lvl w:ilvl="2">
      <w:start w:val="1"/>
      <w:numFmt w:val="lowerRoman"/>
      <w:suff w:val="tab"/>
      <w:lvlText w:val="%3."/>
      <w:lvlJc w:val="right"/>
      <w:pPr>
        <w:tabs>
          <w:tab w:val="num" w:leader="none" w:pos="2160"/>
        </w:tabs>
        <w:ind w:left="2160" w:hanging="180"/>
      </w:pPr>
      <w:rPr/>
    </w:lvl>
    <w:lvl w:ilvl="3">
      <w:start w:val="1"/>
      <w:numFmt w:val="decimal"/>
      <w:suff w:val="tab"/>
      <w:lvlText w:val="%4."/>
      <w:lvlJc w:val="left"/>
      <w:pPr>
        <w:tabs>
          <w:tab w:val="num" w:leader="none" w:pos="2880"/>
        </w:tabs>
        <w:ind w:left="2880" w:hanging="360"/>
      </w:pPr>
      <w:rPr/>
    </w:lvl>
    <w:lvl w:ilvl="4">
      <w:start w:val="1"/>
      <w:numFmt w:val="lowerLetter"/>
      <w:suff w:val="tab"/>
      <w:lvlText w:val="%5."/>
      <w:lvlJc w:val="left"/>
      <w:pPr>
        <w:tabs>
          <w:tab w:val="num" w:leader="none" w:pos="3600"/>
        </w:tabs>
        <w:ind w:left="3600" w:hanging="360"/>
      </w:pPr>
      <w:rPr/>
    </w:lvl>
    <w:lvl w:ilvl="5">
      <w:start w:val="1"/>
      <w:numFmt w:val="lowerRoman"/>
      <w:suff w:val="tab"/>
      <w:lvlText w:val="%6."/>
      <w:lvlJc w:val="right"/>
      <w:pPr>
        <w:tabs>
          <w:tab w:val="num" w:leader="none" w:pos="4320"/>
        </w:tabs>
        <w:ind w:left="4320" w:hanging="180"/>
      </w:pPr>
      <w:rPr/>
    </w:lvl>
    <w:lvl w:ilvl="6">
      <w:start w:val="1"/>
      <w:numFmt w:val="decimal"/>
      <w:suff w:val="tab"/>
      <w:lvlText w:val="%7."/>
      <w:lvlJc w:val="left"/>
      <w:pPr>
        <w:tabs>
          <w:tab w:val="num" w:leader="none" w:pos="5040"/>
        </w:tabs>
        <w:ind w:left="5040" w:hanging="360"/>
      </w:pPr>
      <w:rPr/>
    </w:lvl>
    <w:lvl w:ilvl="7">
      <w:start w:val="1"/>
      <w:numFmt w:val="lowerLetter"/>
      <w:suff w:val="tab"/>
      <w:lvlText w:val="%8."/>
      <w:lvlJc w:val="left"/>
      <w:pPr>
        <w:tabs>
          <w:tab w:val="num" w:leader="none" w:pos="5760"/>
        </w:tabs>
        <w:ind w:left="5760" w:hanging="360"/>
      </w:pPr>
      <w:rPr/>
    </w:lvl>
    <w:lvl w:ilvl="8">
      <w:start w:val="1"/>
      <w:numFmt w:val="lowerRoman"/>
      <w:suff w:val="tab"/>
      <w:lvlText w:val="%9."/>
      <w:lvlJc w:val="right"/>
      <w:pPr>
        <w:tabs>
          <w:tab w:val="num" w:leader="none" w:pos="6480"/>
        </w:tabs>
        <w:ind w:left="6480" w:hanging="180"/>
      </w:pPr>
      <w:rPr/>
    </w:lvl>
  </w:abstractNum>
  <w:abstractNum w:abstractNumId="28">
    <w:multiLevelType w:val="multilevel"/>
    <w:lvl w:ilvl="0">
      <w:start w:val="1"/>
      <w:numFmt w:val="decimal"/>
      <w:suff w:val="tab"/>
      <w:lvlText w:val="%1."/>
      <w:lvlJc w:val="left"/>
      <w:pPr>
        <w:tabs>
          <w:tab w:val="num" w:leader="none" w:pos="720"/>
        </w:tabs>
        <w:ind w:left="720" w:hanging="360"/>
      </w:pPr>
      <w:rPr/>
    </w:lvl>
    <w:lvl w:ilvl="1">
      <w:start w:val="11"/>
      <w:numFmt w:val="decimal"/>
      <w:suff w:val="tab"/>
      <w:lvlText w:val="%2)"/>
      <w:lvlJc w:val="left"/>
      <w:pPr>
        <w:tabs>
          <w:tab w:val="num" w:leader="none" w:pos="1440"/>
        </w:tabs>
        <w:ind w:left="1440" w:hanging="360"/>
      </w:pPr>
      <w:rPr/>
    </w:lvl>
    <w:lvl w:ilvl="2">
      <w:start w:val="1"/>
      <w:numFmt w:val="lowerRoman"/>
      <w:suff w:val="tab"/>
      <w:lvlText w:val="%3."/>
      <w:lvlJc w:val="right"/>
      <w:pPr>
        <w:tabs>
          <w:tab w:val="num" w:leader="none" w:pos="2160"/>
        </w:tabs>
        <w:ind w:left="2160" w:hanging="180"/>
      </w:pPr>
      <w:rPr/>
    </w:lvl>
    <w:lvl w:ilvl="3">
      <w:start w:val="1"/>
      <w:numFmt w:val="decimal"/>
      <w:suff w:val="tab"/>
      <w:lvlText w:val="%4."/>
      <w:lvlJc w:val="left"/>
      <w:pPr>
        <w:tabs>
          <w:tab w:val="num" w:leader="none" w:pos="2880"/>
        </w:tabs>
        <w:ind w:left="2880" w:hanging="360"/>
      </w:pPr>
      <w:rPr/>
    </w:lvl>
    <w:lvl w:ilvl="4">
      <w:start w:val="1"/>
      <w:numFmt w:val="lowerLetter"/>
      <w:suff w:val="tab"/>
      <w:lvlText w:val="%5."/>
      <w:lvlJc w:val="left"/>
      <w:pPr>
        <w:tabs>
          <w:tab w:val="num" w:leader="none" w:pos="3600"/>
        </w:tabs>
        <w:ind w:left="3600" w:hanging="360"/>
      </w:pPr>
      <w:rPr/>
    </w:lvl>
    <w:lvl w:ilvl="5">
      <w:start w:val="1"/>
      <w:numFmt w:val="lowerRoman"/>
      <w:suff w:val="tab"/>
      <w:lvlText w:val="%6."/>
      <w:lvlJc w:val="right"/>
      <w:pPr>
        <w:tabs>
          <w:tab w:val="num" w:leader="none" w:pos="4320"/>
        </w:tabs>
        <w:ind w:left="4320" w:hanging="180"/>
      </w:pPr>
      <w:rPr/>
    </w:lvl>
    <w:lvl w:ilvl="6">
      <w:start w:val="1"/>
      <w:numFmt w:val="decimal"/>
      <w:suff w:val="tab"/>
      <w:lvlText w:val="%7."/>
      <w:lvlJc w:val="left"/>
      <w:pPr>
        <w:tabs>
          <w:tab w:val="num" w:leader="none" w:pos="5040"/>
        </w:tabs>
        <w:ind w:left="5040" w:hanging="360"/>
      </w:pPr>
      <w:rPr/>
    </w:lvl>
    <w:lvl w:ilvl="7">
      <w:start w:val="1"/>
      <w:numFmt w:val="lowerLetter"/>
      <w:suff w:val="tab"/>
      <w:lvlText w:val="%8."/>
      <w:lvlJc w:val="left"/>
      <w:pPr>
        <w:tabs>
          <w:tab w:val="num" w:leader="none" w:pos="5760"/>
        </w:tabs>
        <w:ind w:left="5760" w:hanging="360"/>
      </w:pPr>
      <w:rPr/>
    </w:lvl>
    <w:lvl w:ilvl="8">
      <w:start w:val="1"/>
      <w:numFmt w:val="lowerRoman"/>
      <w:suff w:val="tab"/>
      <w:lvlText w:val="%9."/>
      <w:lvlJc w:val="right"/>
      <w:pPr>
        <w:tabs>
          <w:tab w:val="num" w:leader="none" w:pos="6480"/>
        </w:tabs>
        <w:ind w:left="6480" w:hanging="180"/>
      </w:pPr>
      <w:rPr/>
    </w:lvl>
  </w:abstractNum>
  <w:abstractNum w:abstractNumId="29">
    <w:multiLevelType w:val="singleLevel"/>
    <w:lvl w:ilvl="0">
      <w:start w:val="1"/>
      <w:numFmt w:val="bullet"/>
      <w:suff w:val="tab"/>
      <w:lvlText w:val=""/>
      <w:lvlJc w:val="left"/>
      <w:pPr>
        <w:tabs>
          <w:tab w:val="num" w:leader="none" w:pos="360"/>
        </w:tabs>
        <w:ind w:left="360" w:hanging="360"/>
      </w:pPr>
      <w:rPr>
        <w:rFonts w:ascii="Wingdings" w:hAnsi="Wingdings"/>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28"/>
  </w:num>
  <w:num w:numId="13">
    <w:abstractNumId w:val="11"/>
  </w:num>
  <w:num w:numId="14">
    <w:abstractNumId w:val="27"/>
  </w:num>
  <w:num w:numId="15">
    <w:abstractNumId w:val="14"/>
  </w:num>
  <w:num w:numId="16">
    <w:abstractNumId w:val="16"/>
  </w:num>
  <w:num w:numId="17">
    <w:abstractNumId w:val="15"/>
  </w:num>
  <w:num w:numId="18">
    <w:abstractNumId w:val="25"/>
  </w:num>
  <w:num w:numId="19">
    <w:abstractNumId w:val="22"/>
  </w:num>
  <w:num w:numId="20">
    <w:abstractNumId w:val="17"/>
  </w:num>
  <w:num w:numId="21">
    <w:abstractNumId w:val="21"/>
  </w:num>
  <w:num w:numId="22">
    <w:abstractNumId w:val="13"/>
  </w:num>
  <w:num w:numId="23">
    <w:abstractNumId w:val="24"/>
  </w:num>
  <w:num w:numId="24">
    <w:abstractNumId w:val="19"/>
  </w:num>
  <w:num w:numId="25">
    <w:abstractNumId w:val="29"/>
  </w:num>
  <w:num w:numId="26">
    <w:abstractNumId w:val="26"/>
  </w:num>
  <w:num w:numId="27">
    <w:abstractNumId w:val="18"/>
  </w:num>
  <w:num w:numId="28">
    <w:abstractNumId w:val="20"/>
  </w:num>
  <w:num w:numId="29">
    <w:abstractNumId w:val="10"/>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trackRevisions w:val="off"/>
  <w:footnotePr/>
  <w:endnotePr/>
</w:settings>
</file>

<file path=word/styles.xml><?xml version="1.0" encoding="utf-8"?>
<w:styles xmlns:r="http://schemas.openxmlformats.org/officeDocument/2006/relationships" xmlns:w="http://schemas.openxmlformats.org/wordprocessingml/2006/main">
  <w:docDefaults>
    <w:rPrDefault>
      <w:rPr>
        <w:sz w:val="24"/>
      </w:rPr>
    </w:rPrDefault>
    <w:pPrDefault/>
  </w:docDefaults>
  <w:style w:type="paragraph" w:default="1" w:styleId="Normal">
    <w:name w:val="Normal"/>
    <w:link w:val="Normal"/>
    <w:uiPriority w:val="0"/>
    <w:pPr>
      <w:spacing w:before="120" w:line="360" w:lineRule="auto"/>
    </w:pPr>
    <w:rPr>
      <w:rFonts w:ascii="Arial" w:hAnsi="Arial"/>
      <w:sz w:val="24"/>
      <w:lang w:val="cs-CZ" w:bidi="ar-SA" w:eastAsia="cs-CZ"/>
    </w:rPr>
  </w:style>
  <w:style w:type="paragraph" w:styleId="Heading1">
    <w:name w:val="Heading 1"/>
    <w:basedOn w:val="Normal"/>
    <w:next w:val="Normal"/>
    <w:link w:val="Normal"/>
    <w:uiPriority w:val="0"/>
    <w:pPr>
      <w:keepNext w:val="on"/>
      <w:spacing w:after="120"/>
      <w:jc w:val="both"/>
    </w:pPr>
    <w:rPr>
      <w:rFonts w:cs="Arial"/>
      <w:b/>
      <w:caps/>
    </w:rPr>
  </w:style>
  <w:style w:type="paragraph" w:styleId="Heading2">
    <w:name w:val="Heading 2"/>
    <w:basedOn w:val="Normal"/>
    <w:next w:val="Normal"/>
    <w:link w:val="Normal"/>
    <w:uiPriority w:val="0"/>
    <w:pPr>
      <w:keepNext w:val="on"/>
      <w:spacing w:before="0" w:line="240" w:lineRule="auto"/>
    </w:pPr>
    <w:rPr>
      <w:sz w:val="20"/>
    </w:rPr>
  </w:style>
  <w:style w:type="paragraph" w:styleId="Heading3">
    <w:name w:val="Heading 3"/>
    <w:basedOn w:val="Normal"/>
    <w:next w:val="Normal"/>
    <w:link w:val="Normal"/>
    <w:uiPriority w:val="0"/>
    <w:pPr>
      <w:keepNext w:val="on"/>
    </w:pPr>
    <w:rPr>
      <w:rFonts w:cs="Arial"/>
      <w:b/>
      <w:i/>
    </w:rPr>
  </w:style>
  <w:style w:type="paragraph" w:styleId="Heading4">
    <w:name w:val="Heading 4"/>
    <w:basedOn w:val="Normal"/>
    <w:next w:val="Normal"/>
    <w:link w:val="Normal"/>
    <w:uiPriority w:val="0"/>
    <w:pPr>
      <w:keepNext w:val="on"/>
      <w:spacing w:before="240" w:after="60" w:line="360" w:lineRule="auto"/>
      <w:jc w:val="left"/>
    </w:pPr>
    <w:rPr>
      <w:b/>
    </w:rPr>
  </w:style>
  <w:style w:type="paragraph" w:styleId="Heading9">
    <w:name w:val="Heading 9"/>
    <w:basedOn w:val="Normal"/>
    <w:next w:val="Normal"/>
    <w:link w:val="Normal"/>
    <w:uiPriority w:val="0"/>
    <w:pPr>
      <w:spacing w:before="240" w:after="60" w:line="360" w:lineRule="auto"/>
      <w:jc w:val="left"/>
    </w:pPr>
    <w:rPr>
      <w:rFonts w:cs="Arial"/>
      <w:sz w:val="22"/>
    </w:rPr>
  </w:style>
  <w:style w:type="character" w:default="1" w:styleId="Defaultparagraphfont">
    <w:name w:val="Default paragraph font"/>
    <w:link w:val="Normal"/>
    <w:uiPriority w:val="0"/>
    <w:semiHidden w:val="on"/>
    <w:rPr/>
  </w:style>
  <w:style w:type="table" w:default="1" w:styleId="Normaltable">
    <w:name w:val="Normal table"/>
    <w:uiPriority w:val="0"/>
    <w:semiHidden w:val="on"/>
    <w:pPr/>
    <w:rPr/>
    <w:tblPr>
      <w:tblInd w:w="0" w:type="dxa"/>
      <w:tblCellMar>
        <w:top w:w="0" w:type="dxa"/>
        <w:left w:w="108" w:type="dxa"/>
        <w:bottom w:w="0" w:type="dxa"/>
        <w:right w:w="108" w:type="dxa"/>
      </w:tblCellMar>
    </w:tblPr>
  </w:style>
  <w:style w:type="numbering" w:default="1" w:styleId="Nolist">
    <w:name w:val="No list"/>
    <w:uiPriority w:val="0"/>
    <w:semiHidden w:val="on"/>
    <w:pPr/>
  </w:style>
  <w:style w:type="paragraph" w:customStyle="1" w:styleId="Styl1">
    <w:name w:val="Styl1"/>
    <w:basedOn w:val="Normal"/>
    <w:link w:val="Normal"/>
    <w:uiPriority w:val="0"/>
    <w:pPr>
      <w:jc w:val="both"/>
    </w:pPr>
    <w:rPr>
      <w:b/>
    </w:rPr>
  </w:style>
  <w:style w:type="paragraph" w:styleId="Footnotetext">
    <w:name w:val="Footnote text"/>
    <w:basedOn w:val="Normal"/>
    <w:link w:val="Textpozn.podarouChar"/>
    <w:uiPriority w:val="0"/>
    <w:semiHidden w:val="on"/>
    <w:pPr>
      <w:spacing w:before="0" w:line="240" w:lineRule="auto"/>
      <w:jc w:val="both"/>
    </w:pPr>
    <w:rPr>
      <w:rFonts w:ascii="Arial" w:hAnsi="Arial"/>
      <w:sz w:val="20"/>
    </w:rPr>
  </w:style>
  <w:style w:type="paragraph" w:customStyle="1" w:styleId="Styl2">
    <w:name w:val="Styl2"/>
    <w:basedOn w:val="Footnotetext"/>
    <w:link w:val="Normal"/>
    <w:uiPriority w:val="0"/>
    <w:pPr/>
    <w:rPr/>
  </w:style>
  <w:style w:type="paragraph" w:styleId="Bodytext">
    <w:name w:val="Body text"/>
    <w:basedOn w:val="Normal"/>
    <w:link w:val="Normal"/>
    <w:uiPriority w:val="0"/>
    <w:pPr>
      <w:spacing w:before="0"/>
    </w:pPr>
    <w:rPr>
      <w:lang w:val="en-US"/>
    </w:rPr>
  </w:style>
  <w:style w:type="paragraph" w:customStyle="1" w:styleId="Styl3">
    <w:name w:val="Styl3"/>
    <w:basedOn w:val="Normal"/>
    <w:link w:val="Normal"/>
    <w:uiPriority w:val="0"/>
    <w:pPr>
      <w:spacing w:line="240" w:lineRule="auto"/>
    </w:pPr>
    <w:rPr>
      <w:i/>
    </w:rPr>
  </w:style>
  <w:style w:type="paragraph" w:customStyle="1" w:styleId="StylPed:0b.dkovn:jednoduch">
    <w:name w:val="Styl Před:  0 b. Řádkování:  jednoduché"/>
    <w:basedOn w:val="Normal"/>
    <w:link w:val="Normal"/>
    <w:uiPriority w:val="0"/>
    <w:pPr>
      <w:spacing w:before="0"/>
    </w:pPr>
    <w:rPr/>
  </w:style>
  <w:style w:type="table" w:styleId="Tablegrid">
    <w:name w:val="Table grid"/>
    <w:basedOn w:val="Normaltable"/>
    <w:uiPriority w:val="0"/>
    <w:pPr>
      <w:spacing w:before="120"/>
      <w:jc w:val="both"/>
    </w:pPr>
    <w:rPr/>
    <w:tblPr>
      <w:tblBorders>
        <w:top w:val="single" w:color="auto" w:sz="4"/>
        <w:left w:val="single" w:color="auto" w:sz="4"/>
        <w:bottom w:val="single" w:color="auto" w:sz="4"/>
        <w:right w:val="single" w:color="auto" w:sz="4"/>
        <w:insideH w:val="single" w:color="auto" w:sz="4"/>
        <w:insideV w:val="single" w:color="auto" w:sz="4"/>
      </w:tblBorders>
    </w:tblPr>
  </w:style>
  <w:style w:type="paragraph" w:styleId="Htmlpreformatted">
    <w:name w:val="Html preformatted"/>
    <w:basedOn w:val="Normal"/>
    <w:link w:val="Normal"/>
    <w:uiPriority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before="0"/>
      <w:jc w:val="left"/>
    </w:pPr>
    <w:rPr>
      <w:rFonts w:ascii="Courier New" w:cs="Courier New" w:hAnsi="Courier New"/>
      <w:color w:val="000000"/>
      <w:sz w:val="20"/>
    </w:rPr>
  </w:style>
  <w:style w:type="paragraph" w:customStyle="1" w:styleId="Styl4">
    <w:name w:val="Styl4"/>
    <w:basedOn w:val="Normal"/>
    <w:link w:val="Styl4Char"/>
    <w:uiPriority w:val="0"/>
    <w:pPr>
      <w:spacing w:line="360" w:lineRule="auto"/>
    </w:pPr>
    <w:rPr/>
  </w:style>
  <w:style w:type="character" w:styleId="Footnotereference">
    <w:name w:val="Footnote reference"/>
    <w:basedOn w:val="Defaultparagraphfont"/>
    <w:link w:val="Normal"/>
    <w:uiPriority w:val="0"/>
    <w:semiHidden w:val="on"/>
    <w:rPr>
      <w:vertAlign w:val="superscript"/>
    </w:rPr>
  </w:style>
  <w:style w:type="character" w:customStyle="1" w:styleId="Styl4Char">
    <w:name w:val="Styl4 Char"/>
    <w:basedOn w:val="Defaultparagraphfont"/>
    <w:link w:val="Styl4"/>
    <w:uiPriority w:val="0"/>
    <w:rPr>
      <w:rFonts w:ascii="Arial" w:hAnsi="Arial"/>
      <w:sz w:val="24"/>
      <w:lang w:val="cs-CZ" w:bidi="ar-SA" w:eastAsia="cs-CZ"/>
    </w:rPr>
  </w:style>
  <w:style w:type="paragraph" w:styleId="Title">
    <w:name w:val="Title"/>
    <w:basedOn w:val="Normal"/>
    <w:link w:val="Normal"/>
    <w:uiPriority w:val="0"/>
    <w:pPr>
      <w:spacing w:before="0" w:line="360" w:lineRule="auto"/>
      <w:jc w:val="center"/>
    </w:pPr>
    <w:rPr>
      <w:rFonts w:ascii="Times New Roman" w:hAnsi="Times New Roman"/>
      <w:b/>
      <w:sz w:val="32"/>
      <w:u w:val="single"/>
    </w:rPr>
  </w:style>
  <w:style w:type="paragraph" w:styleId="Normal(web)">
    <w:name w:val="Normal (web)"/>
    <w:basedOn w:val="Normal"/>
    <w:link w:val="Normal"/>
    <w:uiPriority w:val="0"/>
    <w:pPr>
      <w:spacing w:before="100" w:after="100"/>
      <w:jc w:val="left"/>
    </w:pPr>
    <w:rPr>
      <w:rFonts w:ascii="Times New Roman" w:hAnsi="Times New Roman"/>
    </w:rPr>
  </w:style>
  <w:style w:type="paragraph" w:styleId="Bodytextindent">
    <w:name w:val="Body text indent"/>
    <w:basedOn w:val="Normal"/>
    <w:link w:val="Normal"/>
    <w:uiPriority w:val="0"/>
    <w:pPr>
      <w:spacing w:before="0" w:line="360" w:lineRule="auto"/>
      <w:ind w:firstLine="567"/>
    </w:pPr>
    <w:rPr>
      <w:rFonts w:ascii="Courier New" w:hAnsi="Courier New"/>
      <w:sz w:val="20"/>
    </w:rPr>
  </w:style>
  <w:style w:type="paragraph" w:styleId="Bodytextindent2">
    <w:name w:val="Body text indent 2"/>
    <w:basedOn w:val="Normal"/>
    <w:link w:val="Normal"/>
    <w:uiPriority w:val="0"/>
    <w:pPr>
      <w:spacing w:after="120" w:line="480" w:lineRule="auto"/>
      <w:ind w:left="283"/>
    </w:pPr>
    <w:rPr/>
  </w:style>
  <w:style w:type="character" w:styleId="Hyperlink">
    <w:name w:val="Hyperlink"/>
    <w:basedOn w:val="Defaultparagraphfont"/>
    <w:link w:val="Normal"/>
    <w:uiPriority w:val="0"/>
    <w:rPr>
      <w:color w:val="0000ff"/>
      <w:u w:val="single"/>
    </w:rPr>
  </w:style>
  <w:style w:type="paragraph" w:customStyle="1" w:styleId="Stylebodytextindent216ptlinespacingsingle1">
    <w:name w:val="Stylebodytextindent216ptlinespacingsingle1"/>
    <w:basedOn w:val="Normal"/>
    <w:link w:val="Normal"/>
    <w:uiPriority w:val="0"/>
    <w:pPr>
      <w:spacing w:before="100" w:after="100"/>
      <w:jc w:val="left"/>
    </w:pPr>
    <w:rPr>
      <w:rFonts w:ascii="Times New Roman" w:hAnsi="Times New Roman"/>
    </w:rPr>
  </w:style>
  <w:style w:type="character" w:customStyle="1" w:styleId="Textpozn.podarouChar">
    <w:name w:val="Text pozn. pod čarou Char"/>
    <w:basedOn w:val="Defaultparagraphfont"/>
    <w:link w:val="Footnotetext"/>
    <w:uiPriority w:val="0"/>
    <w:rPr>
      <w:rFonts w:ascii="Arial" w:hAnsi="Arial"/>
      <w:lang w:val="cs-CZ" w:bidi="ar-SA" w:eastAsia="cs-CZ"/>
    </w:rPr>
  </w:style>
  <w:style w:type="character" w:styleId="Strong">
    <w:name w:val="Strong"/>
    <w:basedOn w:val="Defaultparagraphfont"/>
    <w:uiPriority w:val="22"/>
    <w:qFormat w:val="on"/>
    <w:rPr>
      <w:b/>
    </w:rPr>
  </w:style>
  <w:style w:type="character" w:styleId="IntenseReference">
    <w:name w:val="Intense Reference"/>
    <w:basedOn w:val="Defaultparagraphfont"/>
    <w:uiPriority w:val="32"/>
    <w:qFormat w:val="on"/>
    <w:rPr>
      <w:b/>
      <w:smallCaps/>
      <w:color w:val="c0504d"/>
      <w:spacing w:val="5"/>
      <w:u w:val="single"/>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Emphasis">
    <w:name w:val="Emphasis"/>
    <w:basedOn w:val="Defaultparagraphfont"/>
    <w:uiPriority w:val="20"/>
    <w:qFormat w:val="on"/>
    <w:rPr>
      <w:i/>
    </w:rPr>
  </w:style>
  <w:style w:type="character" w:customStyle="1" w:styleId="FootnoteTextChar">
    <w:name w:val="Footnote Text Char"/>
    <w:basedOn w:val="Defaultparagraphfont"/>
    <w:link w:val="Footnotetext"/>
    <w:uiPriority w:val="99"/>
    <w:semiHidden w:val="on"/>
    <w:rPr>
      <w:sz w:val="20"/>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styleId="SubtleReference">
    <w:name w:val="Subtle Reference"/>
    <w:basedOn w:val="Defaultparagraphfont"/>
    <w:uiPriority w:val="31"/>
    <w:qFormat w:val="on"/>
    <w:rPr>
      <w:smallCaps/>
      <w:color w:val="c0504d"/>
      <w:u w:val="single"/>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IntenseQuoteChar">
    <w:name w:val="Intense Quote Char"/>
    <w:basedOn w:val="Defaultparagraphfont"/>
    <w:link w:val="IntenseQuote"/>
    <w:uiPriority w:val="30"/>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character" w:styleId="IntenseEmphasis">
    <w:name w:val="Intense Emphasis"/>
    <w:basedOn w:val="Defaultparagraphfont"/>
    <w:uiPriority w:val="21"/>
    <w:qFormat w:val="on"/>
    <w:rPr>
      <w:b/>
      <w:i/>
      <w:color w:val="4f81bd"/>
    </w:rPr>
  </w:style>
  <w:style w:type="paragraph" w:styleId="NoSpacing">
    <w:name w:val="No Spacing"/>
    <w:uiPriority w:val="1"/>
    <w:qFormat w:val="on"/>
    <w:pPr>
      <w:spacing w:after="0" w:line="240" w:lineRule="auto"/>
    </w:p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character" w:customStyle="1" w:styleId="QuoteChar">
    <w:name w:val="Quote Char"/>
    <w:basedOn w:val="Defaultparagraphfont"/>
    <w:link w:val="Quote"/>
    <w:uiPriority w:val="29"/>
    <w:rPr>
      <w:i/>
      <w:color w:val="000000"/>
    </w:r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theme" Target="theme/theme1.xml"/><Relationship Id="rId4" Type="http://schemas.openxmlformats.org/officeDocument/2006/relationships/numbering" Target="numbering.xml"/><Relationship Id="rId3"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otnotes" Target="footnote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Kapitola 14 </dc:title>
  <dc:subject/>
  <dc:creator>kalina</dc:creator>
  <cp:lastModifiedBy>sobotka</cp:lastModifiedBy>
</cp:coreProperties>
</file>