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01" w:rsidRPr="00551A64" w:rsidRDefault="00B72201" w:rsidP="00B72201">
      <w:pPr>
        <w:spacing w:before="120" w:after="120" w:line="268" w:lineRule="auto"/>
        <w:outlineLvl w:val="2"/>
        <w:rPr>
          <w:rFonts w:ascii="Times New Roman" w:eastAsia="Times New Roman" w:hAnsi="Times New Roman" w:cs="Times New Roman"/>
          <w:b/>
          <w:iCs/>
          <w:smallCaps/>
          <w:spacing w:val="5"/>
          <w:szCs w:val="26"/>
        </w:rPr>
      </w:pPr>
      <w:bookmarkStart w:id="0" w:name="_Toc437800518"/>
      <w:r w:rsidRPr="00551A64">
        <w:rPr>
          <w:rFonts w:ascii="Times New Roman" w:eastAsia="Times New Roman" w:hAnsi="Times New Roman" w:cs="Times New Roman"/>
          <w:b/>
          <w:iCs/>
          <w:smallCaps/>
          <w:spacing w:val="5"/>
          <w:szCs w:val="26"/>
        </w:rPr>
        <w:t>Compromise programming a composite programming</w:t>
      </w:r>
      <w:bookmarkEnd w:id="0"/>
    </w:p>
    <w:p w:rsidR="00312CA6" w:rsidRPr="00551A64" w:rsidRDefault="00312CA6" w:rsidP="00312CA6">
      <w:pPr>
        <w:pStyle w:val="Odstavecseseznamem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0"/>
          <w:lang w:eastAsia="cs-CZ"/>
        </w:rPr>
      </w:pPr>
      <w:r w:rsidRPr="00551A64">
        <w:rPr>
          <w:rFonts w:ascii="Times New Roman" w:eastAsia="Times New Roman" w:hAnsi="Times New Roman" w:cs="Times New Roman"/>
          <w:i/>
          <w:sz w:val="20"/>
          <w:lang w:eastAsia="cs-CZ"/>
        </w:rPr>
        <w:t>Analytici zvolí kritéria posuzování investičního záměru, identifikují stakeholdery a shromažďují data ohledně technické proveditelnosti jednotlivých variant</w:t>
      </w:r>
    </w:p>
    <w:p w:rsidR="00312CA6" w:rsidRPr="00551A64" w:rsidRDefault="00312CA6" w:rsidP="00312CA6">
      <w:pPr>
        <w:pStyle w:val="Odstavecseseznamem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0"/>
          <w:lang w:eastAsia="cs-CZ"/>
        </w:rPr>
      </w:pPr>
      <w:r w:rsidRPr="00551A64">
        <w:rPr>
          <w:rFonts w:ascii="Times New Roman" w:eastAsia="Times New Roman" w:hAnsi="Times New Roman" w:cs="Times New Roman"/>
          <w:i/>
          <w:sz w:val="20"/>
          <w:lang w:eastAsia="cs-CZ"/>
        </w:rPr>
        <w:t>Poté definují (hypotetickou) ideální podobu řešení daného problému. Ideální řešení je nalezeno pomocí kombinace maximálních hodnot všech zvolených kritérií.</w:t>
      </w:r>
    </w:p>
    <w:p w:rsidR="00312CA6" w:rsidRPr="00551A64" w:rsidRDefault="00312CA6" w:rsidP="00312CA6">
      <w:pPr>
        <w:pStyle w:val="Odstavecseseznamem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0"/>
          <w:lang w:eastAsia="cs-CZ"/>
        </w:rPr>
      </w:pPr>
      <w:r w:rsidRPr="00551A64">
        <w:rPr>
          <w:rFonts w:ascii="Times New Roman" w:eastAsia="Times New Roman" w:hAnsi="Times New Roman" w:cs="Times New Roman"/>
          <w:i/>
          <w:sz w:val="20"/>
          <w:lang w:eastAsia="cs-CZ"/>
        </w:rPr>
        <w:t>Skutečně dosažitelná řešení se hledají mezi minimálními akceptovatelnými hodnotami dosahování kritérií na straně jedné, a ideálními (maximálními) hodnotami naplnění kritérií na straně druhé.</w:t>
      </w:r>
    </w:p>
    <w:p w:rsidR="00312CA6" w:rsidRPr="00551A64" w:rsidRDefault="00312CA6" w:rsidP="00312CA6">
      <w:pPr>
        <w:pStyle w:val="Odstavecseseznamem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0"/>
          <w:lang w:eastAsia="cs-CZ"/>
        </w:rPr>
      </w:pPr>
      <w:r w:rsidRPr="00551A64">
        <w:rPr>
          <w:rFonts w:ascii="Times New Roman" w:eastAsia="Times New Roman" w:hAnsi="Times New Roman" w:cs="Times New Roman"/>
          <w:i/>
          <w:sz w:val="20"/>
          <w:lang w:eastAsia="cs-CZ"/>
        </w:rPr>
        <w:t>Nato se pomocí softwaru hledají všechna pareto optimální řešení – taková, u nichž nemůže dojít ke zlepšení naplňování jednoho z kritérií, aniž by bylo zhoršeno naplňování kritéria jiného.</w:t>
      </w:r>
    </w:p>
    <w:p w:rsidR="00B72201" w:rsidRPr="00551A64" w:rsidRDefault="00B72201" w:rsidP="00B72201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r w:rsidRPr="00551A64">
        <w:rPr>
          <w:rFonts w:ascii="Times New Roman" w:eastAsia="Times New Roman" w:hAnsi="Times New Roman" w:cs="Times New Roman"/>
          <w:sz w:val="20"/>
          <w:lang w:eastAsia="cs-CZ"/>
        </w:rPr>
        <w:t xml:space="preserve">Compromise programming a composite programming zahrnují </w:t>
      </w:r>
      <w:r w:rsidR="00966324" w:rsidRPr="00551A64">
        <w:rPr>
          <w:rFonts w:ascii="Times New Roman" w:eastAsia="Times New Roman" w:hAnsi="Times New Roman" w:cs="Times New Roman"/>
          <w:sz w:val="20"/>
          <w:lang w:eastAsia="cs-CZ"/>
        </w:rPr>
        <w:t>ne</w:t>
      </w:r>
      <w:r w:rsidRPr="00551A64">
        <w:rPr>
          <w:rFonts w:ascii="Times New Roman" w:eastAsia="Times New Roman" w:hAnsi="Times New Roman" w:cs="Times New Roman"/>
          <w:sz w:val="20"/>
          <w:lang w:eastAsia="cs-CZ"/>
        </w:rPr>
        <w:t>jen zjišťování preferencí</w:t>
      </w:r>
      <w:r w:rsidR="00966324" w:rsidRPr="00551A64">
        <w:rPr>
          <w:rFonts w:ascii="Times New Roman" w:eastAsia="Times New Roman" w:hAnsi="Times New Roman" w:cs="Times New Roman"/>
          <w:sz w:val="20"/>
          <w:lang w:eastAsia="cs-CZ"/>
        </w:rPr>
        <w:t xml:space="preserve">, ale i další aspekty hodnotícího procesu. Klíčovou součástí je vyhodnocení jednotlivých variant pomocí </w:t>
      </w:r>
      <w:r w:rsidR="00551A64">
        <w:rPr>
          <w:rFonts w:ascii="Times New Roman" w:eastAsia="Times New Roman" w:hAnsi="Times New Roman" w:cs="Times New Roman"/>
          <w:sz w:val="20"/>
          <w:lang w:eastAsia="cs-CZ"/>
        </w:rPr>
        <w:t>výplatní matice (viz níže)</w:t>
      </w:r>
      <w:r w:rsidR="00966324" w:rsidRPr="00551A64">
        <w:rPr>
          <w:rFonts w:ascii="Times New Roman" w:eastAsia="Times New Roman" w:hAnsi="Times New Roman" w:cs="Times New Roman"/>
          <w:sz w:val="20"/>
          <w:lang w:eastAsia="cs-CZ"/>
        </w:rPr>
        <w:t>. Ří</w:t>
      </w:r>
      <w:r w:rsidR="00551A64">
        <w:rPr>
          <w:rFonts w:ascii="Times New Roman" w:eastAsia="Times New Roman" w:hAnsi="Times New Roman" w:cs="Times New Roman"/>
          <w:sz w:val="20"/>
          <w:lang w:eastAsia="cs-CZ"/>
        </w:rPr>
        <w:t>zení procesu hodnocení je v rukou</w:t>
      </w:r>
      <w:r w:rsidR="00966324" w:rsidRPr="00551A64">
        <w:rPr>
          <w:rFonts w:ascii="Times New Roman" w:eastAsia="Times New Roman" w:hAnsi="Times New Roman" w:cs="Times New Roman"/>
          <w:sz w:val="20"/>
          <w:lang w:eastAsia="cs-CZ"/>
        </w:rPr>
        <w:t xml:space="preserve"> externích analytiků.</w:t>
      </w:r>
    </w:p>
    <w:p w:rsidR="00B72201" w:rsidRPr="00551A64" w:rsidRDefault="00B72201" w:rsidP="00551A64">
      <w:pPr>
        <w:numPr>
          <w:ilvl w:val="0"/>
          <w:numId w:val="5"/>
        </w:numPr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r w:rsidRPr="00551A64">
        <w:rPr>
          <w:rFonts w:ascii="Times New Roman" w:eastAsia="Times New Roman" w:hAnsi="Times New Roman" w:cs="Times New Roman"/>
          <w:sz w:val="20"/>
          <w:lang w:eastAsia="cs-CZ"/>
        </w:rPr>
        <w:t>Analytici nejprve zvolí kritéria, o nichž předpok</w:t>
      </w:r>
      <w:r w:rsidR="00551A64">
        <w:rPr>
          <w:rFonts w:ascii="Times New Roman" w:eastAsia="Times New Roman" w:hAnsi="Times New Roman" w:cs="Times New Roman"/>
          <w:sz w:val="20"/>
          <w:lang w:eastAsia="cs-CZ"/>
        </w:rPr>
        <w:t>ládají, že by se podle nich dal záměr</w:t>
      </w:r>
      <w:r w:rsidRPr="00551A64">
        <w:rPr>
          <w:rFonts w:ascii="Times New Roman" w:eastAsia="Times New Roman" w:hAnsi="Times New Roman" w:cs="Times New Roman"/>
          <w:sz w:val="20"/>
          <w:lang w:eastAsia="cs-CZ"/>
        </w:rPr>
        <w:t xml:space="preserve"> posuzovat.</w:t>
      </w:r>
    </w:p>
    <w:p w:rsidR="00B72201" w:rsidRPr="00551A64" w:rsidRDefault="00B72201" w:rsidP="00551A64">
      <w:pPr>
        <w:numPr>
          <w:ilvl w:val="0"/>
          <w:numId w:val="5"/>
        </w:numPr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r w:rsidRPr="00551A64">
        <w:rPr>
          <w:rFonts w:ascii="Times New Roman" w:eastAsia="Times New Roman" w:hAnsi="Times New Roman" w:cs="Times New Roman"/>
          <w:sz w:val="20"/>
          <w:lang w:eastAsia="cs-CZ"/>
        </w:rPr>
        <w:t>Mezitím by analytici identifi</w:t>
      </w:r>
      <w:r w:rsidR="00551A64">
        <w:rPr>
          <w:rFonts w:ascii="Times New Roman" w:eastAsia="Times New Roman" w:hAnsi="Times New Roman" w:cs="Times New Roman"/>
          <w:sz w:val="20"/>
          <w:lang w:eastAsia="cs-CZ"/>
        </w:rPr>
        <w:t>kovali relevantní stakeholdery.</w:t>
      </w:r>
    </w:p>
    <w:p w:rsidR="00B72201" w:rsidRPr="00551A64" w:rsidRDefault="00B72201" w:rsidP="00551A64">
      <w:pPr>
        <w:numPr>
          <w:ilvl w:val="0"/>
          <w:numId w:val="5"/>
        </w:numPr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r w:rsidRPr="00551A64">
        <w:rPr>
          <w:rFonts w:ascii="Times New Roman" w:eastAsia="Times New Roman" w:hAnsi="Times New Roman" w:cs="Times New Roman"/>
          <w:sz w:val="20"/>
          <w:lang w:eastAsia="cs-CZ"/>
        </w:rPr>
        <w:t>Současně se stanovením kritérií a identifikováním stakeholderů by shromažďovali data ohledně proveditelnosti jednotlivých variant stavby.</w:t>
      </w:r>
    </w:p>
    <w:p w:rsidR="00B72201" w:rsidRPr="00551A64" w:rsidRDefault="00B72201" w:rsidP="00551A64">
      <w:pPr>
        <w:numPr>
          <w:ilvl w:val="0"/>
          <w:numId w:val="6"/>
        </w:numPr>
        <w:spacing w:after="120" w:line="360" w:lineRule="auto"/>
        <w:ind w:left="363"/>
        <w:contextualSpacing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r w:rsidRPr="00551A64">
        <w:rPr>
          <w:rFonts w:ascii="Times New Roman" w:eastAsia="Times New Roman" w:hAnsi="Times New Roman" w:cs="Times New Roman"/>
          <w:i/>
          <w:sz w:val="20"/>
          <w:lang w:eastAsia="cs-CZ"/>
        </w:rPr>
        <w:t>Compromise programming.</w:t>
      </w:r>
      <w:r w:rsidRPr="00551A64">
        <w:rPr>
          <w:rFonts w:ascii="Times New Roman" w:eastAsia="Times New Roman" w:hAnsi="Times New Roman" w:cs="Times New Roman"/>
          <w:sz w:val="20"/>
          <w:lang w:eastAsia="cs-CZ"/>
        </w:rPr>
        <w:t xml:space="preserve"> </w:t>
      </w:r>
      <w:r w:rsidR="00551A64">
        <w:rPr>
          <w:rFonts w:ascii="Times New Roman" w:eastAsia="Times New Roman" w:hAnsi="Times New Roman" w:cs="Times New Roman"/>
          <w:sz w:val="20"/>
          <w:lang w:eastAsia="cs-CZ"/>
        </w:rPr>
        <w:t>Následuje definování (hypotetické) ideální podoby</w:t>
      </w:r>
      <w:r w:rsidRPr="00551A64">
        <w:rPr>
          <w:rFonts w:ascii="Times New Roman" w:eastAsia="Times New Roman" w:hAnsi="Times New Roman" w:cs="Times New Roman"/>
          <w:sz w:val="20"/>
          <w:lang w:eastAsia="cs-CZ"/>
        </w:rPr>
        <w:t xml:space="preserve"> řešení daného problému. </w:t>
      </w:r>
      <w:r w:rsidR="00551A64">
        <w:rPr>
          <w:rFonts w:ascii="Times New Roman" w:eastAsia="Times New Roman" w:hAnsi="Times New Roman" w:cs="Times New Roman"/>
          <w:sz w:val="20"/>
          <w:lang w:eastAsia="cs-CZ"/>
        </w:rPr>
        <w:t>To</w:t>
      </w:r>
      <w:r w:rsidRPr="00551A64">
        <w:rPr>
          <w:rFonts w:ascii="Times New Roman" w:eastAsia="Times New Roman" w:hAnsi="Times New Roman" w:cs="Times New Roman"/>
          <w:sz w:val="20"/>
          <w:lang w:eastAsia="cs-CZ"/>
        </w:rPr>
        <w:t xml:space="preserve"> je nalezeno pomocí</w:t>
      </w:r>
      <w:r w:rsidR="00551A64">
        <w:rPr>
          <w:rFonts w:ascii="Times New Roman" w:eastAsia="Times New Roman" w:hAnsi="Times New Roman" w:cs="Times New Roman"/>
          <w:sz w:val="20"/>
          <w:lang w:eastAsia="cs-CZ"/>
        </w:rPr>
        <w:t xml:space="preserve"> výplatní</w:t>
      </w:r>
      <w:r w:rsidRPr="00551A64">
        <w:rPr>
          <w:rFonts w:ascii="Times New Roman" w:eastAsia="Times New Roman" w:hAnsi="Times New Roman" w:cs="Times New Roman"/>
          <w:sz w:val="20"/>
          <w:lang w:eastAsia="cs-CZ"/>
        </w:rPr>
        <w:t xml:space="preserve"> matice kombinující maximální hodnoty všech zvolených kritérií. Takovým řešením by byla například </w:t>
      </w:r>
      <w:r w:rsidR="00551A64">
        <w:rPr>
          <w:rFonts w:ascii="Times New Roman" w:eastAsia="Times New Roman" w:hAnsi="Times New Roman" w:cs="Times New Roman"/>
          <w:sz w:val="20"/>
          <w:lang w:eastAsia="cs-CZ"/>
        </w:rPr>
        <w:t>výstavba</w:t>
      </w:r>
      <w:r w:rsidRPr="00551A64">
        <w:rPr>
          <w:rFonts w:ascii="Times New Roman" w:eastAsia="Times New Roman" w:hAnsi="Times New Roman" w:cs="Times New Roman"/>
          <w:sz w:val="20"/>
          <w:lang w:eastAsia="cs-CZ"/>
        </w:rPr>
        <w:t xml:space="preserve">, která by 1) co </w:t>
      </w:r>
      <w:r w:rsidR="00551A64">
        <w:rPr>
          <w:rFonts w:ascii="Times New Roman" w:eastAsia="Times New Roman" w:hAnsi="Times New Roman" w:cs="Times New Roman"/>
          <w:sz w:val="20"/>
          <w:lang w:eastAsia="cs-CZ"/>
        </w:rPr>
        <w:t>nejvíce respektovala původní zástavbu</w:t>
      </w:r>
      <w:r w:rsidRPr="00551A64">
        <w:rPr>
          <w:rFonts w:ascii="Times New Roman" w:eastAsia="Times New Roman" w:hAnsi="Times New Roman" w:cs="Times New Roman"/>
          <w:sz w:val="20"/>
          <w:lang w:eastAsia="cs-CZ"/>
        </w:rPr>
        <w:t xml:space="preserve">, přičemž by 2) co nejméně zasahovala do krajiny a ekosystémů, a zároveň by 3) poskytovala </w:t>
      </w:r>
      <w:r w:rsidR="00551A64">
        <w:rPr>
          <w:rFonts w:ascii="Times New Roman" w:eastAsia="Times New Roman" w:hAnsi="Times New Roman" w:cs="Times New Roman"/>
          <w:sz w:val="20"/>
          <w:lang w:eastAsia="cs-CZ"/>
        </w:rPr>
        <w:t>dostatečný počet domů na rekreační i rezidentní (trvalé) bydlení s významným ekonomickým dopadem na místní rozvoj</w:t>
      </w:r>
      <w:r w:rsidRPr="00551A64">
        <w:rPr>
          <w:rFonts w:ascii="Times New Roman" w:eastAsia="Times New Roman" w:hAnsi="Times New Roman" w:cs="Times New Roman"/>
          <w:sz w:val="20"/>
          <w:lang w:eastAsia="cs-CZ"/>
        </w:rPr>
        <w:t xml:space="preserve">, </w:t>
      </w:r>
      <w:r w:rsidR="00551A64">
        <w:rPr>
          <w:rFonts w:ascii="Times New Roman" w:eastAsia="Times New Roman" w:hAnsi="Times New Roman" w:cs="Times New Roman"/>
          <w:sz w:val="20"/>
          <w:lang w:eastAsia="cs-CZ"/>
        </w:rPr>
        <w:t xml:space="preserve">4) </w:t>
      </w:r>
      <w:r w:rsidRPr="00551A64">
        <w:rPr>
          <w:rFonts w:ascii="Times New Roman" w:eastAsia="Times New Roman" w:hAnsi="Times New Roman" w:cs="Times New Roman"/>
          <w:sz w:val="20"/>
          <w:lang w:eastAsia="cs-CZ"/>
        </w:rPr>
        <w:t>a</w:t>
      </w:r>
      <w:r w:rsidR="00551A64">
        <w:rPr>
          <w:rFonts w:ascii="Times New Roman" w:eastAsia="Times New Roman" w:hAnsi="Times New Roman" w:cs="Times New Roman"/>
          <w:sz w:val="20"/>
          <w:lang w:eastAsia="cs-CZ"/>
        </w:rPr>
        <w:t>niž</w:t>
      </w:r>
      <w:r w:rsidRPr="00551A64">
        <w:rPr>
          <w:rFonts w:ascii="Times New Roman" w:eastAsia="Times New Roman" w:hAnsi="Times New Roman" w:cs="Times New Roman"/>
          <w:sz w:val="20"/>
          <w:lang w:eastAsia="cs-CZ"/>
        </w:rPr>
        <w:t xml:space="preserve"> </w:t>
      </w:r>
      <w:r w:rsidR="00551A64">
        <w:rPr>
          <w:rFonts w:ascii="Times New Roman" w:eastAsia="Times New Roman" w:hAnsi="Times New Roman" w:cs="Times New Roman"/>
          <w:sz w:val="20"/>
          <w:lang w:eastAsia="cs-CZ"/>
        </w:rPr>
        <w:t>by byla pro obec neúměrně drahá</w:t>
      </w:r>
      <w:r w:rsidR="001071E7">
        <w:rPr>
          <w:rFonts w:ascii="Times New Roman" w:eastAsia="Times New Roman" w:hAnsi="Times New Roman" w:cs="Times New Roman"/>
          <w:sz w:val="20"/>
          <w:lang w:eastAsia="cs-CZ"/>
        </w:rPr>
        <w:t xml:space="preserve"> z hlediska investice do infrastruktury</w:t>
      </w:r>
      <w:r w:rsidR="00551A64">
        <w:rPr>
          <w:rFonts w:ascii="Times New Roman" w:eastAsia="Times New Roman" w:hAnsi="Times New Roman" w:cs="Times New Roman"/>
          <w:sz w:val="20"/>
          <w:lang w:eastAsia="cs-CZ"/>
        </w:rPr>
        <w:t>.</w:t>
      </w:r>
      <w:r w:rsidRPr="00551A64">
        <w:rPr>
          <w:rFonts w:ascii="Times New Roman" w:eastAsia="Times New Roman" w:hAnsi="Times New Roman" w:cs="Times New Roman"/>
          <w:sz w:val="20"/>
          <w:lang w:eastAsia="cs-CZ"/>
        </w:rPr>
        <w:t xml:space="preserve"> Stejná matice poskytuje i minimální akceptovatelnou hodnotu dosahování jednotlivých kritérií, na které se stakeholdeři shodnou (nebo kterou stanoví analytici).</w:t>
      </w:r>
    </w:p>
    <w:p w:rsidR="00B72201" w:rsidRPr="00551A64" w:rsidRDefault="00B72201" w:rsidP="00551A64">
      <w:pPr>
        <w:spacing w:after="120" w:line="360" w:lineRule="auto"/>
        <w:ind w:left="363"/>
        <w:contextualSpacing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r w:rsidRPr="00551A64">
        <w:rPr>
          <w:rFonts w:ascii="Times New Roman" w:eastAsia="Times New Roman" w:hAnsi="Times New Roman" w:cs="Times New Roman"/>
          <w:sz w:val="20"/>
          <w:lang w:eastAsia="cs-CZ"/>
        </w:rPr>
        <w:t xml:space="preserve">Ačkoli by ideální řešení asi nebylo realizovatelné, poskytlo by oporu pro nalezení nejbližšího dosažitelného kompromisního řešení. Skutečně dosažitelná řešení se hledají mezi minimálními akceptovatelnými hodnotami dosahování kritérií a ideálními (maximálními) hodnotami naplnění kritérií. Nato se hledají všechna pareto optimální řešení – taková, u nichž nemůže dojít ke zlepšení naplňování jednoho z kritérií, aniž by </w:t>
      </w:r>
      <w:r w:rsidR="001071E7">
        <w:rPr>
          <w:rFonts w:ascii="Times New Roman" w:eastAsia="Times New Roman" w:hAnsi="Times New Roman" w:cs="Times New Roman"/>
          <w:sz w:val="20"/>
          <w:lang w:eastAsia="cs-CZ"/>
        </w:rPr>
        <w:t>ne</w:t>
      </w:r>
      <w:r w:rsidRPr="00551A64">
        <w:rPr>
          <w:rFonts w:ascii="Times New Roman" w:eastAsia="Times New Roman" w:hAnsi="Times New Roman" w:cs="Times New Roman"/>
          <w:sz w:val="20"/>
          <w:lang w:eastAsia="cs-CZ"/>
        </w:rPr>
        <w:t xml:space="preserve">bylo zhoršeno naplňování kritéria jiného. To znamená </w:t>
      </w:r>
      <w:r w:rsidR="001071E7">
        <w:rPr>
          <w:rFonts w:ascii="Times New Roman" w:eastAsia="Times New Roman" w:hAnsi="Times New Roman" w:cs="Times New Roman"/>
          <w:sz w:val="20"/>
          <w:lang w:eastAsia="cs-CZ"/>
        </w:rPr>
        <w:t>například řešení, kdy není</w:t>
      </w:r>
      <w:r w:rsidRPr="00551A64">
        <w:rPr>
          <w:rFonts w:ascii="Times New Roman" w:eastAsia="Times New Roman" w:hAnsi="Times New Roman" w:cs="Times New Roman"/>
          <w:sz w:val="20"/>
          <w:lang w:eastAsia="cs-CZ"/>
        </w:rPr>
        <w:t xml:space="preserve"> možné </w:t>
      </w:r>
      <w:r w:rsidR="001071E7">
        <w:rPr>
          <w:rFonts w:ascii="Times New Roman" w:eastAsia="Times New Roman" w:hAnsi="Times New Roman" w:cs="Times New Roman"/>
          <w:sz w:val="20"/>
          <w:lang w:eastAsia="cs-CZ"/>
        </w:rPr>
        <w:t>zahájit masivnější výstavbu, aniž</w:t>
      </w:r>
      <w:r w:rsidRPr="00551A64">
        <w:rPr>
          <w:rFonts w:ascii="Times New Roman" w:eastAsia="Times New Roman" w:hAnsi="Times New Roman" w:cs="Times New Roman"/>
          <w:sz w:val="20"/>
          <w:lang w:eastAsia="cs-CZ"/>
        </w:rPr>
        <w:t xml:space="preserve"> by kvůli tomu nebyly narušeny vzácné ekosystémy. Z plánů, které se touto metodou podaří najít, je následně zvolen ten, který se nejméně odlišuje (graficky je nejméně vzdálen) od ideálního</w:t>
      </w:r>
      <w:r w:rsidR="00966324" w:rsidRPr="00551A64">
        <w:rPr>
          <w:rFonts w:ascii="Times New Roman" w:eastAsia="Times New Roman" w:hAnsi="Times New Roman" w:cs="Times New Roman"/>
          <w:sz w:val="20"/>
          <w:lang w:eastAsia="cs-CZ"/>
        </w:rPr>
        <w:t xml:space="preserve"> řešení.</w:t>
      </w:r>
    </w:p>
    <w:p w:rsidR="00B72201" w:rsidRPr="00551A64" w:rsidRDefault="00B72201" w:rsidP="00B72201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r w:rsidRPr="00551A64">
        <w:rPr>
          <w:rFonts w:ascii="Times New Roman" w:eastAsia="Times New Roman" w:hAnsi="Times New Roman" w:cs="Times New Roman"/>
          <w:noProof/>
          <w:sz w:val="20"/>
          <w:lang w:eastAsia="cs-CZ"/>
        </w:rPr>
        <w:drawing>
          <wp:inline distT="0" distB="0" distL="0" distR="0" wp14:anchorId="5CFA99A1" wp14:editId="14E4922D">
            <wp:extent cx="5229225" cy="1990725"/>
            <wp:effectExtent l="0" t="0" r="9525" b="9525"/>
            <wp:docPr id="13" name="Graf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72201" w:rsidRPr="00551A64" w:rsidRDefault="00B72201" w:rsidP="00B72201">
      <w:pPr>
        <w:keepNext/>
        <w:spacing w:after="20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20"/>
          <w:lang w:eastAsia="cs-CZ"/>
        </w:rPr>
      </w:pPr>
      <w:bookmarkStart w:id="1" w:name="_Toc437243884"/>
      <w:r w:rsidRPr="00551A64">
        <w:rPr>
          <w:rFonts w:ascii="Times New Roman" w:eastAsia="Times New Roman" w:hAnsi="Times New Roman" w:cs="Times New Roman"/>
          <w:b/>
          <w:bCs/>
          <w:sz w:val="18"/>
          <w:szCs w:val="20"/>
        </w:rPr>
        <w:t xml:space="preserve">Graf </w:t>
      </w:r>
      <w:r w:rsidRPr="00551A64">
        <w:rPr>
          <w:rFonts w:ascii="Times New Roman" w:eastAsia="Times New Roman" w:hAnsi="Times New Roman" w:cs="Times New Roman"/>
          <w:b/>
          <w:bCs/>
          <w:color w:val="4F81BD"/>
          <w:sz w:val="16"/>
          <w:szCs w:val="18"/>
        </w:rPr>
        <w:fldChar w:fldCharType="begin"/>
      </w:r>
      <w:r w:rsidRPr="00551A64">
        <w:rPr>
          <w:rFonts w:ascii="Times New Roman" w:eastAsia="Times New Roman" w:hAnsi="Times New Roman" w:cs="Times New Roman"/>
          <w:b/>
          <w:bCs/>
          <w:sz w:val="18"/>
          <w:szCs w:val="20"/>
        </w:rPr>
        <w:instrText xml:space="preserve"> SEQ Rovnice \* ARABIC </w:instrText>
      </w:r>
      <w:r w:rsidRPr="00551A64">
        <w:rPr>
          <w:rFonts w:ascii="Times New Roman" w:eastAsia="Times New Roman" w:hAnsi="Times New Roman" w:cs="Times New Roman"/>
          <w:b/>
          <w:bCs/>
          <w:color w:val="4F81BD"/>
          <w:sz w:val="16"/>
          <w:szCs w:val="18"/>
        </w:rPr>
        <w:fldChar w:fldCharType="separate"/>
      </w:r>
      <w:r w:rsidRPr="00551A64">
        <w:rPr>
          <w:rFonts w:ascii="Times New Roman" w:eastAsia="Times New Roman" w:hAnsi="Times New Roman" w:cs="Times New Roman"/>
          <w:b/>
          <w:bCs/>
          <w:noProof/>
          <w:sz w:val="18"/>
          <w:szCs w:val="20"/>
        </w:rPr>
        <w:t>1</w:t>
      </w:r>
      <w:r w:rsidRPr="00551A64">
        <w:rPr>
          <w:rFonts w:ascii="Times New Roman" w:eastAsia="Times New Roman" w:hAnsi="Times New Roman" w:cs="Times New Roman"/>
          <w:b/>
          <w:bCs/>
          <w:color w:val="4F81BD"/>
          <w:sz w:val="16"/>
          <w:szCs w:val="18"/>
        </w:rPr>
        <w:fldChar w:fldCharType="end"/>
      </w:r>
      <w:r w:rsidRPr="00551A64">
        <w:rPr>
          <w:rFonts w:ascii="Times New Roman" w:eastAsia="Times New Roman" w:hAnsi="Times New Roman" w:cs="Times New Roman"/>
          <w:b/>
          <w:bCs/>
          <w:sz w:val="18"/>
          <w:szCs w:val="20"/>
        </w:rPr>
        <w:t>:</w:t>
      </w:r>
      <w:r w:rsidRPr="00551A64">
        <w:rPr>
          <w:rFonts w:ascii="Times New Roman" w:eastAsia="Times New Roman" w:hAnsi="Times New Roman" w:cs="Times New Roman"/>
          <w:bCs/>
          <w:i/>
          <w:sz w:val="18"/>
          <w:szCs w:val="20"/>
          <w:lang w:eastAsia="cs-CZ"/>
        </w:rPr>
        <w:t xml:space="preserve"> Ilustrace naplňování jednotlivých kritérií v compromise programmingu. Čísla udávají stupeň naplnění jednotlivých kritérií. Hypotetický ideál by obsahoval všechna kritéria naplněná na maximum (měl by tedy tvar hexagonu dosahujícího ve všech vrcholech maxim</w:t>
      </w:r>
      <w:r w:rsidR="001071E7">
        <w:rPr>
          <w:rFonts w:ascii="Times New Roman" w:eastAsia="Times New Roman" w:hAnsi="Times New Roman" w:cs="Times New Roman"/>
          <w:bCs/>
          <w:i/>
          <w:sz w:val="18"/>
          <w:szCs w:val="20"/>
          <w:lang w:eastAsia="cs-CZ"/>
        </w:rPr>
        <w:t>ální hodnoty</w:t>
      </w:r>
      <w:r w:rsidRPr="00551A64">
        <w:rPr>
          <w:rFonts w:ascii="Times New Roman" w:eastAsia="Times New Roman" w:hAnsi="Times New Roman" w:cs="Times New Roman"/>
          <w:bCs/>
          <w:i/>
          <w:sz w:val="18"/>
          <w:szCs w:val="20"/>
          <w:lang w:eastAsia="cs-CZ"/>
        </w:rPr>
        <w:t>). Varianta řešení, která je vyznačena šedou barvou, tak naplňuje zcela pouze kritérium „cena stavby“, naopak nejméně „skóruje“ u kritéria „dostupnost obcí podél tras“.</w:t>
      </w:r>
      <w:bookmarkEnd w:id="1"/>
    </w:p>
    <w:p w:rsidR="00B72201" w:rsidRPr="00551A64" w:rsidRDefault="00B72201" w:rsidP="00551A64">
      <w:pPr>
        <w:numPr>
          <w:ilvl w:val="0"/>
          <w:numId w:val="7"/>
        </w:numPr>
        <w:spacing w:after="12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r w:rsidRPr="00551A64">
        <w:rPr>
          <w:rFonts w:ascii="Times New Roman" w:eastAsia="Times New Roman" w:hAnsi="Times New Roman" w:cs="Times New Roman"/>
          <w:i/>
          <w:sz w:val="20"/>
          <w:lang w:eastAsia="cs-CZ"/>
        </w:rPr>
        <w:t>Composite programming</w:t>
      </w:r>
      <w:r w:rsidRPr="00551A64">
        <w:rPr>
          <w:rFonts w:ascii="Times New Roman" w:eastAsia="Times New Roman" w:hAnsi="Times New Roman" w:cs="Times New Roman"/>
          <w:sz w:val="20"/>
          <w:lang w:eastAsia="cs-CZ"/>
        </w:rPr>
        <w:t xml:space="preserve"> kritéria zakomponovává do dvou složek – socioekonomické a environmentální. V praxi se obvykle používají ještě dvě úrovně subkritérií. Každému z těchto (sub)kritérií stakeholdeři přiřadí vlastní váhu v rámci své úrovně – </w:t>
      </w:r>
      <w:r w:rsidRPr="00551A64">
        <w:rPr>
          <w:rFonts w:ascii="Times New Roman" w:eastAsia="Times New Roman" w:hAnsi="Times New Roman" w:cs="Times New Roman"/>
          <w:sz w:val="20"/>
          <w:lang w:eastAsia="cs-CZ"/>
        </w:rPr>
        <w:lastRenderedPageBreak/>
        <w:t>koeficient důležitosti daného kritéria udávající váhu, s jakou má být kritérium započítáno. Po sečtení hodnota všech kritérií na dané úrovni zpravidla nabývá 1 (v závorce uvedeny možné váhy jednotlivých kritérií v rámci své úrovně):</w:t>
      </w:r>
    </w:p>
    <w:p w:rsidR="00B72201" w:rsidRPr="00551A64" w:rsidRDefault="00B72201" w:rsidP="00551A64">
      <w:pPr>
        <w:numPr>
          <w:ilvl w:val="1"/>
          <w:numId w:val="8"/>
        </w:numPr>
        <w:spacing w:after="120" w:line="360" w:lineRule="auto"/>
        <w:ind w:left="1080" w:hanging="357"/>
        <w:contextualSpacing/>
        <w:jc w:val="both"/>
        <w:rPr>
          <w:rFonts w:ascii="Times New Roman" w:eastAsia="Times New Roman" w:hAnsi="Times New Roman" w:cs="Times New Roman"/>
          <w:sz w:val="18"/>
          <w:lang w:eastAsia="cs-CZ"/>
        </w:rPr>
      </w:pPr>
      <w:r w:rsidRPr="00551A64">
        <w:rPr>
          <w:rFonts w:ascii="Times New Roman" w:eastAsia="Times New Roman" w:hAnsi="Times New Roman" w:cs="Times New Roman"/>
          <w:sz w:val="18"/>
          <w:lang w:eastAsia="cs-CZ"/>
        </w:rPr>
        <w:t>III. úroveň: environmentální kritéria (0,5)</w:t>
      </w:r>
    </w:p>
    <w:p w:rsidR="00B72201" w:rsidRPr="00551A64" w:rsidRDefault="00B72201" w:rsidP="00551A64">
      <w:pPr>
        <w:numPr>
          <w:ilvl w:val="2"/>
          <w:numId w:val="8"/>
        </w:numPr>
        <w:spacing w:after="120" w:line="360" w:lineRule="auto"/>
        <w:ind w:left="1800" w:hanging="357"/>
        <w:contextualSpacing/>
        <w:jc w:val="both"/>
        <w:rPr>
          <w:rFonts w:ascii="Times New Roman" w:eastAsia="Times New Roman" w:hAnsi="Times New Roman" w:cs="Times New Roman"/>
          <w:sz w:val="18"/>
          <w:lang w:eastAsia="cs-CZ"/>
        </w:rPr>
      </w:pPr>
      <w:r w:rsidRPr="00551A64">
        <w:rPr>
          <w:rFonts w:ascii="Times New Roman" w:eastAsia="Times New Roman" w:hAnsi="Times New Roman" w:cs="Times New Roman"/>
          <w:sz w:val="18"/>
          <w:lang w:eastAsia="cs-CZ"/>
        </w:rPr>
        <w:t>II. úroveň: ochrana biodiverzity (0,4)</w:t>
      </w:r>
    </w:p>
    <w:p w:rsidR="00B72201" w:rsidRPr="00551A64" w:rsidRDefault="00B72201" w:rsidP="00551A64">
      <w:pPr>
        <w:numPr>
          <w:ilvl w:val="3"/>
          <w:numId w:val="8"/>
        </w:numPr>
        <w:spacing w:after="120" w:line="360" w:lineRule="auto"/>
        <w:ind w:left="2520" w:hanging="357"/>
        <w:contextualSpacing/>
        <w:jc w:val="both"/>
        <w:rPr>
          <w:rFonts w:ascii="Times New Roman" w:eastAsia="Times New Roman" w:hAnsi="Times New Roman" w:cs="Times New Roman"/>
          <w:sz w:val="18"/>
          <w:lang w:eastAsia="cs-CZ"/>
        </w:rPr>
      </w:pPr>
      <w:r w:rsidRPr="00551A64">
        <w:rPr>
          <w:rFonts w:ascii="Times New Roman" w:eastAsia="Times New Roman" w:hAnsi="Times New Roman" w:cs="Times New Roman"/>
          <w:sz w:val="18"/>
          <w:lang w:eastAsia="cs-CZ"/>
        </w:rPr>
        <w:t>I. úroveň: ochrana mokřadů (0,5), ochrana lesů (0,5)</w:t>
      </w:r>
    </w:p>
    <w:p w:rsidR="00B72201" w:rsidRPr="00551A64" w:rsidRDefault="00B72201" w:rsidP="00551A64">
      <w:pPr>
        <w:numPr>
          <w:ilvl w:val="2"/>
          <w:numId w:val="8"/>
        </w:numPr>
        <w:spacing w:after="120" w:line="360" w:lineRule="auto"/>
        <w:ind w:left="1800" w:hanging="357"/>
        <w:contextualSpacing/>
        <w:jc w:val="both"/>
        <w:rPr>
          <w:rFonts w:ascii="Times New Roman" w:eastAsia="Times New Roman" w:hAnsi="Times New Roman" w:cs="Times New Roman"/>
          <w:sz w:val="18"/>
          <w:lang w:eastAsia="cs-CZ"/>
        </w:rPr>
      </w:pPr>
      <w:r w:rsidRPr="00551A64">
        <w:rPr>
          <w:rFonts w:ascii="Times New Roman" w:eastAsia="Times New Roman" w:hAnsi="Times New Roman" w:cs="Times New Roman"/>
          <w:sz w:val="18"/>
          <w:lang w:eastAsia="cs-CZ"/>
        </w:rPr>
        <w:t>II. úroveň: estetická hodnota krajiny (0,6)</w:t>
      </w:r>
    </w:p>
    <w:p w:rsidR="00B72201" w:rsidRPr="00551A64" w:rsidRDefault="00B72201" w:rsidP="00551A64">
      <w:pPr>
        <w:numPr>
          <w:ilvl w:val="1"/>
          <w:numId w:val="8"/>
        </w:numPr>
        <w:spacing w:after="120" w:line="360" w:lineRule="auto"/>
        <w:ind w:left="1080" w:hanging="357"/>
        <w:contextualSpacing/>
        <w:jc w:val="both"/>
        <w:rPr>
          <w:rFonts w:ascii="Times New Roman" w:eastAsia="Times New Roman" w:hAnsi="Times New Roman" w:cs="Times New Roman"/>
          <w:sz w:val="18"/>
          <w:lang w:eastAsia="cs-CZ"/>
        </w:rPr>
      </w:pPr>
      <w:r w:rsidRPr="00551A64">
        <w:rPr>
          <w:rFonts w:ascii="Times New Roman" w:eastAsia="Times New Roman" w:hAnsi="Times New Roman" w:cs="Times New Roman"/>
          <w:sz w:val="18"/>
          <w:lang w:eastAsia="cs-CZ"/>
        </w:rPr>
        <w:t>III. úroveň: socioekonomická kritéria (0,5)</w:t>
      </w:r>
    </w:p>
    <w:p w:rsidR="00B72201" w:rsidRPr="00551A64" w:rsidRDefault="00B72201" w:rsidP="00551A64">
      <w:pPr>
        <w:numPr>
          <w:ilvl w:val="2"/>
          <w:numId w:val="8"/>
        </w:numPr>
        <w:spacing w:after="120" w:line="360" w:lineRule="auto"/>
        <w:ind w:left="1800" w:hanging="357"/>
        <w:contextualSpacing/>
        <w:jc w:val="both"/>
        <w:rPr>
          <w:rFonts w:ascii="Times New Roman" w:eastAsia="Times New Roman" w:hAnsi="Times New Roman" w:cs="Times New Roman"/>
          <w:sz w:val="18"/>
          <w:lang w:eastAsia="cs-CZ"/>
        </w:rPr>
      </w:pPr>
      <w:r w:rsidRPr="00551A64">
        <w:rPr>
          <w:rFonts w:ascii="Times New Roman" w:eastAsia="Times New Roman" w:hAnsi="Times New Roman" w:cs="Times New Roman"/>
          <w:sz w:val="18"/>
          <w:lang w:eastAsia="cs-CZ"/>
        </w:rPr>
        <w:t>II. úroveň: cena stavby (0,3)</w:t>
      </w:r>
    </w:p>
    <w:p w:rsidR="00B72201" w:rsidRPr="00551A64" w:rsidRDefault="00B72201" w:rsidP="00551A64">
      <w:pPr>
        <w:numPr>
          <w:ilvl w:val="3"/>
          <w:numId w:val="8"/>
        </w:numPr>
        <w:spacing w:after="120" w:line="360" w:lineRule="auto"/>
        <w:ind w:left="2520" w:hanging="357"/>
        <w:contextualSpacing/>
        <w:jc w:val="both"/>
        <w:rPr>
          <w:rFonts w:ascii="Times New Roman" w:eastAsia="Times New Roman" w:hAnsi="Times New Roman" w:cs="Times New Roman"/>
          <w:sz w:val="18"/>
          <w:lang w:eastAsia="cs-CZ"/>
        </w:rPr>
      </w:pPr>
      <w:r w:rsidRPr="00551A64">
        <w:rPr>
          <w:rFonts w:ascii="Times New Roman" w:eastAsia="Times New Roman" w:hAnsi="Times New Roman" w:cs="Times New Roman"/>
          <w:sz w:val="18"/>
          <w:lang w:eastAsia="cs-CZ"/>
        </w:rPr>
        <w:t>I. úroveň: náklady na stavbu (0,9), náklady na údržbu (0,1)</w:t>
      </w:r>
    </w:p>
    <w:p w:rsidR="00B72201" w:rsidRDefault="00B72201" w:rsidP="00551A64">
      <w:pPr>
        <w:numPr>
          <w:ilvl w:val="2"/>
          <w:numId w:val="8"/>
        </w:numPr>
        <w:spacing w:after="120" w:line="360" w:lineRule="auto"/>
        <w:ind w:left="1800" w:hanging="357"/>
        <w:contextualSpacing/>
        <w:jc w:val="both"/>
        <w:rPr>
          <w:rFonts w:ascii="Times New Roman" w:eastAsia="Times New Roman" w:hAnsi="Times New Roman" w:cs="Times New Roman"/>
          <w:sz w:val="18"/>
          <w:lang w:eastAsia="cs-CZ"/>
        </w:rPr>
      </w:pPr>
      <w:r w:rsidRPr="00551A64">
        <w:rPr>
          <w:rFonts w:ascii="Times New Roman" w:eastAsia="Times New Roman" w:hAnsi="Times New Roman" w:cs="Times New Roman"/>
          <w:sz w:val="18"/>
          <w:lang w:eastAsia="cs-CZ"/>
        </w:rPr>
        <w:t xml:space="preserve">II. úroveň: </w:t>
      </w:r>
      <w:r w:rsidR="003C1D94">
        <w:rPr>
          <w:rFonts w:ascii="Times New Roman" w:eastAsia="Times New Roman" w:hAnsi="Times New Roman" w:cs="Times New Roman"/>
          <w:sz w:val="18"/>
          <w:lang w:eastAsia="cs-CZ"/>
        </w:rPr>
        <w:t>množství nové výstavby</w:t>
      </w:r>
      <w:r w:rsidRPr="00551A64">
        <w:rPr>
          <w:rFonts w:ascii="Times New Roman" w:eastAsia="Times New Roman" w:hAnsi="Times New Roman" w:cs="Times New Roman"/>
          <w:sz w:val="18"/>
          <w:lang w:eastAsia="cs-CZ"/>
        </w:rPr>
        <w:t xml:space="preserve"> (0,4)</w:t>
      </w:r>
    </w:p>
    <w:p w:rsidR="003C1D94" w:rsidRPr="00551A64" w:rsidRDefault="003C1D94" w:rsidP="003C1D94">
      <w:pPr>
        <w:numPr>
          <w:ilvl w:val="3"/>
          <w:numId w:val="8"/>
        </w:numPr>
        <w:spacing w:after="120" w:line="360" w:lineRule="auto"/>
        <w:ind w:left="2520" w:hanging="357"/>
        <w:contextualSpacing/>
        <w:jc w:val="both"/>
        <w:rPr>
          <w:rFonts w:ascii="Times New Roman" w:eastAsia="Times New Roman" w:hAnsi="Times New Roman" w:cs="Times New Roman"/>
          <w:sz w:val="18"/>
          <w:lang w:eastAsia="cs-CZ"/>
        </w:rPr>
      </w:pPr>
      <w:r w:rsidRPr="00551A64">
        <w:rPr>
          <w:rFonts w:ascii="Times New Roman" w:eastAsia="Times New Roman" w:hAnsi="Times New Roman" w:cs="Times New Roman"/>
          <w:sz w:val="18"/>
          <w:lang w:eastAsia="cs-CZ"/>
        </w:rPr>
        <w:t xml:space="preserve">I. úroveň: </w:t>
      </w:r>
      <w:r>
        <w:rPr>
          <w:rFonts w:ascii="Times New Roman" w:eastAsia="Times New Roman" w:hAnsi="Times New Roman" w:cs="Times New Roman"/>
          <w:sz w:val="18"/>
          <w:lang w:eastAsia="cs-CZ"/>
        </w:rPr>
        <w:t>množství nové rezidenční výstavby</w:t>
      </w:r>
      <w:r w:rsidRPr="00551A64">
        <w:rPr>
          <w:rFonts w:ascii="Times New Roman" w:eastAsia="Times New Roman" w:hAnsi="Times New Roman" w:cs="Times New Roman"/>
          <w:sz w:val="18"/>
          <w:lang w:eastAsia="cs-CZ"/>
        </w:rPr>
        <w:t xml:space="preserve"> (0,9), </w:t>
      </w:r>
      <w:r>
        <w:rPr>
          <w:rFonts w:ascii="Times New Roman" w:eastAsia="Times New Roman" w:hAnsi="Times New Roman" w:cs="Times New Roman"/>
          <w:sz w:val="18"/>
          <w:lang w:eastAsia="cs-CZ"/>
        </w:rPr>
        <w:t>množství nové rekreační výstavby</w:t>
      </w:r>
      <w:r w:rsidRPr="00551A64">
        <w:rPr>
          <w:rFonts w:ascii="Times New Roman" w:eastAsia="Times New Roman" w:hAnsi="Times New Roman" w:cs="Times New Roman"/>
          <w:sz w:val="18"/>
          <w:lang w:eastAsia="cs-CZ"/>
        </w:rPr>
        <w:t xml:space="preserve"> (0,1)</w:t>
      </w:r>
    </w:p>
    <w:p w:rsidR="00B72201" w:rsidRPr="00551A64" w:rsidRDefault="00B72201" w:rsidP="00551A64">
      <w:pPr>
        <w:numPr>
          <w:ilvl w:val="2"/>
          <w:numId w:val="8"/>
        </w:numPr>
        <w:spacing w:after="120" w:line="360" w:lineRule="auto"/>
        <w:ind w:left="1800" w:hanging="357"/>
        <w:contextualSpacing/>
        <w:jc w:val="both"/>
        <w:rPr>
          <w:rFonts w:ascii="Times New Roman" w:eastAsia="Times New Roman" w:hAnsi="Times New Roman" w:cs="Times New Roman"/>
          <w:sz w:val="18"/>
          <w:lang w:eastAsia="cs-CZ"/>
        </w:rPr>
      </w:pPr>
      <w:r w:rsidRPr="00551A64">
        <w:rPr>
          <w:rFonts w:ascii="Times New Roman" w:eastAsia="Times New Roman" w:hAnsi="Times New Roman" w:cs="Times New Roman"/>
          <w:sz w:val="18"/>
          <w:lang w:eastAsia="cs-CZ"/>
        </w:rPr>
        <w:t>II. úroveň: počet návštěvníků chráněného území (0,3)</w:t>
      </w:r>
    </w:p>
    <w:p w:rsidR="00B72201" w:rsidRPr="00551A64" w:rsidRDefault="00B72201" w:rsidP="00551A64">
      <w:pPr>
        <w:numPr>
          <w:ilvl w:val="3"/>
          <w:numId w:val="8"/>
        </w:numPr>
        <w:spacing w:after="120" w:line="360" w:lineRule="auto"/>
        <w:ind w:left="2520" w:hanging="357"/>
        <w:contextualSpacing/>
        <w:jc w:val="both"/>
        <w:rPr>
          <w:rFonts w:ascii="Times New Roman" w:eastAsia="Times New Roman" w:hAnsi="Times New Roman" w:cs="Times New Roman"/>
          <w:sz w:val="18"/>
          <w:lang w:eastAsia="cs-CZ"/>
        </w:rPr>
      </w:pPr>
      <w:r w:rsidRPr="00551A64">
        <w:rPr>
          <w:rFonts w:ascii="Times New Roman" w:eastAsia="Times New Roman" w:hAnsi="Times New Roman" w:cs="Times New Roman"/>
          <w:sz w:val="18"/>
          <w:lang w:eastAsia="cs-CZ"/>
        </w:rPr>
        <w:t>I. úroveň: dostupnost území (0,4), čistota ovzduší (0,6)</w:t>
      </w:r>
      <w:bookmarkStart w:id="2" w:name="_GoBack"/>
      <w:bookmarkEnd w:id="2"/>
    </w:p>
    <w:p w:rsidR="00B72201" w:rsidRDefault="00B72201" w:rsidP="00551A64">
      <w:pPr>
        <w:spacing w:after="12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r w:rsidRPr="00551A64">
        <w:rPr>
          <w:rFonts w:ascii="Times New Roman" w:eastAsia="Times New Roman" w:hAnsi="Times New Roman" w:cs="Times New Roman"/>
          <w:sz w:val="20"/>
          <w:lang w:eastAsia="cs-CZ"/>
        </w:rPr>
        <w:t>Výstupem je dvoufázový graf</w:t>
      </w:r>
      <w:r w:rsidR="00ED110C" w:rsidRPr="00551A64">
        <w:rPr>
          <w:rFonts w:ascii="Times New Roman" w:eastAsia="Times New Roman" w:hAnsi="Times New Roman" w:cs="Times New Roman"/>
          <w:sz w:val="20"/>
          <w:lang w:eastAsia="cs-CZ"/>
        </w:rPr>
        <w:t>.</w:t>
      </w:r>
      <w:r w:rsidRPr="00551A64">
        <w:rPr>
          <w:rFonts w:ascii="Times New Roman" w:eastAsia="Times New Roman" w:hAnsi="Times New Roman" w:cs="Times New Roman"/>
          <w:sz w:val="20"/>
          <w:lang w:eastAsia="cs-CZ"/>
        </w:rPr>
        <w:t xml:space="preserve"> Na každou osu je nanesena jedna složka – „kompozitní environmentální index“ a „kompozitní socioekonomický index“. Jako optimální řešení je vybráno to, které je na grafu nejblíže původnímu ideálnímu řešení (umístěnému v bodu hypotetické maximalizace obou kompozitních kritérií).</w:t>
      </w:r>
    </w:p>
    <w:p w:rsidR="00551A64" w:rsidRPr="00551A64" w:rsidRDefault="00551A64" w:rsidP="00551A64">
      <w:pPr>
        <w:spacing w:after="12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lang w:eastAsia="cs-CZ"/>
        </w:rPr>
      </w:pPr>
    </w:p>
    <w:p w:rsidR="00B72201" w:rsidRPr="00551A64" w:rsidRDefault="00B72201" w:rsidP="00B72201">
      <w:pPr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1A64">
        <w:rPr>
          <w:rFonts w:ascii="Times New Roman" w:eastAsia="Times New Roman" w:hAnsi="Times New Roman" w:cs="Times New Roman"/>
          <w:noProof/>
          <w:sz w:val="20"/>
          <w:lang w:eastAsia="cs-CZ"/>
        </w:rPr>
        <w:drawing>
          <wp:inline distT="0" distB="0" distL="0" distR="0" wp14:anchorId="1FC89646" wp14:editId="6D39D1AB">
            <wp:extent cx="2914650" cy="2638425"/>
            <wp:effectExtent l="0" t="0" r="0" b="9525"/>
            <wp:docPr id="14" name="Graf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2201" w:rsidRPr="00551A64" w:rsidRDefault="00B72201" w:rsidP="00B72201">
      <w:pPr>
        <w:keepNext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20"/>
        </w:rPr>
      </w:pPr>
      <w:bookmarkStart w:id="3" w:name="_Toc437243885"/>
      <w:r w:rsidRPr="00551A64">
        <w:rPr>
          <w:rFonts w:ascii="Times New Roman" w:eastAsia="Times New Roman" w:hAnsi="Times New Roman" w:cs="Times New Roman"/>
          <w:b/>
          <w:bCs/>
          <w:sz w:val="18"/>
          <w:szCs w:val="20"/>
        </w:rPr>
        <w:t xml:space="preserve">Graf </w:t>
      </w:r>
      <w:r w:rsidRPr="00551A64">
        <w:rPr>
          <w:rFonts w:ascii="Times New Roman" w:eastAsia="Times New Roman" w:hAnsi="Times New Roman" w:cs="Times New Roman"/>
          <w:b/>
          <w:bCs/>
          <w:color w:val="4F81BD"/>
          <w:sz w:val="16"/>
          <w:szCs w:val="18"/>
        </w:rPr>
        <w:fldChar w:fldCharType="begin"/>
      </w:r>
      <w:r w:rsidRPr="00551A64">
        <w:rPr>
          <w:rFonts w:ascii="Times New Roman" w:eastAsia="Times New Roman" w:hAnsi="Times New Roman" w:cs="Times New Roman"/>
          <w:b/>
          <w:bCs/>
          <w:sz w:val="18"/>
          <w:szCs w:val="20"/>
        </w:rPr>
        <w:instrText xml:space="preserve"> SEQ Rovnice \* ARABIC </w:instrText>
      </w:r>
      <w:r w:rsidRPr="00551A64">
        <w:rPr>
          <w:rFonts w:ascii="Times New Roman" w:eastAsia="Times New Roman" w:hAnsi="Times New Roman" w:cs="Times New Roman"/>
          <w:b/>
          <w:bCs/>
          <w:color w:val="4F81BD"/>
          <w:sz w:val="16"/>
          <w:szCs w:val="18"/>
        </w:rPr>
        <w:fldChar w:fldCharType="separate"/>
      </w:r>
      <w:r w:rsidRPr="00551A64">
        <w:rPr>
          <w:rFonts w:ascii="Times New Roman" w:eastAsia="Times New Roman" w:hAnsi="Times New Roman" w:cs="Times New Roman"/>
          <w:b/>
          <w:bCs/>
          <w:noProof/>
          <w:sz w:val="18"/>
          <w:szCs w:val="20"/>
        </w:rPr>
        <w:t>2</w:t>
      </w:r>
      <w:r w:rsidRPr="00551A64">
        <w:rPr>
          <w:rFonts w:ascii="Times New Roman" w:eastAsia="Times New Roman" w:hAnsi="Times New Roman" w:cs="Times New Roman"/>
          <w:b/>
          <w:bCs/>
          <w:color w:val="4F81BD"/>
          <w:sz w:val="16"/>
          <w:szCs w:val="18"/>
        </w:rPr>
        <w:fldChar w:fldCharType="end"/>
      </w:r>
      <w:r w:rsidRPr="00551A64">
        <w:rPr>
          <w:rFonts w:ascii="Times New Roman" w:eastAsia="Times New Roman" w:hAnsi="Times New Roman" w:cs="Times New Roman"/>
          <w:b/>
          <w:bCs/>
          <w:sz w:val="18"/>
          <w:szCs w:val="20"/>
        </w:rPr>
        <w:t>:</w:t>
      </w:r>
      <w:r w:rsidRPr="00551A64">
        <w:rPr>
          <w:rFonts w:ascii="Times New Roman" w:eastAsia="Times New Roman" w:hAnsi="Times New Roman" w:cs="Times New Roman"/>
          <w:bCs/>
          <w:sz w:val="18"/>
          <w:szCs w:val="20"/>
        </w:rPr>
        <w:t xml:space="preserve"> </w:t>
      </w:r>
      <w:r w:rsidRPr="00551A64">
        <w:rPr>
          <w:rFonts w:ascii="Times New Roman" w:eastAsia="Times New Roman" w:hAnsi="Times New Roman" w:cs="Times New Roman"/>
          <w:bCs/>
          <w:i/>
          <w:sz w:val="18"/>
          <w:szCs w:val="20"/>
          <w:lang w:eastAsia="cs-CZ"/>
        </w:rPr>
        <w:t>Ilustrace naplňování jednotlivých kritérií nejvyšší úrovně (tj. kompozitního environmentálního indexu a socioenvironmentálního indexu) v composite programmingu. Hypotetický ideál by obsahoval obě kritéria naplněná na maximum (bod 10;10). Ostatní body představují realizovatelná řešení podle stupně naplnění obou složek kritérií.</w:t>
      </w:r>
      <w:bookmarkEnd w:id="3"/>
    </w:p>
    <w:p w:rsidR="0015344E" w:rsidRPr="00551A64" w:rsidRDefault="0015344E" w:rsidP="00B72201">
      <w:pPr>
        <w:rPr>
          <w:rFonts w:ascii="Times New Roman" w:hAnsi="Times New Roman" w:cs="Times New Roman"/>
        </w:rPr>
      </w:pPr>
    </w:p>
    <w:sectPr w:rsidR="0015344E" w:rsidRPr="00551A64" w:rsidSect="00551A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18" w:rsidRDefault="00AD6118" w:rsidP="00DB7FD1">
      <w:pPr>
        <w:spacing w:after="0" w:line="240" w:lineRule="auto"/>
      </w:pPr>
      <w:r>
        <w:separator/>
      </w:r>
    </w:p>
  </w:endnote>
  <w:endnote w:type="continuationSeparator" w:id="0">
    <w:p w:rsidR="00AD6118" w:rsidRDefault="00AD6118" w:rsidP="00DB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18" w:rsidRDefault="00AD6118" w:rsidP="00DB7FD1">
      <w:pPr>
        <w:spacing w:after="0" w:line="240" w:lineRule="auto"/>
      </w:pPr>
      <w:r>
        <w:separator/>
      </w:r>
    </w:p>
  </w:footnote>
  <w:footnote w:type="continuationSeparator" w:id="0">
    <w:p w:rsidR="00AD6118" w:rsidRDefault="00AD6118" w:rsidP="00DB7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7ED0"/>
    <w:multiLevelType w:val="hybridMultilevel"/>
    <w:tmpl w:val="625A87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B18F2"/>
    <w:multiLevelType w:val="hybridMultilevel"/>
    <w:tmpl w:val="62EED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6495B"/>
    <w:multiLevelType w:val="hybridMultilevel"/>
    <w:tmpl w:val="E9E46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F6E25"/>
    <w:multiLevelType w:val="hybridMultilevel"/>
    <w:tmpl w:val="8EB09F88"/>
    <w:lvl w:ilvl="0" w:tplc="DF24F982">
      <w:start w:val="4"/>
      <w:numFmt w:val="decimal"/>
      <w:lvlText w:val="%1b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06808"/>
    <w:multiLevelType w:val="hybridMultilevel"/>
    <w:tmpl w:val="B298EC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971C7"/>
    <w:multiLevelType w:val="hybridMultilevel"/>
    <w:tmpl w:val="7F50C0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736236"/>
    <w:multiLevelType w:val="hybridMultilevel"/>
    <w:tmpl w:val="D6B6B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 w:tplc="04050011">
        <w:start w:val="1"/>
        <w:numFmt w:val="decimal"/>
        <w:lvlText w:val="%1a)"/>
        <w:lvlJc w:val="left"/>
        <w:pPr>
          <w:ind w:left="720" w:hanging="360"/>
        </w:pPr>
      </w:lvl>
    </w:lvlOverride>
    <w:lvlOverride w:ilvl="1">
      <w:lvl w:ilvl="1" w:tplc="040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CF"/>
    <w:rsid w:val="00006678"/>
    <w:rsid w:val="000E5DC0"/>
    <w:rsid w:val="001071E7"/>
    <w:rsid w:val="0015344E"/>
    <w:rsid w:val="00187A77"/>
    <w:rsid w:val="00227876"/>
    <w:rsid w:val="00312CA6"/>
    <w:rsid w:val="00374968"/>
    <w:rsid w:val="003C1D94"/>
    <w:rsid w:val="004E75E0"/>
    <w:rsid w:val="00551A64"/>
    <w:rsid w:val="007214A6"/>
    <w:rsid w:val="007F3CF1"/>
    <w:rsid w:val="00803501"/>
    <w:rsid w:val="008527D5"/>
    <w:rsid w:val="00853636"/>
    <w:rsid w:val="00966324"/>
    <w:rsid w:val="00A45047"/>
    <w:rsid w:val="00AD4ADB"/>
    <w:rsid w:val="00AD6118"/>
    <w:rsid w:val="00AE5872"/>
    <w:rsid w:val="00B350C2"/>
    <w:rsid w:val="00B72201"/>
    <w:rsid w:val="00BD28EC"/>
    <w:rsid w:val="00BD7A18"/>
    <w:rsid w:val="00C041A9"/>
    <w:rsid w:val="00C27C40"/>
    <w:rsid w:val="00D65A99"/>
    <w:rsid w:val="00DB7FD1"/>
    <w:rsid w:val="00E14DCF"/>
    <w:rsid w:val="00ED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9F18"/>
  <w15:chartTrackingRefBased/>
  <w15:docId w15:val="{26CB33E9-852E-47AD-9B27-4D50DDC9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22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1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7876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7FD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7FD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7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radarChart>
        <c:radarStyle val="filled"/>
        <c:varyColors val="0"/>
        <c:ser>
          <c:idx val="0"/>
          <c:order val="0"/>
          <c:cat>
            <c:strRef>
              <c:f>List1!$A$1:$A$6</c:f>
              <c:strCache>
                <c:ptCount val="6"/>
                <c:pt idx="0">
                  <c:v>Zachování biodiverzity</c:v>
                </c:pt>
                <c:pt idx="1">
                  <c:v>Množství nové rezidentní výstavby</c:v>
                </c:pt>
                <c:pt idx="2">
                  <c:v>Množství nové rekreační výstavby</c:v>
                </c:pt>
                <c:pt idx="3">
                  <c:v>Počet návštěvníků chráněného území</c:v>
                </c:pt>
                <c:pt idx="4">
                  <c:v>Cena stavby</c:v>
                </c:pt>
                <c:pt idx="5">
                  <c:v>Estetická hodnota krajiny</c:v>
                </c:pt>
              </c:strCache>
            </c:strRef>
          </c:cat>
          <c:val>
            <c:numRef>
              <c:f>List1!$B$1:$B$6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57A1-4D48-A45B-FDE5F86CFDC2}"/>
            </c:ext>
          </c:extLst>
        </c:ser>
        <c:ser>
          <c:idx val="1"/>
          <c:order val="1"/>
          <c:cat>
            <c:strRef>
              <c:f>List1!$A$1:$A$6</c:f>
              <c:strCache>
                <c:ptCount val="6"/>
                <c:pt idx="0">
                  <c:v>Zachování biodiverzity</c:v>
                </c:pt>
                <c:pt idx="1">
                  <c:v>Množství nové rezidentní výstavby</c:v>
                </c:pt>
                <c:pt idx="2">
                  <c:v>Množství nové rekreační výstavby</c:v>
                </c:pt>
                <c:pt idx="3">
                  <c:v>Počet návštěvníků chráněného území</c:v>
                </c:pt>
                <c:pt idx="4">
                  <c:v>Cena stavby</c:v>
                </c:pt>
                <c:pt idx="5">
                  <c:v>Estetická hodnota krajiny</c:v>
                </c:pt>
              </c:strCache>
            </c:strRef>
          </c:cat>
          <c:val>
            <c:numRef>
              <c:f>List1!$C$1:$C$6</c:f>
              <c:numCache>
                <c:formatCode>General</c:formatCode>
                <c:ptCount val="6"/>
                <c:pt idx="0">
                  <c:v>5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A1-4D48-A45B-FDE5F86CFD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5190592"/>
        <c:axId val="525191376"/>
      </c:radarChart>
      <c:catAx>
        <c:axId val="525190592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cs-CZ"/>
          </a:p>
        </c:txPr>
        <c:crossAx val="525191376"/>
        <c:crosses val="autoZero"/>
        <c:auto val="1"/>
        <c:lblAlgn val="ctr"/>
        <c:lblOffset val="100"/>
        <c:noMultiLvlLbl val="0"/>
      </c:catAx>
      <c:valAx>
        <c:axId val="525191376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cs-CZ"/>
          </a:p>
        </c:txPr>
        <c:crossAx val="52519059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+mj-lt"/>
        </a:defRPr>
      </a:pPr>
      <a:endParaRPr lang="cs-CZ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Kompozitní socioekonomický index</c:v>
                </c:pt>
              </c:strCache>
            </c:strRef>
          </c:tx>
          <c:spPr>
            <a:ln w="28575">
              <a:noFill/>
            </a:ln>
          </c:spPr>
          <c:dPt>
            <c:idx val="0"/>
            <c:marker>
              <c:symbol val="square"/>
              <c:size val="7"/>
            </c:marker>
            <c:bubble3D val="0"/>
            <c:extLst>
              <c:ext xmlns:c16="http://schemas.microsoft.com/office/drawing/2014/chart" uri="{C3380CC4-5D6E-409C-BE32-E72D297353CC}">
                <c16:uniqueId val="{00000000-3FCA-4595-BFF2-E12CFD149A43}"/>
              </c:ext>
            </c:extLst>
          </c:dPt>
          <c:dPt>
            <c:idx val="1"/>
            <c:marker>
              <c:symbol val="square"/>
              <c:size val="7"/>
            </c:marker>
            <c:bubble3D val="0"/>
            <c:extLst>
              <c:ext xmlns:c16="http://schemas.microsoft.com/office/drawing/2014/chart" uri="{C3380CC4-5D6E-409C-BE32-E72D297353CC}">
                <c16:uniqueId val="{00000001-3FCA-4595-BFF2-E12CFD149A43}"/>
              </c:ext>
            </c:extLst>
          </c:dPt>
          <c:dPt>
            <c:idx val="2"/>
            <c:marker>
              <c:symbol val="square"/>
              <c:size val="7"/>
            </c:marker>
            <c:bubble3D val="0"/>
            <c:extLst>
              <c:ext xmlns:c16="http://schemas.microsoft.com/office/drawing/2014/chart" uri="{C3380CC4-5D6E-409C-BE32-E72D297353CC}">
                <c16:uniqueId val="{00000002-3FCA-4595-BFF2-E12CFD149A43}"/>
              </c:ext>
            </c:extLst>
          </c:dPt>
          <c:dPt>
            <c:idx val="3"/>
            <c:marker>
              <c:symbol val="square"/>
              <c:size val="7"/>
            </c:marker>
            <c:bubble3D val="0"/>
            <c:extLst>
              <c:ext xmlns:c16="http://schemas.microsoft.com/office/drawing/2014/chart" uri="{C3380CC4-5D6E-409C-BE32-E72D297353CC}">
                <c16:uniqueId val="{00000003-3FCA-4595-BFF2-E12CFD149A43}"/>
              </c:ext>
            </c:extLst>
          </c:dPt>
          <c:dPt>
            <c:idx val="4"/>
            <c:marker>
              <c:symbol val="square"/>
              <c:size val="7"/>
            </c:marker>
            <c:bubble3D val="0"/>
            <c:extLst>
              <c:ext xmlns:c16="http://schemas.microsoft.com/office/drawing/2014/chart" uri="{C3380CC4-5D6E-409C-BE32-E72D297353CC}">
                <c16:uniqueId val="{00000004-3FCA-4595-BFF2-E12CFD149A43}"/>
              </c:ext>
            </c:extLst>
          </c:dPt>
          <c:dPt>
            <c:idx val="5"/>
            <c:marker>
              <c:symbol val="square"/>
              <c:size val="7"/>
            </c:marker>
            <c:bubble3D val="0"/>
            <c:extLst>
              <c:ext xmlns:c16="http://schemas.microsoft.com/office/drawing/2014/chart" uri="{C3380CC4-5D6E-409C-BE32-E72D297353CC}">
                <c16:uniqueId val="{00000005-3FCA-4595-BFF2-E12CFD149A43}"/>
              </c:ext>
            </c:extLst>
          </c:dPt>
          <c:dPt>
            <c:idx val="6"/>
            <c:marker>
              <c:symbol val="square"/>
              <c:size val="7"/>
            </c:marker>
            <c:bubble3D val="0"/>
            <c:extLst>
              <c:ext xmlns:c16="http://schemas.microsoft.com/office/drawing/2014/chart" uri="{C3380CC4-5D6E-409C-BE32-E72D297353CC}">
                <c16:uniqueId val="{00000006-3FCA-4595-BFF2-E12CFD149A43}"/>
              </c:ext>
            </c:extLst>
          </c:dPt>
          <c:dPt>
            <c:idx val="7"/>
            <c:marker>
              <c:symbol val="square"/>
              <c:size val="7"/>
            </c:marker>
            <c:bubble3D val="0"/>
            <c:extLst>
              <c:ext xmlns:c16="http://schemas.microsoft.com/office/drawing/2014/chart" uri="{C3380CC4-5D6E-409C-BE32-E72D297353CC}">
                <c16:uniqueId val="{00000007-3FCA-4595-BFF2-E12CFD149A4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latin typeface="+mj-lt"/>
                      </a:rPr>
                      <a:t>Ideální řešení</a:t>
                    </a:r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FCA-4595-BFF2-E12CFD149A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cs-CZ"/>
              </a:p>
            </c:txPr>
            <c:dLblPos val="b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List1!$B$1:$J$1</c:f>
              <c:numCache>
                <c:formatCode>General</c:formatCode>
                <c:ptCount val="9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4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</c:numCache>
            </c:numRef>
          </c:xVal>
          <c:yVal>
            <c:numRef>
              <c:f>List1!$B$2:$J$2</c:f>
              <c:numCache>
                <c:formatCode>General</c:formatCode>
                <c:ptCount val="9"/>
                <c:pt idx="0">
                  <c:v>10</c:v>
                </c:pt>
                <c:pt idx="1">
                  <c:v>8</c:v>
                </c:pt>
                <c:pt idx="2">
                  <c:v>8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4</c:v>
                </c:pt>
                <c:pt idx="7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3FCA-4595-BFF2-E12CFD149A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5192160"/>
        <c:axId val="525191768"/>
      </c:scatterChart>
      <c:valAx>
        <c:axId val="525192160"/>
        <c:scaling>
          <c:orientation val="minMax"/>
          <c:max val="10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Ko</a:t>
                </a:r>
                <a:r>
                  <a:rPr lang="cs-CZ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mpozitní environmentální index </a:t>
                </a:r>
                <a:endParaRPr lang="en-US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cs-CZ"/>
          </a:p>
        </c:txPr>
        <c:crossAx val="525191768"/>
        <c:crosses val="autoZero"/>
        <c:crossBetween val="midCat"/>
        <c:majorUnit val="1"/>
      </c:valAx>
      <c:valAx>
        <c:axId val="525191768"/>
        <c:scaling>
          <c:orientation val="minMax"/>
          <c:max val="1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cs-CZ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Kompozitní socioekonomický index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cs-CZ"/>
          </a:p>
        </c:txPr>
        <c:crossAx val="525192160"/>
        <c:crosses val="autoZero"/>
        <c:crossBetween val="midCat"/>
        <c:majorUnit val="1"/>
      </c:valAx>
    </c:plotArea>
    <c:plotVisOnly val="1"/>
    <c:dispBlanksAs val="gap"/>
    <c:showDLblsOverMax val="0"/>
  </c:chart>
  <c:txPr>
    <a:bodyPr/>
    <a:lstStyle/>
    <a:p>
      <a:pPr>
        <a:defRPr>
          <a:latin typeface="+mj-lt"/>
        </a:defRPr>
      </a:pPr>
      <a:endParaRPr lang="cs-CZ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EF1E5-D570-443B-9469-DA5CD0AD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718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Cerny</dc:creator>
  <cp:keywords/>
  <dc:description/>
  <cp:lastModifiedBy>Cerny</cp:lastModifiedBy>
  <cp:revision>9</cp:revision>
  <dcterms:created xsi:type="dcterms:W3CDTF">2017-10-02T19:28:00Z</dcterms:created>
  <dcterms:modified xsi:type="dcterms:W3CDTF">2019-10-10T09:33:00Z</dcterms:modified>
</cp:coreProperties>
</file>