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CF" w:rsidRPr="001E2339" w:rsidRDefault="00D65A99" w:rsidP="00E14DCF">
      <w:pPr>
        <w:spacing w:before="120" w:after="120" w:line="268" w:lineRule="auto"/>
        <w:outlineLvl w:val="2"/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</w:pPr>
      <w:proofErr w:type="spellStart"/>
      <w:r w:rsidRPr="001E2339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Cost</w:t>
      </w:r>
      <w:proofErr w:type="spellEnd"/>
      <w:r w:rsidRPr="001E2339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>-benefit analýza</w:t>
      </w:r>
      <w:r w:rsidR="00006678" w:rsidRPr="001E2339">
        <w:rPr>
          <w:rFonts w:ascii="Times New Roman" w:eastAsia="Times New Roman" w:hAnsi="Times New Roman" w:cs="Times New Roman"/>
          <w:b/>
          <w:iCs/>
          <w:smallCaps/>
          <w:spacing w:val="5"/>
          <w:szCs w:val="26"/>
        </w:rPr>
        <w:t xml:space="preserve"> (kompilát z webu a wikipedie pro připomenutí)</w:t>
      </w:r>
    </w:p>
    <w:p w:rsidR="003C58B1" w:rsidRPr="003B5D97" w:rsidRDefault="003C58B1" w:rsidP="003C58B1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lang w:eastAsia="cs-CZ"/>
        </w:rPr>
      </w:pPr>
      <w:r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Porovnává náklady a výnosy (přínosy) investičních/rozvojových projektů</w:t>
      </w:r>
      <w:r w:rsidR="00014220"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.</w:t>
      </w:r>
    </w:p>
    <w:p w:rsidR="003C58B1" w:rsidRPr="003B5D97" w:rsidRDefault="003C58B1" w:rsidP="003C58B1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lang w:eastAsia="cs-CZ"/>
        </w:rPr>
      </w:pPr>
      <w:r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Převádí obojí na finanční hodnotu; v případě, že je finanční hodnota těžko vyčíslitelná, používá pomocné metody stanovení tzv. stínových cen</w:t>
      </w:r>
      <w:r w:rsidR="00014220"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.</w:t>
      </w:r>
    </w:p>
    <w:p w:rsidR="003C58B1" w:rsidRPr="003B5D97" w:rsidRDefault="003C58B1" w:rsidP="00014220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lang w:eastAsia="cs-CZ"/>
        </w:rPr>
      </w:pPr>
      <w:r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 xml:space="preserve">Klíčovou složkou je tzv. diskontní (úroková) sazba, tj. </w:t>
      </w:r>
      <w:r w:rsidR="00014220"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výnosová míra, kterou jsou diskontovány (přepočítány) budoucí peněžní toky na současnou hodnotu.</w:t>
      </w:r>
    </w:p>
    <w:p w:rsidR="003C58B1" w:rsidRPr="003B5D97" w:rsidRDefault="003C58B1" w:rsidP="003C58B1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lang w:eastAsia="cs-CZ"/>
        </w:rPr>
      </w:pPr>
      <w:r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Podstatou CBA je hodnocení projektů, u nichž se předpokládá širší dopad na veřejnost</w:t>
      </w:r>
      <w:r w:rsidR="00014220"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,</w:t>
      </w:r>
      <w:r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 xml:space="preserve"> kdy </w:t>
      </w:r>
      <w:r w:rsidR="00014220"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je potřeba</w:t>
      </w:r>
      <w:r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 xml:space="preserve"> zohlednit širší společenský prospěch či újmu projektu. To je i důvod převádění nefinančních dopadů do finančního vyjádření</w:t>
      </w:r>
      <w:r w:rsidR="00014220" w:rsidRPr="003B5D97">
        <w:rPr>
          <w:rFonts w:ascii="Times New Roman" w:eastAsia="Times New Roman" w:hAnsi="Times New Roman" w:cs="Times New Roman"/>
          <w:bCs/>
          <w:i/>
          <w:sz w:val="20"/>
          <w:lang w:eastAsia="cs-CZ"/>
        </w:rPr>
        <w:t>, případně jiný způsob zajištění souměřitelnosti různých dopadů pro potřeby vyhodnocení.</w:t>
      </w:r>
    </w:p>
    <w:p w:rsidR="007214A6" w:rsidRPr="001E2339" w:rsidRDefault="00227876" w:rsidP="00227876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bCs/>
          <w:sz w:val="20"/>
          <w:lang w:eastAsia="cs-CZ"/>
        </w:rPr>
        <w:t>Analýza nákladů a přínosů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(též označována jako </w:t>
      </w:r>
      <w:r w:rsidRPr="001E2339">
        <w:rPr>
          <w:rFonts w:ascii="Times New Roman" w:eastAsia="Times New Roman" w:hAnsi="Times New Roman" w:cs="Times New Roman"/>
          <w:bCs/>
          <w:sz w:val="20"/>
          <w:lang w:eastAsia="cs-CZ"/>
        </w:rPr>
        <w:t>analýza nákladů a výnosů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, případně anglickým termínem </w:t>
      </w:r>
      <w:proofErr w:type="spellStart"/>
      <w:r w:rsidRPr="001E2339">
        <w:rPr>
          <w:rFonts w:ascii="Times New Roman" w:eastAsia="Times New Roman" w:hAnsi="Times New Roman" w:cs="Times New Roman"/>
          <w:bCs/>
          <w:sz w:val="20"/>
          <w:lang w:eastAsia="cs-CZ"/>
        </w:rPr>
        <w:t>cost</w:t>
      </w:r>
      <w:proofErr w:type="spellEnd"/>
      <w:r w:rsidRPr="001E2339">
        <w:rPr>
          <w:rFonts w:ascii="Times New Roman" w:eastAsia="Times New Roman" w:hAnsi="Times New Roman" w:cs="Times New Roman"/>
          <w:bCs/>
          <w:sz w:val="20"/>
          <w:lang w:eastAsia="cs-CZ"/>
        </w:rPr>
        <w:t xml:space="preserve">-benefit </w:t>
      </w:r>
      <w:proofErr w:type="spellStart"/>
      <w:r w:rsidRPr="001E2339">
        <w:rPr>
          <w:rFonts w:ascii="Times New Roman" w:eastAsia="Times New Roman" w:hAnsi="Times New Roman" w:cs="Times New Roman"/>
          <w:bCs/>
          <w:sz w:val="20"/>
          <w:lang w:eastAsia="cs-CZ"/>
        </w:rPr>
        <w:t>analysis</w:t>
      </w:r>
      <w:proofErr w:type="spellEnd"/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, </w:t>
      </w:r>
      <w:r w:rsidRPr="001E2339">
        <w:rPr>
          <w:rFonts w:ascii="Times New Roman" w:eastAsia="Times New Roman" w:hAnsi="Times New Roman" w:cs="Times New Roman"/>
          <w:bCs/>
          <w:sz w:val="20"/>
          <w:lang w:eastAsia="cs-CZ"/>
        </w:rPr>
        <w:t>CBA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) patří k základním technikám pro hodnocení investičních projektů. </w:t>
      </w:r>
      <w:r w:rsidR="007214A6" w:rsidRPr="001E2339">
        <w:rPr>
          <w:rFonts w:ascii="Times New Roman" w:eastAsia="Times New Roman" w:hAnsi="Times New Roman" w:cs="Times New Roman"/>
          <w:sz w:val="20"/>
          <w:lang w:eastAsia="cs-CZ"/>
        </w:rPr>
        <w:t>Metoda porovnává benefity (</w:t>
      </w:r>
      <w:proofErr w:type="spellStart"/>
      <w:r w:rsidR="007214A6" w:rsidRPr="001E2339">
        <w:rPr>
          <w:rFonts w:ascii="Times New Roman" w:eastAsia="Times New Roman" w:hAnsi="Times New Roman" w:cs="Times New Roman"/>
          <w:sz w:val="20"/>
          <w:lang w:eastAsia="cs-CZ"/>
        </w:rPr>
        <w:t>benefits</w:t>
      </w:r>
      <w:proofErr w:type="spellEnd"/>
      <w:r w:rsidR="007214A6" w:rsidRPr="001E2339">
        <w:rPr>
          <w:rFonts w:ascii="Times New Roman" w:eastAsia="Times New Roman" w:hAnsi="Times New Roman" w:cs="Times New Roman"/>
          <w:sz w:val="20"/>
          <w:lang w:eastAsia="cs-CZ"/>
        </w:rPr>
        <w:t>), které vyjadřují jakékoliv pozitivní efekty s náklady nebo újmy (</w:t>
      </w:r>
      <w:proofErr w:type="spellStart"/>
      <w:r w:rsidR="007214A6" w:rsidRPr="001E2339">
        <w:rPr>
          <w:rFonts w:ascii="Times New Roman" w:eastAsia="Times New Roman" w:hAnsi="Times New Roman" w:cs="Times New Roman"/>
          <w:sz w:val="20"/>
          <w:lang w:eastAsia="cs-CZ"/>
        </w:rPr>
        <w:t>costs</w:t>
      </w:r>
      <w:proofErr w:type="spellEnd"/>
      <w:r w:rsidR="007214A6" w:rsidRPr="001E2339">
        <w:rPr>
          <w:rFonts w:ascii="Times New Roman" w:eastAsia="Times New Roman" w:hAnsi="Times New Roman" w:cs="Times New Roman"/>
          <w:sz w:val="20"/>
          <w:lang w:eastAsia="cs-CZ"/>
        </w:rPr>
        <w:t>), které postihují negativní efekty investice. Obvykle slouží k hodnocení projektů především z veřejné sféry</w:t>
      </w:r>
      <w:r w:rsidR="008527D5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(=spojené s rozhodováním o veřejných investicích).</w:t>
      </w:r>
    </w:p>
    <w:p w:rsidR="00227876" w:rsidRPr="001E2339" w:rsidRDefault="00187A77" w:rsidP="00227876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CBA</w:t>
      </w:r>
      <w:r w:rsidR="00227876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rozšiřuje běžné finanční hodnocení projektu</w:t>
      </w:r>
      <w:r w:rsidR="007F3CF1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(náklady na výstavbu a provoz vs. očekávané výnosy z provozu)</w:t>
      </w:r>
      <w:r w:rsidR="00227876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o socioekonomické </w:t>
      </w:r>
      <w:r w:rsidR="007F3CF1" w:rsidRPr="001E2339">
        <w:rPr>
          <w:rFonts w:ascii="Times New Roman" w:eastAsia="Times New Roman" w:hAnsi="Times New Roman" w:cs="Times New Roman"/>
          <w:sz w:val="20"/>
          <w:lang w:eastAsia="cs-CZ"/>
        </w:rPr>
        <w:t>a případně i environmentální</w:t>
      </w:r>
      <w:r w:rsidR="00227876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dopady projektu (</w:t>
      </w:r>
      <w:r w:rsidR="007F3CF1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tzv. </w:t>
      </w:r>
      <w:r w:rsidR="00227876" w:rsidRPr="001E2339">
        <w:rPr>
          <w:rFonts w:ascii="Times New Roman" w:eastAsia="Times New Roman" w:hAnsi="Times New Roman" w:cs="Times New Roman"/>
          <w:b/>
          <w:sz w:val="20"/>
          <w:lang w:eastAsia="cs-CZ"/>
        </w:rPr>
        <w:t>externality</w:t>
      </w:r>
      <w:r w:rsidR="00227876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). Rozdíl mezi finančním a socioekonomickým hodnocením projektu lze ilustrovat na příkladu dětského hřiště. Zatímco výdaje na výstavbu a provoz dětského hřiště patří do finanční analýzy, socioekonomická analýza rozšiřuje výsledky hodnocení i o užitek rodičů s dětmi, kteří budou hřiště využívat. Pro potřeby hodnocení </w:t>
      </w:r>
      <w:r w:rsidR="00853636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v rámci CBA </w:t>
      </w:r>
      <w:r w:rsidR="00227876" w:rsidRPr="001E2339">
        <w:rPr>
          <w:rFonts w:ascii="Times New Roman" w:eastAsia="Times New Roman" w:hAnsi="Times New Roman" w:cs="Times New Roman"/>
          <w:sz w:val="20"/>
          <w:lang w:eastAsia="cs-CZ"/>
        </w:rPr>
        <w:t>je tře</w:t>
      </w:r>
      <w:r w:rsidR="00853636" w:rsidRPr="001E2339">
        <w:rPr>
          <w:rFonts w:ascii="Times New Roman" w:eastAsia="Times New Roman" w:hAnsi="Times New Roman" w:cs="Times New Roman"/>
          <w:sz w:val="20"/>
          <w:lang w:eastAsia="cs-CZ"/>
        </w:rPr>
        <w:t>ba veškeré dopady kvantifikovat – ocenit finanční hodnotou.</w:t>
      </w:r>
    </w:p>
    <w:p w:rsidR="00227876" w:rsidRPr="001E2339" w:rsidRDefault="00227876" w:rsidP="00227876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K ocenění položek, pro které nejsou k dispozici tržní ceny (např. zmíněný užitek rodičů s dětmi), se používají tzv. </w:t>
      </w:r>
      <w:r w:rsidRPr="001E2339">
        <w:rPr>
          <w:rFonts w:ascii="Times New Roman" w:eastAsia="Times New Roman" w:hAnsi="Times New Roman" w:cs="Times New Roman"/>
          <w:b/>
          <w:sz w:val="20"/>
          <w:lang w:eastAsia="cs-CZ"/>
        </w:rPr>
        <w:t>stínové ceny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. Ke stanovení stínových cen lze použít např. </w:t>
      </w:r>
      <w:r w:rsidRPr="001E2339">
        <w:rPr>
          <w:rFonts w:ascii="Times New Roman" w:eastAsia="Times New Roman" w:hAnsi="Times New Roman" w:cs="Times New Roman"/>
          <w:b/>
          <w:sz w:val="20"/>
          <w:lang w:eastAsia="cs-CZ"/>
        </w:rPr>
        <w:t>náhražkové trhy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, </w:t>
      </w:r>
      <w:r w:rsidRPr="001E2339">
        <w:rPr>
          <w:rFonts w:ascii="Times New Roman" w:eastAsia="Times New Roman" w:hAnsi="Times New Roman" w:cs="Times New Roman"/>
          <w:b/>
          <w:sz w:val="20"/>
          <w:lang w:eastAsia="cs-CZ"/>
        </w:rPr>
        <w:t>techniku ochoty platit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, </w:t>
      </w:r>
      <w:r w:rsidRPr="001E2339">
        <w:rPr>
          <w:rFonts w:ascii="Times New Roman" w:eastAsia="Times New Roman" w:hAnsi="Times New Roman" w:cs="Times New Roman"/>
          <w:b/>
          <w:sz w:val="20"/>
          <w:lang w:eastAsia="cs-CZ"/>
        </w:rPr>
        <w:t>ochotu přijímat kompenzace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>, apod. K rozšíření použití analýzy nákladů a přínosů v České republice došlo především v souvislosti s čerpáním prostředků ze strukturálních fondů</w:t>
      </w:r>
      <w:r w:rsidR="00B350C2" w:rsidRPr="001E2339">
        <w:rPr>
          <w:rFonts w:ascii="Times New Roman" w:eastAsia="Times New Roman" w:hAnsi="Times New Roman" w:cs="Times New Roman"/>
          <w:sz w:val="20"/>
          <w:lang w:eastAsia="cs-CZ"/>
        </w:rPr>
        <w:t>.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B350C2" w:rsidRPr="001E2339">
        <w:rPr>
          <w:rFonts w:ascii="Times New Roman" w:eastAsia="Times New Roman" w:hAnsi="Times New Roman" w:cs="Times New Roman"/>
          <w:sz w:val="20"/>
          <w:lang w:eastAsia="cs-CZ"/>
        </w:rPr>
        <w:t>A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>nalýza je často vyžadována jako povinná příloha žádosti o podporu.</w:t>
      </w:r>
    </w:p>
    <w:p w:rsidR="00C041A9" w:rsidRPr="001E2339" w:rsidRDefault="00C041A9" w:rsidP="00C041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Podstatou metody je analýza dopadů investice na subjekty,</w:t>
      </w:r>
      <w:r w:rsidR="00B350C2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u nichž se předpokládá, že na ně realizace projektu nějakým způsobem bude mít dopad, dále pak 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kvantifikace zjištěných efektů a převod na společnou číselnou (ideálně finanční) jednotku. Poté již můžeme využít kriteriálních ukazatelů </w:t>
      </w:r>
      <w:r w:rsidR="00B350C2" w:rsidRPr="001E2339">
        <w:rPr>
          <w:rFonts w:ascii="Times New Roman" w:eastAsia="Times New Roman" w:hAnsi="Times New Roman" w:cs="Times New Roman"/>
          <w:sz w:val="20"/>
          <w:lang w:eastAsia="cs-CZ"/>
        </w:rPr>
        <w:t>včetně např.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index</w:t>
      </w:r>
      <w:r w:rsidR="00B350C2" w:rsidRPr="001E2339">
        <w:rPr>
          <w:rFonts w:ascii="Times New Roman" w:eastAsia="Times New Roman" w:hAnsi="Times New Roman" w:cs="Times New Roman"/>
          <w:sz w:val="20"/>
          <w:lang w:eastAsia="cs-CZ"/>
        </w:rPr>
        <w:t>u ziskovosti a doby návratnosti investice.</w:t>
      </w:r>
    </w:p>
    <w:p w:rsidR="00C041A9" w:rsidRPr="001E2339" w:rsidRDefault="00C041A9" w:rsidP="00C041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Pro zpracování CBA analýzy je možné použít tento postup:</w:t>
      </w:r>
    </w:p>
    <w:p w:rsidR="00C041A9" w:rsidRPr="001E2339" w:rsidRDefault="00C041A9" w:rsidP="00C041A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Popsání podstaty projektu (z technického, marketingového a organizačního hlediska)</w:t>
      </w:r>
    </w:p>
    <w:p w:rsidR="00C041A9" w:rsidRPr="001E2339" w:rsidRDefault="00C041A9" w:rsidP="00C041A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Vytvoření finančního plánu projektu z pohledu investora</w:t>
      </w:r>
    </w:p>
    <w:p w:rsidR="00C041A9" w:rsidRPr="001E2339" w:rsidRDefault="00B350C2" w:rsidP="00C041A9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D</w:t>
      </w:r>
      <w:r w:rsidR="00C041A9" w:rsidRPr="001E2339">
        <w:rPr>
          <w:rFonts w:ascii="Times New Roman" w:eastAsia="Times New Roman" w:hAnsi="Times New Roman" w:cs="Times New Roman"/>
          <w:sz w:val="20"/>
          <w:lang w:eastAsia="cs-CZ"/>
        </w:rPr>
        <w:t>efinování subjektů, na které má realizace projektu vliv</w:t>
      </w:r>
    </w:p>
    <w:p w:rsidR="00C041A9" w:rsidRPr="001E2339" w:rsidRDefault="004552A9" w:rsidP="00C041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lang w:eastAsia="cs-CZ"/>
        </w:rPr>
        <w:t>Popis</w:t>
      </w:r>
      <w:r w:rsidR="00C041A9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variant projektu: </w:t>
      </w:r>
    </w:p>
    <w:p w:rsidR="00C041A9" w:rsidRPr="001E2339" w:rsidRDefault="004552A9" w:rsidP="00C041A9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lang w:eastAsia="cs-CZ"/>
        </w:rPr>
        <w:t>Nulová varianta</w:t>
      </w:r>
      <w:r w:rsidR="00C041A9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C041A9" w:rsidRPr="001E2339">
        <w:rPr>
          <w:rFonts w:ascii="Times New Roman" w:eastAsia="Times New Roman" w:hAnsi="Times New Roman" w:cs="Times New Roman"/>
          <w:sz w:val="20"/>
          <w:lang w:eastAsia="cs-CZ"/>
        </w:rPr>
        <w:t>stav bez realizace projektu</w:t>
      </w:r>
    </w:p>
    <w:p w:rsidR="00C041A9" w:rsidRPr="001E2339" w:rsidRDefault="004552A9" w:rsidP="00C041A9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lang w:eastAsia="cs-CZ"/>
        </w:rPr>
        <w:t>Investiční varianta</w:t>
      </w:r>
      <w:r w:rsidR="00C041A9"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(či varianty) – projekt bude realizován</w:t>
      </w:r>
    </w:p>
    <w:p w:rsidR="00C041A9" w:rsidRPr="001E2339" w:rsidRDefault="00C041A9" w:rsidP="00C041A9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Definování maxima všech přínosů a újem v </w:t>
      </w:r>
      <w:r w:rsidRPr="004552A9">
        <w:rPr>
          <w:rFonts w:ascii="Times New Roman" w:eastAsia="Times New Roman" w:hAnsi="Times New Roman" w:cs="Times New Roman"/>
          <w:b/>
          <w:sz w:val="20"/>
          <w:lang w:eastAsia="cs-CZ"/>
        </w:rPr>
        <w:t>celém životním cyklu investice</w:t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>, jejich rozdělení na kvantifikovatelné a nekvantifikovatelné</w:t>
      </w:r>
    </w:p>
    <w:p w:rsidR="00C041A9" w:rsidRPr="001E2339" w:rsidRDefault="00C041A9" w:rsidP="00C041A9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Převedení kvantifikovatelných přínosů a újem na hotovostní toky</w:t>
      </w:r>
    </w:p>
    <w:p w:rsidR="00C041A9" w:rsidRPr="001E2339" w:rsidRDefault="00C041A9" w:rsidP="00C041A9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Stanovení </w:t>
      </w:r>
      <w:r w:rsidRPr="001E2339">
        <w:rPr>
          <w:rFonts w:ascii="Times New Roman" w:eastAsia="Times New Roman" w:hAnsi="Times New Roman" w:cs="Times New Roman"/>
          <w:b/>
          <w:sz w:val="20"/>
          <w:lang w:eastAsia="cs-CZ"/>
        </w:rPr>
        <w:t>diskontní sazby</w:t>
      </w:r>
      <w:r w:rsidR="00DB7FD1" w:rsidRPr="001E2339">
        <w:rPr>
          <w:rStyle w:val="Znakapoznpodarou"/>
          <w:rFonts w:ascii="Times New Roman" w:eastAsia="Times New Roman" w:hAnsi="Times New Roman" w:cs="Times New Roman"/>
          <w:b/>
          <w:sz w:val="20"/>
          <w:lang w:eastAsia="cs-CZ"/>
        </w:rPr>
        <w:footnoteReference w:id="1"/>
      </w:r>
      <w:r w:rsidRPr="001E2339">
        <w:rPr>
          <w:rFonts w:ascii="Times New Roman" w:eastAsia="Times New Roman" w:hAnsi="Times New Roman" w:cs="Times New Roman"/>
          <w:sz w:val="20"/>
          <w:lang w:eastAsia="cs-CZ"/>
        </w:rPr>
        <w:t xml:space="preserve"> a spočtení kriteriálních ukazatelů</w:t>
      </w:r>
    </w:p>
    <w:p w:rsidR="0015344E" w:rsidRDefault="00C041A9" w:rsidP="00C041A9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 w:rsidRPr="001E2339">
        <w:rPr>
          <w:rFonts w:ascii="Times New Roman" w:eastAsia="Times New Roman" w:hAnsi="Times New Roman" w:cs="Times New Roman"/>
          <w:sz w:val="20"/>
          <w:lang w:eastAsia="cs-CZ"/>
        </w:rPr>
        <w:t>Interpretace výsledků, rozhodnutí, zda je investice přijatelná</w:t>
      </w:r>
    </w:p>
    <w:p w:rsidR="003C58B1" w:rsidRDefault="003C58B1" w:rsidP="003C58B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lang w:eastAsia="cs-CZ"/>
        </w:rPr>
        <w:lastRenderedPageBreak/>
        <w:t>Zdroje:</w:t>
      </w:r>
    </w:p>
    <w:p w:rsidR="003C58B1" w:rsidRDefault="003C58B1" w:rsidP="003C58B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hyperlink r:id="rId8" w:history="1">
        <w:r w:rsidRPr="00F87B2F">
          <w:rPr>
            <w:rStyle w:val="Hypertextovodkaz"/>
            <w:rFonts w:ascii="Times New Roman" w:eastAsia="Times New Roman" w:hAnsi="Times New Roman" w:cs="Times New Roman"/>
            <w:sz w:val="20"/>
            <w:lang w:eastAsia="cs-CZ"/>
          </w:rPr>
          <w:t>https://managementmania.com/cs/analyza-nakladu-a-prinosu-cba-cost-benefit-analysis</w:t>
        </w:r>
      </w:hyperlink>
    </w:p>
    <w:p w:rsidR="003C58B1" w:rsidRDefault="003C58B1" w:rsidP="003C58B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hyperlink r:id="rId9" w:history="1">
        <w:r w:rsidRPr="00F87B2F">
          <w:rPr>
            <w:rStyle w:val="Hypertextovodkaz"/>
            <w:rFonts w:ascii="Times New Roman" w:eastAsia="Times New Roman" w:hAnsi="Times New Roman" w:cs="Times New Roman"/>
            <w:sz w:val="20"/>
            <w:lang w:eastAsia="cs-CZ"/>
          </w:rPr>
          <w:t>https://cs.wikipedia.org/wiki/Anal%C3%BDza_n%C3%A1klad%C5%AF_a_p%C5%99%C3%ADnos%C5%AF</w:t>
        </w:r>
      </w:hyperlink>
    </w:p>
    <w:p w:rsidR="003C58B1" w:rsidRDefault="00436F7F" w:rsidP="003C58B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hyperlink r:id="rId10" w:history="1">
        <w:r w:rsidRPr="00F87B2F">
          <w:rPr>
            <w:rStyle w:val="Hypertextovodkaz"/>
            <w:rFonts w:ascii="Times New Roman" w:eastAsia="Times New Roman" w:hAnsi="Times New Roman" w:cs="Times New Roman"/>
            <w:sz w:val="20"/>
            <w:lang w:eastAsia="cs-CZ"/>
          </w:rPr>
          <w:t>http://www.grantadvisor.cz/dotace-online/infocentrum/05_cba.pdf</w:t>
        </w:r>
      </w:hyperlink>
    </w:p>
    <w:p w:rsidR="008E52E1" w:rsidRDefault="008E52E1" w:rsidP="003C58B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lang w:eastAsia="cs-CZ"/>
        </w:rPr>
      </w:pPr>
    </w:p>
    <w:p w:rsidR="008E52E1" w:rsidRPr="00722D95" w:rsidRDefault="008E52E1" w:rsidP="008E52E1">
      <w:pPr>
        <w:rPr>
          <w:rFonts w:ascii="Times New Roman" w:hAnsi="Times New Roman" w:cs="Times New Roman"/>
          <w:b/>
          <w:bCs/>
          <w:lang w:val="en-GB"/>
        </w:rPr>
      </w:pPr>
      <w:r w:rsidRPr="00722D95">
        <w:rPr>
          <w:rFonts w:ascii="Times New Roman" w:hAnsi="Times New Roman" w:cs="Times New Roman"/>
          <w:b/>
          <w:bCs/>
          <w:lang w:val="en-GB"/>
        </w:rPr>
        <w:t>EXERCISE: Cost-Benefit Analysis</w:t>
      </w:r>
    </w:p>
    <w:p w:rsidR="008E52E1" w:rsidRPr="008E52E1" w:rsidRDefault="008E52E1" w:rsidP="008E52E1">
      <w:pPr>
        <w:rPr>
          <w:rFonts w:ascii="Times New Roman" w:hAnsi="Times New Roman" w:cs="Times New Roman"/>
          <w:sz w:val="20"/>
          <w:lang w:val="en-GB"/>
        </w:rPr>
      </w:pPr>
      <w:r w:rsidRPr="008E52E1">
        <w:rPr>
          <w:rFonts w:ascii="Times New Roman" w:hAnsi="Times New Roman" w:cs="Times New Roman"/>
          <w:sz w:val="20"/>
          <w:lang w:val="en-GB"/>
        </w:rPr>
        <w:t>Enter the information in the spreadsheet below. The information is the stream of costs and benefits estimated for a proposed project. Year 0 represents the initial investment while costs for years 1-10 are the maintenance costs incurred at the end of each year. The benefits are e.g. the revenues from the economic development in the region</w:t>
      </w:r>
      <w:r>
        <w:rPr>
          <w:rFonts w:ascii="Times New Roman" w:hAnsi="Times New Roman" w:cs="Times New Roman"/>
          <w:sz w:val="20"/>
          <w:lang w:val="en-GB"/>
        </w:rPr>
        <w:t>.</w:t>
      </w:r>
    </w:p>
    <w:p w:rsidR="008E52E1" w:rsidRPr="00722D95" w:rsidRDefault="008E52E1" w:rsidP="008E52E1">
      <w:pPr>
        <w:rPr>
          <w:rFonts w:ascii="Times New Roman" w:hAnsi="Times New Roman" w:cs="Times New Roman"/>
          <w:b/>
          <w:lang w:val="en-GB"/>
        </w:rPr>
      </w:pPr>
      <w:r w:rsidRPr="00722D95">
        <w:rPr>
          <w:rFonts w:ascii="Times New Roman" w:hAnsi="Times New Roman" w:cs="Times New Roman"/>
          <w:b/>
          <w:lang w:val="en-GB"/>
        </w:rPr>
        <w:t>Costs: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Item</w:t>
            </w: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Cost</w:t>
            </w: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E52E1" w:rsidRPr="00722D95" w:rsidRDefault="008E52E1" w:rsidP="008E52E1">
      <w:pPr>
        <w:rPr>
          <w:rFonts w:ascii="Times New Roman" w:hAnsi="Times New Roman" w:cs="Times New Roman"/>
          <w:lang w:val="en-GB"/>
        </w:rPr>
      </w:pPr>
    </w:p>
    <w:p w:rsidR="008E52E1" w:rsidRPr="00722D95" w:rsidRDefault="008E52E1" w:rsidP="008E52E1">
      <w:pPr>
        <w:rPr>
          <w:rFonts w:ascii="Times New Roman" w:hAnsi="Times New Roman" w:cs="Times New Roman"/>
          <w:b/>
          <w:lang w:val="en-GB"/>
        </w:rPr>
      </w:pPr>
      <w:r w:rsidRPr="00722D95">
        <w:rPr>
          <w:rFonts w:ascii="Times New Roman" w:hAnsi="Times New Roman" w:cs="Times New Roman"/>
          <w:b/>
          <w:lang w:val="en-GB"/>
        </w:rPr>
        <w:t>Benefits: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Item</w:t>
            </w: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Benefit</w:t>
            </w: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c>
          <w:tcPr>
            <w:tcW w:w="750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bookmarkStart w:id="0" w:name="_GoBack"/>
            <w:bookmarkEnd w:id="0"/>
          </w:p>
        </w:tc>
        <w:tc>
          <w:tcPr>
            <w:tcW w:w="1554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E52E1" w:rsidRPr="00722D95" w:rsidRDefault="008E52E1" w:rsidP="008E52E1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559"/>
        <w:gridCol w:w="1701"/>
        <w:gridCol w:w="1673"/>
      </w:tblGrid>
      <w:tr w:rsidR="008E52E1" w:rsidRPr="00722D95" w:rsidTr="0036649A">
        <w:trPr>
          <w:trHeight w:val="745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Year</w:t>
            </w:r>
            <w:proofErr w:type="spellEnd"/>
            <w:r w:rsidRPr="00722D9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Costs</w:t>
            </w:r>
            <w:proofErr w:type="spellEnd"/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Benefits</w:t>
            </w:r>
            <w:proofErr w:type="spellEnd"/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Total</w:t>
            </w:r>
            <w:proofErr w:type="spellEnd"/>
            <w:r w:rsidRPr="00722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benefits</w:t>
            </w:r>
            <w:proofErr w:type="spellEnd"/>
          </w:p>
          <w:p w:rsidR="008E52E1" w:rsidRPr="00722D95" w:rsidRDefault="00585614" w:rsidP="003664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minus </w:t>
            </w:r>
            <w:proofErr w:type="spellStart"/>
            <w:r w:rsidR="008E52E1" w:rsidRPr="00722D95">
              <w:rPr>
                <w:rFonts w:ascii="Times New Roman" w:hAnsi="Times New Roman" w:cs="Times New Roman"/>
                <w:b/>
                <w:bCs/>
              </w:rPr>
              <w:t>costs</w:t>
            </w:r>
            <w:proofErr w:type="spellEnd"/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Discount</w:t>
            </w:r>
            <w:proofErr w:type="spellEnd"/>
            <w:r w:rsidRPr="00722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factor</w:t>
            </w:r>
            <w:proofErr w:type="spellEnd"/>
            <w:r w:rsidRPr="00722D95">
              <w:rPr>
                <w:rFonts w:ascii="Times New Roman" w:hAnsi="Times New Roman" w:cs="Times New Roman"/>
                <w:b/>
                <w:bCs/>
              </w:rPr>
              <w:t xml:space="preserve"> (r)</w:t>
            </w: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Present</w:t>
            </w:r>
            <w:proofErr w:type="spellEnd"/>
            <w:r w:rsidRPr="00722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2D95">
              <w:rPr>
                <w:rFonts w:ascii="Times New Roman" w:hAnsi="Times New Roman" w:cs="Times New Roman"/>
                <w:b/>
                <w:bCs/>
              </w:rPr>
              <w:t>value</w:t>
            </w:r>
            <w:proofErr w:type="spellEnd"/>
            <w:r w:rsidRPr="00722D95">
              <w:rPr>
                <w:rFonts w:ascii="Times New Roman" w:hAnsi="Times New Roman" w:cs="Times New Roman"/>
                <w:b/>
                <w:bCs/>
              </w:rPr>
              <w:t xml:space="preserve"> (PV)</w:t>
            </w: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33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52E1" w:rsidRPr="00722D95" w:rsidTr="0036649A">
        <w:trPr>
          <w:trHeight w:val="248"/>
        </w:trPr>
        <w:tc>
          <w:tcPr>
            <w:tcW w:w="988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  <w:r w:rsidRPr="00722D95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3" w:type="dxa"/>
          </w:tcPr>
          <w:p w:rsidR="008E52E1" w:rsidRPr="00722D95" w:rsidRDefault="008E52E1" w:rsidP="0036649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E52E1" w:rsidRPr="00722D95" w:rsidRDefault="008E52E1" w:rsidP="008E52E1">
      <w:pPr>
        <w:rPr>
          <w:rFonts w:ascii="Times New Roman" w:hAnsi="Times New Roman" w:cs="Times New Roman"/>
          <w:lang w:val="en-GB"/>
        </w:rPr>
      </w:pPr>
    </w:p>
    <w:p w:rsidR="008E52E1" w:rsidRPr="00722D95" w:rsidRDefault="008E52E1" w:rsidP="008E52E1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722D95">
        <w:rPr>
          <w:rFonts w:ascii="Times New Roman" w:eastAsia="Calibri" w:hAnsi="Times New Roman" w:cs="Times New Roman"/>
          <w:b/>
        </w:rPr>
        <w:t>PV = R/(1 + r)^t</w:t>
      </w:r>
    </w:p>
    <w:p w:rsidR="008E52E1" w:rsidRPr="00722D95" w:rsidRDefault="008E52E1" w:rsidP="008E52E1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E52E1" w:rsidRPr="008E52E1" w:rsidRDefault="008E52E1" w:rsidP="008E52E1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E52E1">
        <w:rPr>
          <w:rFonts w:ascii="Times New Roman" w:eastAsia="Calibri" w:hAnsi="Times New Roman" w:cs="Times New Roman"/>
          <w:sz w:val="20"/>
        </w:rPr>
        <w:t xml:space="preserve">(PV – </w:t>
      </w:r>
      <w:proofErr w:type="spellStart"/>
      <w:r w:rsidRPr="008E52E1">
        <w:rPr>
          <w:rFonts w:ascii="Times New Roman" w:eastAsia="Calibri" w:hAnsi="Times New Roman" w:cs="Times New Roman"/>
          <w:sz w:val="20"/>
        </w:rPr>
        <w:t>present</w:t>
      </w:r>
      <w:proofErr w:type="spellEnd"/>
      <w:r w:rsidRPr="008E52E1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8E52E1">
        <w:rPr>
          <w:rFonts w:ascii="Times New Roman" w:eastAsia="Calibri" w:hAnsi="Times New Roman" w:cs="Times New Roman"/>
          <w:sz w:val="20"/>
        </w:rPr>
        <w:t>value</w:t>
      </w:r>
      <w:proofErr w:type="spellEnd"/>
      <w:r w:rsidRPr="008E52E1">
        <w:rPr>
          <w:rFonts w:ascii="Times New Roman" w:eastAsia="Calibri" w:hAnsi="Times New Roman" w:cs="Times New Roman"/>
          <w:sz w:val="20"/>
        </w:rPr>
        <w:t xml:space="preserve"> – současná hodnota; R – očekávaná částka v budoucnosti; r – diskont – cena příležitosti (</w:t>
      </w:r>
      <w:proofErr w:type="spellStart"/>
      <w:r w:rsidRPr="008E52E1">
        <w:rPr>
          <w:rFonts w:ascii="Times New Roman" w:eastAsia="Calibri" w:hAnsi="Times New Roman" w:cs="Times New Roman"/>
          <w:sz w:val="20"/>
        </w:rPr>
        <w:t>oppoturnity</w:t>
      </w:r>
      <w:proofErr w:type="spellEnd"/>
      <w:r w:rsidRPr="008E52E1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8E52E1">
        <w:rPr>
          <w:rFonts w:ascii="Times New Roman" w:eastAsia="Calibri" w:hAnsi="Times New Roman" w:cs="Times New Roman"/>
          <w:sz w:val="20"/>
        </w:rPr>
        <w:t>cost</w:t>
      </w:r>
      <w:proofErr w:type="spellEnd"/>
      <w:r w:rsidRPr="008E52E1">
        <w:rPr>
          <w:rFonts w:ascii="Times New Roman" w:eastAsia="Calibri" w:hAnsi="Times New Roman" w:cs="Times New Roman"/>
          <w:sz w:val="20"/>
        </w:rPr>
        <w:t>); t – čas)</w:t>
      </w:r>
    </w:p>
    <w:sectPr w:rsidR="008E52E1" w:rsidRPr="008E52E1" w:rsidSect="008E5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09" w:rsidRDefault="00632A09" w:rsidP="00DB7FD1">
      <w:pPr>
        <w:spacing w:after="0" w:line="240" w:lineRule="auto"/>
      </w:pPr>
      <w:r>
        <w:separator/>
      </w:r>
    </w:p>
  </w:endnote>
  <w:endnote w:type="continuationSeparator" w:id="0">
    <w:p w:rsidR="00632A09" w:rsidRDefault="00632A09" w:rsidP="00DB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09" w:rsidRDefault="00632A09" w:rsidP="00DB7FD1">
      <w:pPr>
        <w:spacing w:after="0" w:line="240" w:lineRule="auto"/>
      </w:pPr>
      <w:r>
        <w:separator/>
      </w:r>
    </w:p>
  </w:footnote>
  <w:footnote w:type="continuationSeparator" w:id="0">
    <w:p w:rsidR="00632A09" w:rsidRDefault="00632A09" w:rsidP="00DB7FD1">
      <w:pPr>
        <w:spacing w:after="0" w:line="240" w:lineRule="auto"/>
      </w:pPr>
      <w:r>
        <w:continuationSeparator/>
      </w:r>
    </w:p>
  </w:footnote>
  <w:footnote w:id="1">
    <w:p w:rsidR="00DB7FD1" w:rsidRPr="001E2339" w:rsidRDefault="00DB7FD1" w:rsidP="00DB7FD1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1E2339">
        <w:rPr>
          <w:rStyle w:val="Znakapoznpodarou"/>
          <w:rFonts w:ascii="Times New Roman" w:hAnsi="Times New Roman" w:cs="Times New Roman"/>
          <w:sz w:val="18"/>
        </w:rPr>
        <w:footnoteRef/>
      </w:r>
      <w:r w:rsidRPr="001E2339">
        <w:rPr>
          <w:rFonts w:ascii="Times New Roman" w:hAnsi="Times New Roman" w:cs="Times New Roman"/>
          <w:sz w:val="18"/>
        </w:rPr>
        <w:t xml:space="preserve"> Procentní vyjádření úrokové sazby vyčísluje, jakou částku finanční instituci, která úvěr (zápůjčku) poskytla, zaplatí dlužník navíc. Ve většině případů se jedná o procento fixní (stálé), ale může být někdy i úroková sazba proměnlivá, tzn.</w:t>
      </w:r>
      <w:r w:rsidR="003C58B1">
        <w:rPr>
          <w:rFonts w:ascii="Times New Roman" w:hAnsi="Times New Roman" w:cs="Times New Roman"/>
          <w:sz w:val="18"/>
        </w:rPr>
        <w:t>,</w:t>
      </w:r>
      <w:r w:rsidRPr="001E2339">
        <w:rPr>
          <w:rFonts w:ascii="Times New Roman" w:hAnsi="Times New Roman" w:cs="Times New Roman"/>
          <w:sz w:val="18"/>
        </w:rPr>
        <w:t xml:space="preserve"> že poskytující finanční instituce může toto procento v průběhu úvěru měnit, snižovat či zvyšovat.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18F2"/>
    <w:multiLevelType w:val="hybridMultilevel"/>
    <w:tmpl w:val="62EED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95B"/>
    <w:multiLevelType w:val="hybridMultilevel"/>
    <w:tmpl w:val="E9E4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D2E"/>
    <w:multiLevelType w:val="hybridMultilevel"/>
    <w:tmpl w:val="27507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06808"/>
    <w:multiLevelType w:val="hybridMultilevel"/>
    <w:tmpl w:val="B298E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F"/>
    <w:rsid w:val="00006678"/>
    <w:rsid w:val="00014220"/>
    <w:rsid w:val="0015344E"/>
    <w:rsid w:val="00187A77"/>
    <w:rsid w:val="001E2339"/>
    <w:rsid w:val="00227876"/>
    <w:rsid w:val="00374968"/>
    <w:rsid w:val="003B5D97"/>
    <w:rsid w:val="003C58B1"/>
    <w:rsid w:val="00436F7F"/>
    <w:rsid w:val="004552A9"/>
    <w:rsid w:val="00585614"/>
    <w:rsid w:val="00632A09"/>
    <w:rsid w:val="007214A6"/>
    <w:rsid w:val="007F3CF1"/>
    <w:rsid w:val="00803501"/>
    <w:rsid w:val="008527D5"/>
    <w:rsid w:val="00853636"/>
    <w:rsid w:val="008E52E1"/>
    <w:rsid w:val="00AD4ADB"/>
    <w:rsid w:val="00AE5872"/>
    <w:rsid w:val="00B350C2"/>
    <w:rsid w:val="00BD28EC"/>
    <w:rsid w:val="00BD7A18"/>
    <w:rsid w:val="00BE4AC2"/>
    <w:rsid w:val="00C041A9"/>
    <w:rsid w:val="00D65A99"/>
    <w:rsid w:val="00DB7FD1"/>
    <w:rsid w:val="00E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4F1A"/>
  <w15:chartTrackingRefBased/>
  <w15:docId w15:val="{26CB33E9-852E-47AD-9B27-4D50DDC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D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1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787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F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7F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7FD1"/>
    <w:rPr>
      <w:vertAlign w:val="superscript"/>
    </w:rPr>
  </w:style>
  <w:style w:type="table" w:styleId="Mkatabulky">
    <w:name w:val="Table Grid"/>
    <w:basedOn w:val="Normlntabulka"/>
    <w:uiPriority w:val="39"/>
    <w:rsid w:val="008E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mania.com/cs/analyza-nakladu-a-prinosu-cba-cost-benefit-analys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antadvisor.cz/dotace-online/infocentrum/05_cb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Anal%C3%BDza_n%C3%A1klad%C5%AF_a_p%C5%99%C3%ADnos%C5%A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F8E4-6411-4EB1-8443-529D73B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</dc:creator>
  <cp:keywords/>
  <dc:description/>
  <cp:lastModifiedBy>Cerny</cp:lastModifiedBy>
  <cp:revision>23</cp:revision>
  <dcterms:created xsi:type="dcterms:W3CDTF">2017-10-02T19:13:00Z</dcterms:created>
  <dcterms:modified xsi:type="dcterms:W3CDTF">2019-10-10T09:35:00Z</dcterms:modified>
</cp:coreProperties>
</file>