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Návrh závěrů Evropské rady 9. prosince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Víceletý finanční rámec (VFR)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Evropská rada uvítala práci vykonanou během finského předsednictví a vzala na vědomí různé prvky celého balíčku víceletého finančního rámce. Vyzvala chorvatské předsednictví k tomu, aby v práci pokračovalo s cílem dosáhnout dohody na Evropské radě v březnu 2020.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Evropská rada se usnesla, že další jednání budou vycházet z níže uvedené a schválené osnovy.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Rozpočtová kapitola I Jednotný trh, inovace a digitál bude nepřekročí 10 % VFR v závazcích. Program pro Vesmír dosáhne celkové alokace 10 mld. EUR. Nástroj pro propojení Evropy bude pro příští finanční rámec zrušen.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Rozpočtová kapitola II. Koheze a hodnoty nepřekročí Komisí navrhovaný podíl 34,5 % VFR v závazcích. Objem prostředků na Regionální rozvoj a kohezi přitom nepřesáhne 200 mld. EUR. U všech členských států půjde minimálně 80 % alokovaných prostředků na cíle „I. chytřejší“ a „II. zelenější bezuhlíková Evropa“, přičemž na cíl II. zelenější bezuhlíková Evropa půjde alespoň 40 % </w:t>
      </w:r>
      <w:r w:rsidDel="00000000" w:rsidR="00000000" w:rsidRPr="00000000">
        <w:rPr>
          <w:rtl w:val="0"/>
        </w:rPr>
        <w:t xml:space="preserve">prostředků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Regionální rozvoj a kohezi v každém členském státě. Prostředky cílící na Hospodářskou a měnovou unii přesáhnou 50 mld. EUR.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rámci rozpočtové kapitola III. Bude i Evropského zemědělského fondu pro rozvoj venkova bude sjednocena míra národního spolufinancování na 40 % pro všechny regiony (rozvinuté i ostatní).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Evropská rada dosáhla politické dohody, podle které bude přijato Nařízení EP a Rady o ochraně rozpočtu Unie v případě obecných nedostatků týkajících se vlády práva v členských státech.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Veškeré slevy a rabaty u příjmové stránky rozpočtu budou zrušeny od roku 2021.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A36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ZczY8pBHqrh66acNMeT9xRjAwg==">AMUW2mXUBykHImy/gn5oP0cAPDjGNmf2kJYmUDrrhZ9L8s4utwXJFgYoJdjOrVwilar+qQA6wwP+Vbkz8Vb6N7CHMzFfDfJGEL5ra99fKApk6ja9/Y0oYze0muWwp0sKZaWTIKN2gPP5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2019-12-05T21:08:00Z</dcterms:created>
  <dc:creator>Vít Dostál</dc:creator>
</cp:coreProperties>
</file>