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C2" w:rsidRPr="00231175" w:rsidRDefault="00695ECD" w:rsidP="00231175">
      <w:pPr>
        <w:pStyle w:val="Nadpis1"/>
        <w:rPr>
          <w:rFonts w:eastAsia="Times New Roman"/>
        </w:rPr>
      </w:pPr>
      <w:r w:rsidRPr="00695ECD">
        <w:rPr>
          <w:rFonts w:eastAsia="Times New Roman"/>
        </w:rPr>
        <w:t>Definice a vymezení venkova optikou rurální sociologie</w:t>
      </w:r>
    </w:p>
    <w:p w:rsidR="003F33DE" w:rsidRDefault="003F33DE" w:rsidP="00365E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Venkov jako pojem bohužel není jednoznačným označením pro konkrétní oblast, jev či fenomén. Definujeme-li venkov, říkáme častěji, co venkovem není, než co venkovem je – kde není město, tam je venkov. Existují pochopitelně mezinárodně uznávané charakteristiky obce, můžeme však také hovořit o abstraktnějších charakteristikách venkova. Na následujících řádcích své eseje se budu věnovat právě definici a vymezení venkova optikou rurální sociologie</w:t>
      </w:r>
      <w:r w:rsidR="00DB2B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33DE" w:rsidRDefault="003F33DE" w:rsidP="00DA427E">
      <w:pPr>
        <w:spacing w:before="24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7E">
        <w:rPr>
          <w:rFonts w:ascii="Times New Roman" w:hAnsi="Times New Roman" w:cs="Times New Roman"/>
          <w:sz w:val="28"/>
          <w:szCs w:val="28"/>
        </w:rPr>
        <w:t>O rurální sociologii</w:t>
      </w:r>
    </w:p>
    <w:p w:rsidR="007A341D" w:rsidRPr="00B403CB" w:rsidRDefault="00DB2B6D" w:rsidP="00B403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B6D">
        <w:rPr>
          <w:rFonts w:ascii="Times New Roman" w:eastAsia="Times New Roman" w:hAnsi="Times New Roman" w:cs="Times New Roman"/>
          <w:color w:val="000000"/>
          <w:sz w:val="24"/>
          <w:szCs w:val="24"/>
        </w:rPr>
        <w:t>Rurální sociologi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 w:rsidRPr="00DB2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tedy sociologi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B2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venkova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bychom neměli vnímat pouze jako aplikaci obecné sociologie. Tato věda se naopak zpravidla pokouší zkoumat celkovou problematiku venkova, společenské vztahy, společenské jevy, rozpory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souvislosti venkova a města a podobně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[Tauber 1968: 372]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Neexistuje jednotná definice venkova, na které by se sociologové, kteří se rurálními oblastmi zabývají, shodli. </w:t>
      </w:r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Jednotliví sociologové přikládají rozdílnou důležitost různým společenským jevům, dále existují také rozdíly lokálního charakteru</w:t>
      </w:r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závislosti na počtu obyvatel vzhledem k velikosti země. Za cíl této eseje proto pochopitelně nebudu považovat naleznutí ideální definice, která by pokryla veškeré požadavky rurální sociologie, nýbrž nahlédnutí do různých způsobů jejího zkoumání.</w:t>
      </w:r>
    </w:p>
    <w:p w:rsidR="00FD6F44" w:rsidRPr="00DA427E" w:rsidRDefault="00DA427E" w:rsidP="00DA427E">
      <w:pPr>
        <w:spacing w:before="24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Venkov </w:t>
      </w:r>
      <w:r w:rsidR="00AF0EC5">
        <w:rPr>
          <w:rFonts w:ascii="Times New Roman" w:hAnsi="Times New Roman" w:cs="Times New Roman"/>
          <w:sz w:val="28"/>
          <w:szCs w:val="28"/>
        </w:rPr>
        <w:t>empirickým pohledem</w:t>
      </w:r>
    </w:p>
    <w:p w:rsidR="00DA427E" w:rsidRDefault="00FD6F44" w:rsidP="003F3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Před vstupem České republiky do Evropské unie v roce 2004 byl základním ukazatelem oblasti počet obyvatel. Za venkovskou obec 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byla považována obec do dvou tisíc obyvatel. Po vstupu země do Evropské unie začaly být používány také metodiky organizace OECD a statistického úřadu EUROSTAT. Dalšími sledovanými charakteristikami se tak stala hustota obyvatel na kilometr čtvereční a podíl obyvatelstva žijícího v obcích s hustotou nižší než 100 obyvatel na kilometr čtvereční.</w:t>
      </w:r>
      <w:r w:rsidR="00C44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427E" w:rsidRDefault="00C442B9" w:rsidP="00DA42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EUROSTATu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venkovskou oblast můžeme považovat tu, její</w:t>
      </w:r>
      <w:r w:rsidR="00DA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 hustota osídlení nepřesahuje 100 obyvatel na kilometr čtvereční. </w:t>
      </w:r>
    </w:p>
    <w:p w:rsidR="00FD6F44" w:rsidRDefault="00DA427E" w:rsidP="00DA42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OECD naproti tomu přichází se třemi typy regionů rozdělených dle podílu obyvatelstva žijícího v obcích s hustotou 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osídlení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100 obyvatel na kilometr čtvereční: výrazně venkovský region s více než 50 % obyvatel žijících v obcích s hustotou menší než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100 obyvatel na kilometr čtvereční, dále převážně venkovský region s 15–50 % obyvatel stejné charakteristiky, a nakonec výrazně městský region s méně než 15 % těchto obyvatel.</w:t>
      </w:r>
    </w:p>
    <w:p w:rsidR="00DA427E" w:rsidRDefault="00DA427E" w:rsidP="00DA42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 autorky Věry Majerové je takto jasné definování venkova klíčové nejen pro půdu sociálních věd, ale také pro ekonomické fungování území, a to především</w:t>
      </w:r>
      <w:r w:rsidR="00CE4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E408F">
        <w:rPr>
          <w:rFonts w:ascii="Times New Roman" w:eastAsia="Times New Roman" w:hAnsi="Times New Roman" w:cs="Times New Roman"/>
          <w:color w:val="000000"/>
          <w:sz w:val="24"/>
          <w:szCs w:val="24"/>
        </w:rPr>
        <w:t>v evropském či českém prostředí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hovoříme-li o čerpání finančních dotací ze Strukturálních fondů EU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[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Šubrt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kol. 2014: 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6F44" w:rsidRDefault="00FD6F44" w:rsidP="00DA427E">
      <w:pPr>
        <w:spacing w:before="24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7E">
        <w:rPr>
          <w:rFonts w:ascii="Times New Roman" w:hAnsi="Times New Roman" w:cs="Times New Roman"/>
          <w:sz w:val="28"/>
          <w:szCs w:val="28"/>
        </w:rPr>
        <w:t>Venkov</w:t>
      </w:r>
      <w:r w:rsidR="00AF0EC5">
        <w:rPr>
          <w:rFonts w:ascii="Times New Roman" w:hAnsi="Times New Roman" w:cs="Times New Roman"/>
          <w:sz w:val="28"/>
          <w:szCs w:val="28"/>
        </w:rPr>
        <w:t xml:space="preserve"> </w:t>
      </w:r>
      <w:r w:rsidR="00085EAE">
        <w:rPr>
          <w:rFonts w:ascii="Times New Roman" w:hAnsi="Times New Roman" w:cs="Times New Roman"/>
          <w:sz w:val="28"/>
          <w:szCs w:val="28"/>
        </w:rPr>
        <w:t>historickým pohledem</w:t>
      </w:r>
    </w:p>
    <w:p w:rsidR="00EA377B" w:rsidRDefault="00B85269" w:rsidP="00B40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Venkov byl v průběhu staletí pochopitelně vnímán 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odlišně,</w:t>
      </w:r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to také z pohledu jeho reprezentace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počátcích </w:t>
      </w:r>
      <w:proofErr w:type="gramStart"/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filosofie</w:t>
      </w:r>
      <w:proofErr w:type="gramEnd"/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byl venkov chápán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protipól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komplikovaného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lidského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ž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iti ve m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ě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stech,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oázu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klidu,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č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istoty,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přírody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věčné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obnovy 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ž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ivota, ov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š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zároveň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synonymum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odlou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č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enosti, zaostalosti, konzervatismu, nam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hav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ho zp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ů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sobu ob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ž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ivy,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bezprostředního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ohro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ž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eni </w:t>
      </w:r>
      <w:r w:rsidR="001268F4" w:rsidRPr="001268F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ž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ivota 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přírodními</w:t>
      </w:r>
      <w:r w:rsidR="001268F4" w:rsidRP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silami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,“</w:t>
      </w:r>
      <w:r w:rsidR="001268F4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8F4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Šubrt 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a kol. 2014: 4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268F4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2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03CB" w:rsidRPr="00B403CB" w:rsidRDefault="001268F4" w:rsidP="00B40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 rozvojem sociálních věd a konkrétně se vznikem a rozvojem sociologie venkov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také vznikaly stále nové pohledy na 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>něj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Venkovem jako takovým se zabývali také klasičtí sociologové, a to především Ferdinand </w:t>
      </w:r>
      <w:proofErr w:type="spellStart"/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403CB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nniese</w:t>
      </w:r>
      <w:proofErr w:type="spellEnd"/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Émile</w:t>
      </w:r>
      <w:proofErr w:type="spellEnd"/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Durkheim</w:t>
      </w:r>
      <w:proofErr w:type="spellEnd"/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Max Weber. 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Ferdinand </w:t>
      </w:r>
      <w:proofErr w:type="spellStart"/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E2EFC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nniese</w:t>
      </w:r>
      <w:proofErr w:type="spellEnd"/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Émile</w:t>
      </w:r>
      <w:proofErr w:type="spellEnd"/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Durkheim</w:t>
      </w:r>
      <w:proofErr w:type="spellEnd"/>
      <w:r w:rsid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stále ještě kladli velký důraz na dichotomii města a venkova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Zabývali se tématy proměny venkova z důvodu rostoucí industrializace, zavedení metody dělby práce, mezilidských vztahů a solidarity. 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Max Weber ve své práci také reflektuje vliv kapitalismu na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proměny venkova, nicméně společnost nedeterminuje pouze na základě ekonomické síly, a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přikládá tak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velký vliv kultuře – sdíleným lidským hodnotám. Převládající dichotomie klasické sociologie vedla následně ke vzniku samostatné vědní disciplíny zabývající se venkovem </w:t>
      </w:r>
      <w:r w:rsidR="00AE2EFC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Pospěch a kol. 2014: 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AE2EFC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77B" w:rsidRDefault="001268F4" w:rsidP="00B40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době vzniku rurální sociologie ve Spojených státech na přelomu 19. a 20. století byl venkov definován </w:t>
      </w:r>
      <w:r w:rsidR="00B85269">
        <w:rPr>
          <w:rFonts w:ascii="Times New Roman" w:eastAsia="Times New Roman" w:hAnsi="Times New Roman" w:cs="Times New Roman"/>
          <w:color w:val="000000"/>
          <w:sz w:val="24"/>
          <w:szCs w:val="24"/>
        </w:rPr>
        <w:t>především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oblast</w:t>
      </w:r>
      <w:r w:rsidR="00B85269">
        <w:rPr>
          <w:rFonts w:ascii="Times New Roman" w:eastAsia="Times New Roman" w:hAnsi="Times New Roman" w:cs="Times New Roman"/>
          <w:color w:val="000000"/>
          <w:sz w:val="24"/>
          <w:szCs w:val="24"/>
        </w:rPr>
        <w:t>, jejíž obyvatelé se živí zejména zemědělstvím. Celá sociologie venkova se pak zaměřovala především na praktické otázky například kapitálu, který na venkově vznikal.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377B" w:rsidRDefault="00B85269" w:rsidP="00B40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evropském kontextu však venkov jako oblast produkující velké peníze definován nebyl. Z důvodu agrární krize byl evropský venkov vnímán především jako „problém“</w:t>
      </w:r>
      <w:r w:rsidR="00EA37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0EC5" w:rsidRDefault="00B85269" w:rsidP="00B40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druhé světové válce z důvodu poválečného uspořádání Evropy</w:t>
      </w:r>
      <w:r w:rsidR="00EA3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kolektivizace všeho zemědělství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území Československa</w:t>
      </w:r>
      <w:r w:rsidR="00EA3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nebylo </w:t>
      </w:r>
      <w:r w:rsidR="00EA377B">
        <w:rPr>
          <w:rFonts w:ascii="Times New Roman" w:eastAsia="Times New Roman" w:hAnsi="Times New Roman" w:cs="Times New Roman"/>
          <w:color w:val="000000"/>
          <w:sz w:val="24"/>
          <w:szCs w:val="24"/>
        </w:rPr>
        <w:t>ideologií nezatížené zkoumání venkova možné.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3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Venkov byl snad naivně vnímán jako oblast neomezené výroby a spotřeby a zkoumána byla pouze jeho materiální podstata. Teprve na konci osmdesátých let a později po pádu železné opony začaly být pojmenovávány reálné problémy venkova – tedy očekávaný </w:t>
      </w:r>
      <w:r w:rsidR="00EA37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kolaps velkovýrobních zemědělských podniků a celková transformace zemědělské produkce </w:t>
      </w:r>
      <w:r w:rsidR="00EA377B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AE2EFC">
        <w:rPr>
          <w:rFonts w:ascii="Times New Roman" w:eastAsia="Times New Roman" w:hAnsi="Times New Roman" w:cs="Times New Roman"/>
          <w:color w:val="000000"/>
          <w:sz w:val="24"/>
          <w:szCs w:val="24"/>
        </w:rPr>
        <w:t>Šubrt</w:t>
      </w:r>
      <w:r w:rsidR="00EA3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kol. 2014: 45–52</w:t>
      </w:r>
      <w:r w:rsidR="00EA377B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EA37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EAE" w:rsidRPr="00085EAE" w:rsidRDefault="00085EAE" w:rsidP="00085EAE">
      <w:pPr>
        <w:spacing w:before="24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7E">
        <w:rPr>
          <w:rFonts w:ascii="Times New Roman" w:hAnsi="Times New Roman" w:cs="Times New Roman"/>
          <w:sz w:val="28"/>
          <w:szCs w:val="28"/>
        </w:rPr>
        <w:t>Venkov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01A">
        <w:rPr>
          <w:rFonts w:ascii="Times New Roman" w:hAnsi="Times New Roman" w:cs="Times New Roman"/>
          <w:sz w:val="28"/>
          <w:szCs w:val="28"/>
        </w:rPr>
        <w:t>teoretickým</w:t>
      </w:r>
      <w:r>
        <w:rPr>
          <w:rFonts w:ascii="Times New Roman" w:hAnsi="Times New Roman" w:cs="Times New Roman"/>
          <w:sz w:val="28"/>
          <w:szCs w:val="28"/>
        </w:rPr>
        <w:t xml:space="preserve"> pohledem</w:t>
      </w:r>
    </w:p>
    <w:p w:rsidR="00085EAE" w:rsidRDefault="00085EAE" w:rsidP="00B40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venkov můžeme dále pohlížet z hlediska jeho funkčnosti. Za venkov pak považujeme oblasti, jež jsou z větší části obhospodařovány, v nichž nalezneme malá sídla se silným vztahem ke krajině a jejichž obyvatelé </w:t>
      </w:r>
      <w:r w:rsidR="001E1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sdílí svou identitu a mají silný vztah ke svému prostředí, můžeme snad 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>říct</w:t>
      </w:r>
      <w:r w:rsidR="001E1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 půdě. Toto rozdělení nicméně přináší silně dichotomický 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pohled </w:t>
      </w:r>
      <w:r w:rsidR="001E1989">
        <w:rPr>
          <w:rFonts w:ascii="Times New Roman" w:eastAsia="Times New Roman" w:hAnsi="Times New Roman" w:cs="Times New Roman"/>
          <w:color w:val="000000"/>
          <w:sz w:val="24"/>
          <w:szCs w:val="24"/>
        </w:rPr>
        <w:t>na venkov a město.</w:t>
      </w:r>
    </w:p>
    <w:p w:rsidR="006E701A" w:rsidRDefault="001E1989" w:rsidP="00B40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Dalším používaným konceptem 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definování venkova je politicko-ekonomická situace. Funkční venkovské oblasti byly totiž</w:t>
      </w:r>
      <w:r w:rsidR="005E3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silně propojeny s dynamikou národní a mezinárodní politicko-ekonomické situace, a tak se toto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studium </w:t>
      </w:r>
      <w:r w:rsidR="005E3C38">
        <w:rPr>
          <w:rFonts w:ascii="Times New Roman" w:eastAsia="Times New Roman" w:hAnsi="Times New Roman" w:cs="Times New Roman"/>
          <w:color w:val="000000"/>
          <w:sz w:val="24"/>
          <w:szCs w:val="24"/>
        </w:rPr>
        <w:t>nesoustředí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pouze na venkovskou oblast, ale také na oblasti vně. </w:t>
      </w:r>
      <w:proofErr w:type="spellStart"/>
      <w:r w:rsidR="005E3C38">
        <w:rPr>
          <w:rFonts w:ascii="Times New Roman" w:eastAsia="Times New Roman" w:hAnsi="Times New Roman" w:cs="Times New Roman"/>
          <w:color w:val="000000"/>
          <w:sz w:val="24"/>
          <w:szCs w:val="24"/>
        </w:rPr>
        <w:t>Ruralita</w:t>
      </w:r>
      <w:proofErr w:type="spellEnd"/>
      <w:r w:rsidR="005E3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kategorie byla poté touto optikou vlastně upozaděna, neboť situace uvnitř venkova neměla příliš silný vliv. To vedlo k rozostření hranic mezi venkovy a městy a ke sdílení jejich problémů. Venkov se nicméně stále definoval příjemným prostředím lákajícím nezaměstnané z měst, geograficky problematickým rozložením veřejných služeb a silnou místní politickou ideologií s důrazem na </w:t>
      </w:r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>kolektivismus a trh.</w:t>
      </w:r>
    </w:p>
    <w:p w:rsidR="001E1989" w:rsidRPr="00CE408F" w:rsidRDefault="005E3C38" w:rsidP="00B40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Třetí pohled na venkov se soustředí na jeho sociální konstrukce a klíčová je pro něj role kultury. Tato teorie odkrývá zidealizovaný pohled na venkov, který je vnímán jako místo v přírodě s velikými sociálními, kulturními a morálními hodnotami. Z toho jasně vyplývá, že pro účinné zkoumání venkovských oblastí je podstatné studovat je nejen zvenku, ale především také zevnitř, a překračovat tak rámec „zřejmého,“ </w:t>
      </w:r>
      <w:r w:rsidR="006E701A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>Cloke</w:t>
      </w:r>
      <w:proofErr w:type="spellEnd"/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kol. 20</w:t>
      </w:r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6E701A" w:rsidRPr="00B403C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6E70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701A" w:rsidRDefault="00FD6F44" w:rsidP="00DA427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27E">
        <w:rPr>
          <w:rFonts w:ascii="Times New Roman" w:hAnsi="Times New Roman" w:cs="Times New Roman"/>
          <w:sz w:val="28"/>
          <w:szCs w:val="28"/>
        </w:rPr>
        <w:t>Závěr</w:t>
      </w:r>
      <w:r w:rsidR="003F3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48EC" w:rsidRDefault="006E701A" w:rsidP="00354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bezesporu komplikované, a možná také nemožné, předložit univerzální definici venkova pokrývající veškeré venkovské oblasti světa. 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nejuniverzálnější se jeví možnost definovat venkov čistě na základě čísel, tedy na základě hustoty osídlení. Tato definice však již 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téměř 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 nevypovídá o společenském, politickém nebo například ekonomickém fungování venkova. Z tohoto důvodu sociologie venkova nabízí rozdílné pohledy na to, co to tedy venkov je (či není). Tyto definice se lišily v průběhu historie a liší se také dnes. Obecným trendem je nevnímat pouze materiální podstatu a funkčnost venkova, nýbrž pozorovat také fungování jeho společnosti uvnitř této struktury, ale také ve vztahu k oblastem 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„</w:t>
      </w:r>
      <w:proofErr w:type="spellStart"/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>nevenkovským</w:t>
      </w:r>
      <w:proofErr w:type="spellEnd"/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 dnešní postmoderní době se nicméně objevuje také 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>obraz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takový, ve kterém je venkov </w:t>
      </w:r>
      <w:r w:rsidR="00AA370D">
        <w:rPr>
          <w:rFonts w:ascii="Times New Roman" w:eastAsia="Times New Roman" w:hAnsi="Times New Roman" w:cs="Times New Roman"/>
          <w:color w:val="000000"/>
          <w:sz w:val="24"/>
          <w:szCs w:val="24"/>
        </w:rPr>
        <w:t>spíše</w:t>
      </w:r>
      <w:r w:rsidR="0035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symbolickou zidealizovanou představou v našich hlavách.</w:t>
      </w:r>
    </w:p>
    <w:p w:rsidR="003548EC" w:rsidRPr="003A44EE" w:rsidRDefault="003548EC" w:rsidP="003548EC">
      <w:pPr>
        <w:spacing w:before="24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4EE">
        <w:rPr>
          <w:rFonts w:ascii="Times New Roman" w:hAnsi="Times New Roman" w:cs="Times New Roman"/>
          <w:sz w:val="28"/>
          <w:szCs w:val="28"/>
        </w:rPr>
        <w:t xml:space="preserve">Použité zdroje </w:t>
      </w:r>
    </w:p>
    <w:p w:rsidR="003548EC" w:rsidRDefault="003548EC" w:rsidP="003548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 a kol. 2006. Handbook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Londýn: SAGE.</w:t>
      </w:r>
    </w:p>
    <w:p w:rsidR="003548EC" w:rsidRDefault="003548EC" w:rsidP="003548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Pospěch p. a kol. 2014. Vynalézání venkova v ČR po roce 1989. Brno: CDK.</w:t>
      </w:r>
    </w:p>
    <w:p w:rsidR="003548EC" w:rsidRDefault="003548EC" w:rsidP="003548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Šubrt, J. a kol. 2014. Soudobá sociologie VI. Praha: Karolinum.</w:t>
      </w:r>
    </w:p>
    <w:p w:rsidR="003548EC" w:rsidRDefault="003548EC" w:rsidP="003548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Tauber, J. 1968.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956ADD">
        <w:rPr>
          <w:rFonts w:ascii="Times New Roman" w:eastAsia="Times New Roman" w:hAnsi="Times New Roman" w:cs="Times New Roman"/>
          <w:color w:val="000000"/>
          <w:sz w:val="24"/>
          <w:szCs w:val="24"/>
        </w:rPr>
        <w:t>Příspěvek k historii československé sociologie venkova.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956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6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Sociologický časopis</w:t>
      </w:r>
      <w:r w:rsidRPr="00956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4(3): 372-385.</w:t>
      </w:r>
    </w:p>
    <w:p w:rsidR="003548EC" w:rsidRDefault="003548EC" w:rsidP="003548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989" w:rsidRPr="003A44EE" w:rsidRDefault="001E1989" w:rsidP="00DA427E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523" w:rsidRPr="00434EAB" w:rsidRDefault="00FC2523" w:rsidP="00E87552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FC2523" w:rsidRPr="00434EAB" w:rsidSect="007814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D6" w:rsidRDefault="008250D6" w:rsidP="007A5EC2">
      <w:pPr>
        <w:spacing w:after="0" w:line="240" w:lineRule="auto"/>
      </w:pPr>
      <w:r>
        <w:separator/>
      </w:r>
    </w:p>
  </w:endnote>
  <w:endnote w:type="continuationSeparator" w:id="0">
    <w:p w:rsidR="008250D6" w:rsidRDefault="008250D6" w:rsidP="007A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D6" w:rsidRDefault="008250D6" w:rsidP="007A5EC2">
      <w:pPr>
        <w:spacing w:after="0" w:line="240" w:lineRule="auto"/>
      </w:pPr>
      <w:r>
        <w:separator/>
      </w:r>
    </w:p>
  </w:footnote>
  <w:footnote w:type="continuationSeparator" w:id="0">
    <w:p w:rsidR="008250D6" w:rsidRDefault="008250D6" w:rsidP="007A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B9" w:rsidRPr="00FB404B" w:rsidRDefault="00C442B9" w:rsidP="00FB404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072"/>
      </w:tabs>
      <w:spacing w:line="36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A72A53">
      <w:rPr>
        <w:rFonts w:ascii="Times New Roman" w:eastAsia="Times New Roman" w:hAnsi="Times New Roman" w:cs="Times New Roman"/>
        <w:color w:val="000000"/>
        <w:sz w:val="24"/>
        <w:szCs w:val="24"/>
      </w:rPr>
      <w:t xml:space="preserve">Darina Kmentová, učo: </w:t>
    </w:r>
    <w:hyperlink r:id="rId1" w:history="1">
      <w:r w:rsidRPr="00A72A53">
        <w:rPr>
          <w:rFonts w:ascii="Times New Roman" w:eastAsia="Times New Roman" w:hAnsi="Times New Roman" w:cs="Times New Roman"/>
          <w:color w:val="000000"/>
          <w:sz w:val="24"/>
          <w:szCs w:val="24"/>
        </w:rPr>
        <w:t>483778</w:t>
      </w:r>
    </w:hyperlink>
    <w:r>
      <w:rPr>
        <w:rFonts w:ascii="Times New Roman" w:eastAsia="Times New Roman" w:hAnsi="Times New Roman" w:cs="Times New Roman"/>
        <w:color w:val="000000"/>
        <w:sz w:val="24"/>
        <w:szCs w:val="24"/>
      </w:rPr>
      <w:t>, závěrečná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E707A"/>
    <w:multiLevelType w:val="hybridMultilevel"/>
    <w:tmpl w:val="93302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E5B8E"/>
    <w:multiLevelType w:val="hybridMultilevel"/>
    <w:tmpl w:val="249C0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628D8"/>
    <w:multiLevelType w:val="hybridMultilevel"/>
    <w:tmpl w:val="5710956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F7D5402"/>
    <w:multiLevelType w:val="hybridMultilevel"/>
    <w:tmpl w:val="149ACD4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EC2"/>
    <w:rsid w:val="00077576"/>
    <w:rsid w:val="00083547"/>
    <w:rsid w:val="00085EAE"/>
    <w:rsid w:val="00087299"/>
    <w:rsid w:val="00091D9A"/>
    <w:rsid w:val="000D5393"/>
    <w:rsid w:val="001268F4"/>
    <w:rsid w:val="0012794E"/>
    <w:rsid w:val="001314AD"/>
    <w:rsid w:val="00141ED5"/>
    <w:rsid w:val="00162804"/>
    <w:rsid w:val="001667C0"/>
    <w:rsid w:val="0018150C"/>
    <w:rsid w:val="00183733"/>
    <w:rsid w:val="001A66E8"/>
    <w:rsid w:val="001A73AA"/>
    <w:rsid w:val="001B5441"/>
    <w:rsid w:val="001E1989"/>
    <w:rsid w:val="001F1B9F"/>
    <w:rsid w:val="0021088C"/>
    <w:rsid w:val="002136FE"/>
    <w:rsid w:val="00231175"/>
    <w:rsid w:val="002C3E58"/>
    <w:rsid w:val="002D1619"/>
    <w:rsid w:val="002D2BC1"/>
    <w:rsid w:val="002E0D73"/>
    <w:rsid w:val="00332BB1"/>
    <w:rsid w:val="003514D3"/>
    <w:rsid w:val="003548EC"/>
    <w:rsid w:val="0035723D"/>
    <w:rsid w:val="00365E61"/>
    <w:rsid w:val="00376E9D"/>
    <w:rsid w:val="00385B43"/>
    <w:rsid w:val="003A44EE"/>
    <w:rsid w:val="003F33DE"/>
    <w:rsid w:val="003F626C"/>
    <w:rsid w:val="00412B7E"/>
    <w:rsid w:val="00413BBB"/>
    <w:rsid w:val="00425E59"/>
    <w:rsid w:val="00426093"/>
    <w:rsid w:val="00434EAB"/>
    <w:rsid w:val="00440C0D"/>
    <w:rsid w:val="004637BE"/>
    <w:rsid w:val="00487BB2"/>
    <w:rsid w:val="004935E3"/>
    <w:rsid w:val="004B5CB2"/>
    <w:rsid w:val="00566657"/>
    <w:rsid w:val="005822A3"/>
    <w:rsid w:val="005E3C38"/>
    <w:rsid w:val="006245CB"/>
    <w:rsid w:val="006263B6"/>
    <w:rsid w:val="00627645"/>
    <w:rsid w:val="006539B3"/>
    <w:rsid w:val="00695ECD"/>
    <w:rsid w:val="006D1619"/>
    <w:rsid w:val="006E701A"/>
    <w:rsid w:val="007272ED"/>
    <w:rsid w:val="007329AF"/>
    <w:rsid w:val="007473DD"/>
    <w:rsid w:val="0075626E"/>
    <w:rsid w:val="00765668"/>
    <w:rsid w:val="00777B2A"/>
    <w:rsid w:val="00781452"/>
    <w:rsid w:val="007A341D"/>
    <w:rsid w:val="007A5EC2"/>
    <w:rsid w:val="007C043E"/>
    <w:rsid w:val="007F5D6E"/>
    <w:rsid w:val="008250D6"/>
    <w:rsid w:val="00856031"/>
    <w:rsid w:val="008C3287"/>
    <w:rsid w:val="00902A84"/>
    <w:rsid w:val="00905E85"/>
    <w:rsid w:val="00911255"/>
    <w:rsid w:val="00924C92"/>
    <w:rsid w:val="00956ADD"/>
    <w:rsid w:val="00965C54"/>
    <w:rsid w:val="009A32C8"/>
    <w:rsid w:val="009C1F92"/>
    <w:rsid w:val="009E53DE"/>
    <w:rsid w:val="00A56651"/>
    <w:rsid w:val="00A63F3B"/>
    <w:rsid w:val="00AA370D"/>
    <w:rsid w:val="00AB0FE1"/>
    <w:rsid w:val="00AC78D1"/>
    <w:rsid w:val="00AE2EFC"/>
    <w:rsid w:val="00AF0EC5"/>
    <w:rsid w:val="00B3094A"/>
    <w:rsid w:val="00B3429E"/>
    <w:rsid w:val="00B403CB"/>
    <w:rsid w:val="00B443A6"/>
    <w:rsid w:val="00B70CCF"/>
    <w:rsid w:val="00B764D2"/>
    <w:rsid w:val="00B85269"/>
    <w:rsid w:val="00BA7D72"/>
    <w:rsid w:val="00BB04F9"/>
    <w:rsid w:val="00BE00A8"/>
    <w:rsid w:val="00BF7368"/>
    <w:rsid w:val="00C442B9"/>
    <w:rsid w:val="00C81435"/>
    <w:rsid w:val="00C925B1"/>
    <w:rsid w:val="00CE408F"/>
    <w:rsid w:val="00D104B9"/>
    <w:rsid w:val="00D14847"/>
    <w:rsid w:val="00D16635"/>
    <w:rsid w:val="00D44580"/>
    <w:rsid w:val="00D653ED"/>
    <w:rsid w:val="00DA427E"/>
    <w:rsid w:val="00DB2B6D"/>
    <w:rsid w:val="00DB2D22"/>
    <w:rsid w:val="00DD5054"/>
    <w:rsid w:val="00DF3EFD"/>
    <w:rsid w:val="00E30FBD"/>
    <w:rsid w:val="00E54A83"/>
    <w:rsid w:val="00E65199"/>
    <w:rsid w:val="00E87552"/>
    <w:rsid w:val="00EA19D7"/>
    <w:rsid w:val="00EA377B"/>
    <w:rsid w:val="00EB5AFE"/>
    <w:rsid w:val="00EC1B59"/>
    <w:rsid w:val="00F605D3"/>
    <w:rsid w:val="00F6334F"/>
    <w:rsid w:val="00F82E64"/>
    <w:rsid w:val="00F871DB"/>
    <w:rsid w:val="00FB404B"/>
    <w:rsid w:val="00FC2523"/>
    <w:rsid w:val="00FD6F44"/>
    <w:rsid w:val="00FF3A68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6057"/>
  <w15:docId w15:val="{4E94818C-0F6C-4020-941E-54B7757F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EC2"/>
    <w:pPr>
      <w:spacing w:after="160" w:line="259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1175"/>
    <w:pPr>
      <w:keepNext/>
      <w:keepLines/>
      <w:spacing w:before="480" w:after="240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5EC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A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EC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EC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EC2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272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34EA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231175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1175"/>
    <w:rPr>
      <w:rFonts w:ascii="Times New Roman" w:eastAsiaTheme="majorEastAsia" w:hAnsi="Times New Roman" w:cstheme="majorBidi"/>
      <w:bCs/>
      <w:sz w:val="32"/>
      <w:szCs w:val="2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B5441"/>
    <w:rPr>
      <w:color w:val="605E5C"/>
      <w:shd w:val="clear" w:color="auto" w:fill="E1DFDD"/>
    </w:rPr>
  </w:style>
  <w:style w:type="paragraph" w:customStyle="1" w:styleId="Default">
    <w:name w:val="Default"/>
    <w:rsid w:val="00B403C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s.muni.cz/auth/osoba/48377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4</Pages>
  <Words>1092</Words>
  <Characters>6578</Characters>
  <Application>Microsoft Office Word</Application>
  <DocSecurity>0</DocSecurity>
  <Lines>104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 K</cp:lastModifiedBy>
  <cp:revision>14</cp:revision>
  <dcterms:created xsi:type="dcterms:W3CDTF">2018-09-30T09:44:00Z</dcterms:created>
  <dcterms:modified xsi:type="dcterms:W3CDTF">2020-02-02T21:43:00Z</dcterms:modified>
</cp:coreProperties>
</file>