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6A" w:rsidRPr="007D1BBF" w:rsidRDefault="007D1BBF" w:rsidP="007D1BBF">
      <w:pPr>
        <w:pStyle w:val="Nadpis1"/>
        <w:rPr>
          <w:lang w:val="en-GB"/>
        </w:rPr>
      </w:pPr>
      <w:r>
        <w:rPr>
          <w:lang w:val="en-GB"/>
        </w:rPr>
        <w:t xml:space="preserve">Notes on the </w:t>
      </w:r>
      <w:r w:rsidRPr="007D1BBF">
        <w:rPr>
          <w:lang w:val="en-GB"/>
        </w:rPr>
        <w:t>EU, ECJ and anti-discrimination</w:t>
      </w:r>
    </w:p>
    <w:p w:rsidR="007D1BBF" w:rsidRDefault="007D1BBF">
      <w:pPr>
        <w:rPr>
          <w:lang w:val="en-GB"/>
        </w:rPr>
      </w:pPr>
    </w:p>
    <w:p w:rsidR="007D1BBF" w:rsidRDefault="00814A4E">
      <w:pPr>
        <w:rPr>
          <w:lang w:val="en-GB"/>
        </w:rPr>
      </w:pPr>
      <w:r>
        <w:rPr>
          <w:lang w:val="en-GB"/>
        </w:rPr>
        <w:t>You should be able to explain</w:t>
      </w:r>
      <w:r w:rsidR="00BD39EC">
        <w:rPr>
          <w:lang w:val="en-GB"/>
        </w:rPr>
        <w:t xml:space="preserve"> the concepts </w:t>
      </w:r>
      <w:proofErr w:type="gramStart"/>
      <w:r w:rsidR="00BD39EC">
        <w:rPr>
          <w:lang w:val="en-GB"/>
        </w:rPr>
        <w:t>of</w:t>
      </w:r>
      <w:proofErr w:type="gramEnd"/>
      <w:r w:rsidR="00BD39EC">
        <w:rPr>
          <w:lang w:val="en-GB"/>
        </w:rPr>
        <w:t>:</w:t>
      </w:r>
    </w:p>
    <w:p w:rsidR="00BD39EC" w:rsidRDefault="00BD39EC" w:rsidP="00BD39EC">
      <w:pPr>
        <w:pStyle w:val="Odstavecseseznamem"/>
        <w:numPr>
          <w:ilvl w:val="0"/>
          <w:numId w:val="1"/>
        </w:numPr>
        <w:rPr>
          <w:lang w:val="en-GB"/>
        </w:rPr>
      </w:pPr>
      <w:r w:rsidRPr="00BD39EC">
        <w:rPr>
          <w:lang w:val="en-GB"/>
        </w:rPr>
        <w:t>Direct and in</w:t>
      </w:r>
      <w:r>
        <w:rPr>
          <w:lang w:val="en-GB"/>
        </w:rPr>
        <w:t>direct discrimination</w:t>
      </w:r>
    </w:p>
    <w:p w:rsidR="00BD39EC" w:rsidRDefault="00BD39EC" w:rsidP="00BD39EC">
      <w:pPr>
        <w:pStyle w:val="Odstavecseseznamem"/>
        <w:numPr>
          <w:ilvl w:val="0"/>
          <w:numId w:val="1"/>
        </w:numPr>
        <w:rPr>
          <w:lang w:val="en-GB"/>
        </w:rPr>
      </w:pPr>
      <w:r>
        <w:rPr>
          <w:lang w:val="en-GB"/>
        </w:rPr>
        <w:t>Discrimination by association</w:t>
      </w:r>
    </w:p>
    <w:p w:rsidR="00BD39EC" w:rsidRDefault="00BD39EC" w:rsidP="00BD39EC">
      <w:pPr>
        <w:pStyle w:val="Odstavecseseznamem"/>
        <w:numPr>
          <w:ilvl w:val="0"/>
          <w:numId w:val="1"/>
        </w:numPr>
        <w:rPr>
          <w:lang w:val="en-GB"/>
        </w:rPr>
      </w:pPr>
      <w:r>
        <w:rPr>
          <w:lang w:val="en-GB"/>
        </w:rPr>
        <w:t>Shift of the burden of proof</w:t>
      </w:r>
    </w:p>
    <w:p w:rsidR="00BD39EC" w:rsidRDefault="00BD39EC" w:rsidP="00BD39EC">
      <w:pPr>
        <w:rPr>
          <w:lang w:val="en-GB"/>
        </w:rPr>
      </w:pPr>
    </w:p>
    <w:p w:rsidR="00BD39EC" w:rsidRDefault="00BD39EC" w:rsidP="00BD39EC">
      <w:pPr>
        <w:rPr>
          <w:lang w:val="en-GB"/>
        </w:rPr>
      </w:pPr>
      <w:r>
        <w:rPr>
          <w:lang w:val="en-GB"/>
        </w:rPr>
        <w:t>EU anti-discrimination policy: one of the few in which the EU has a competence</w:t>
      </w:r>
      <w:r w:rsidR="00D16318">
        <w:rPr>
          <w:lang w:val="en-GB"/>
        </w:rPr>
        <w:t xml:space="preserve"> explicitly based on the primary law (arguably, this leads the CJ </w:t>
      </w:r>
      <w:proofErr w:type="gramStart"/>
      <w:r w:rsidR="00D16318">
        <w:rPr>
          <w:lang w:val="en-GB"/>
        </w:rPr>
        <w:t>to more ambitious case law,</w:t>
      </w:r>
      <w:proofErr w:type="gramEnd"/>
      <w:r w:rsidR="00D16318">
        <w:rPr>
          <w:lang w:val="en-GB"/>
        </w:rPr>
        <w:t xml:space="preserve"> because the EU can act in this field). As usual, the cases make it to the CJ typically through the preliminary ruling procedure, not through the infringement action. </w:t>
      </w:r>
    </w:p>
    <w:p w:rsidR="00814A4E" w:rsidRDefault="00814A4E" w:rsidP="00814A4E">
      <w:pPr>
        <w:pStyle w:val="Nadpis2"/>
        <w:rPr>
          <w:lang w:val="en-GB"/>
        </w:rPr>
      </w:pPr>
      <w:r>
        <w:rPr>
          <w:lang w:val="en-GB"/>
        </w:rPr>
        <w:t>Primary law</w:t>
      </w:r>
    </w:p>
    <w:p w:rsidR="00D16318" w:rsidRDefault="006E77C4" w:rsidP="00BD39EC">
      <w:pPr>
        <w:rPr>
          <w:lang w:val="en-GB"/>
        </w:rPr>
      </w:pPr>
      <w:proofErr w:type="spellStart"/>
      <w:r>
        <w:rPr>
          <w:lang w:val="en-GB"/>
        </w:rPr>
        <w:t>ToA</w:t>
      </w:r>
      <w:proofErr w:type="spellEnd"/>
      <w:r>
        <w:rPr>
          <w:lang w:val="en-GB"/>
        </w:rPr>
        <w:t xml:space="preserve"> brought the EU competence in anti-discrimination (in effect from 1999) – see TEC after </w:t>
      </w:r>
      <w:proofErr w:type="spellStart"/>
      <w:r>
        <w:rPr>
          <w:lang w:val="en-GB"/>
        </w:rPr>
        <w:t>ToA</w:t>
      </w:r>
      <w:proofErr w:type="spellEnd"/>
      <w:r>
        <w:rPr>
          <w:lang w:val="en-GB"/>
        </w:rPr>
        <w:t xml:space="preserve"> revision:</w:t>
      </w:r>
    </w:p>
    <w:p w:rsidR="006E77C4" w:rsidRDefault="006E77C4" w:rsidP="00814A4E">
      <w:pPr>
        <w:ind w:left="426" w:right="708"/>
        <w:rPr>
          <w:lang w:val="en-GB"/>
        </w:rPr>
      </w:pPr>
      <w:r w:rsidRPr="006E77C4">
        <w:rPr>
          <w:lang w:val="en-GB"/>
        </w:rPr>
        <w:t>Without prejudice to the other provisions of this Treaty and within the limits of the powers conferred by it upon the Community, the Council, acting unanimously on a proposal from the Commission and after consulting the European Parliament, may take appropriate action to combat discrimination based on sex, racial or ethnic origin, religion or belief, disabil</w:t>
      </w:r>
      <w:r w:rsidR="00814A4E">
        <w:rPr>
          <w:lang w:val="en-GB"/>
        </w:rPr>
        <w:t>ity, age or sexual orientation.</w:t>
      </w:r>
    </w:p>
    <w:p w:rsidR="006E77C4" w:rsidRDefault="006E77C4" w:rsidP="00BD39EC">
      <w:pPr>
        <w:rPr>
          <w:lang w:val="en-GB"/>
        </w:rPr>
      </w:pPr>
      <w:r>
        <w:rPr>
          <w:lang w:val="en-GB"/>
        </w:rPr>
        <w:t xml:space="preserve">Nowadays TFEU (consolidated version after </w:t>
      </w:r>
      <w:proofErr w:type="spellStart"/>
      <w:r>
        <w:rPr>
          <w:lang w:val="en-GB"/>
        </w:rPr>
        <w:t>ToL</w:t>
      </w:r>
      <w:proofErr w:type="spellEnd"/>
      <w:r>
        <w:rPr>
          <w:lang w:val="en-GB"/>
        </w:rPr>
        <w:t>):</w:t>
      </w:r>
    </w:p>
    <w:p w:rsidR="006E77C4" w:rsidRPr="006E77C4" w:rsidRDefault="006E77C4" w:rsidP="00814A4E">
      <w:pPr>
        <w:ind w:left="426" w:right="708"/>
        <w:rPr>
          <w:lang w:val="en-GB"/>
        </w:rPr>
      </w:pPr>
      <w:r>
        <w:rPr>
          <w:lang w:val="en-GB"/>
        </w:rPr>
        <w:t>Article 19 (</w:t>
      </w:r>
      <w:proofErr w:type="spellStart"/>
      <w:r>
        <w:rPr>
          <w:lang w:val="en-GB"/>
        </w:rPr>
        <w:t>ex Article</w:t>
      </w:r>
      <w:proofErr w:type="spellEnd"/>
      <w:r>
        <w:rPr>
          <w:lang w:val="en-GB"/>
        </w:rPr>
        <w:t xml:space="preserve"> 13 TEC)</w:t>
      </w:r>
    </w:p>
    <w:p w:rsidR="006E77C4" w:rsidRPr="006E77C4" w:rsidRDefault="006E77C4" w:rsidP="00814A4E">
      <w:pPr>
        <w:ind w:left="426" w:right="708"/>
        <w:rPr>
          <w:lang w:val="en-GB"/>
        </w:rPr>
      </w:pPr>
      <w:proofErr w:type="gramStart"/>
      <w:r w:rsidRPr="006E77C4">
        <w:rPr>
          <w:lang w:val="en-GB"/>
        </w:rPr>
        <w:t>1. Without prejudice to the other provisions of the Treaties and within the limits of the powers conferred by them upon the Union, the Council, acting unanimously in accordance with a special legislative procedure and after obtaining the consent of the European Parliament, may take appropriate action to combat discrimination based on sex, racial or ethnic origin, religion or belief, disabil</w:t>
      </w:r>
      <w:r>
        <w:rPr>
          <w:lang w:val="en-GB"/>
        </w:rPr>
        <w:t>ity, age or sexual orientation.</w:t>
      </w:r>
      <w:proofErr w:type="gramEnd"/>
    </w:p>
    <w:p w:rsidR="006E77C4" w:rsidRDefault="006E77C4" w:rsidP="00814A4E">
      <w:pPr>
        <w:ind w:left="426" w:right="708"/>
        <w:rPr>
          <w:lang w:val="en-GB"/>
        </w:rPr>
      </w:pPr>
      <w:proofErr w:type="gramStart"/>
      <w:r w:rsidRPr="006E77C4">
        <w:rPr>
          <w:lang w:val="en-GB"/>
        </w:rPr>
        <w:t>2. By way of derogation from paragraph 1, the European Parliament and the Council, acting in accordance with the ordinary legislative procedure, may adopt the basic principles of Union incentive measures, excluding any harmonisation of the laws and regulations of the Member States, to support action taken by the Member States in order to contribute to the achievement of the objectives referred to in paragraph 1.</w:t>
      </w:r>
      <w:proofErr w:type="gramEnd"/>
    </w:p>
    <w:p w:rsidR="00814A4E" w:rsidRDefault="00814A4E" w:rsidP="00BD39EC">
      <w:pPr>
        <w:rPr>
          <w:lang w:val="en-GB"/>
        </w:rPr>
      </w:pPr>
    </w:p>
    <w:p w:rsidR="00BD39EC" w:rsidRDefault="00814A4E" w:rsidP="00814A4E">
      <w:pPr>
        <w:pStyle w:val="Nadpis2"/>
        <w:rPr>
          <w:lang w:val="en-GB"/>
        </w:rPr>
      </w:pPr>
      <w:r>
        <w:rPr>
          <w:lang w:val="en-GB"/>
        </w:rPr>
        <w:t>Secondary law</w:t>
      </w:r>
    </w:p>
    <w:p w:rsidR="00BD39EC" w:rsidRPr="00BD39EC" w:rsidRDefault="00BD39EC" w:rsidP="00BD39EC">
      <w:pPr>
        <w:rPr>
          <w:b/>
          <w:lang w:val="en-GB"/>
        </w:rPr>
      </w:pPr>
      <w:r w:rsidRPr="00BD39EC">
        <w:rPr>
          <w:b/>
          <w:lang w:val="en-GB"/>
        </w:rPr>
        <w:t xml:space="preserve">EU </w:t>
      </w:r>
      <w:r w:rsidRPr="00BD39EC">
        <w:rPr>
          <w:b/>
          <w:lang w:val="en-GB"/>
        </w:rPr>
        <w:t>Anti-discrimination measures</w:t>
      </w:r>
    </w:p>
    <w:p w:rsidR="00BD39EC" w:rsidRDefault="00BD39EC" w:rsidP="00BD39EC">
      <w:pPr>
        <w:pStyle w:val="Odstavecseseznamem"/>
        <w:numPr>
          <w:ilvl w:val="0"/>
          <w:numId w:val="2"/>
        </w:numPr>
        <w:rPr>
          <w:lang w:val="en-GB"/>
        </w:rPr>
      </w:pPr>
      <w:r w:rsidRPr="00BD39EC">
        <w:rPr>
          <w:lang w:val="en-GB"/>
        </w:rPr>
        <w:t>Council Directive 2000/43/EC of 29 June 2000 implementing the principle of equal treatment between persons irrespec</w:t>
      </w:r>
      <w:r w:rsidRPr="00BD39EC">
        <w:rPr>
          <w:lang w:val="en-GB"/>
        </w:rPr>
        <w:t>tive of racial or ethnic origin</w:t>
      </w:r>
      <w:r w:rsidRPr="00BD39EC">
        <w:rPr>
          <w:lang w:val="en-GB"/>
        </w:rPr>
        <w:t>: also called the "</w:t>
      </w:r>
      <w:r w:rsidRPr="00BD39EC">
        <w:rPr>
          <w:b/>
          <w:lang w:val="en-GB"/>
        </w:rPr>
        <w:t>Race Directive</w:t>
      </w:r>
      <w:r w:rsidRPr="00BD39EC">
        <w:rPr>
          <w:lang w:val="en-GB"/>
        </w:rPr>
        <w:t>" (Directive 2000/43/EC on Anti-discrimination)</w:t>
      </w:r>
      <w:r>
        <w:rPr>
          <w:lang w:val="en-GB"/>
        </w:rPr>
        <w:t xml:space="preserve"> </w:t>
      </w:r>
      <w:r w:rsidRPr="00BD39EC">
        <w:rPr>
          <w:i/>
          <w:color w:val="FF0000"/>
          <w:lang w:val="en-GB"/>
        </w:rPr>
        <w:t>wide scope of protection</w:t>
      </w:r>
      <w:r>
        <w:rPr>
          <w:i/>
          <w:color w:val="FF0000"/>
          <w:lang w:val="en-GB"/>
        </w:rPr>
        <w:t xml:space="preserve">, but only race and ethnic origin covered + duty of states to </w:t>
      </w:r>
      <w:r w:rsidR="00D16318">
        <w:rPr>
          <w:i/>
          <w:color w:val="FF0000"/>
          <w:lang w:val="en-GB"/>
        </w:rPr>
        <w:t>designate</w:t>
      </w:r>
      <w:r>
        <w:rPr>
          <w:i/>
          <w:color w:val="FF0000"/>
          <w:lang w:val="en-GB"/>
        </w:rPr>
        <w:t xml:space="preserve"> a body </w:t>
      </w:r>
      <w:r w:rsidR="00D16318">
        <w:rPr>
          <w:i/>
          <w:color w:val="FF0000"/>
          <w:lang w:val="en-GB"/>
        </w:rPr>
        <w:t>for promotion of equal treatment</w:t>
      </w:r>
    </w:p>
    <w:p w:rsidR="00BD39EC" w:rsidRPr="00BD39EC" w:rsidRDefault="00BD39EC" w:rsidP="00D16318">
      <w:pPr>
        <w:pStyle w:val="Odstavecseseznamem"/>
        <w:numPr>
          <w:ilvl w:val="0"/>
          <w:numId w:val="2"/>
        </w:numPr>
        <w:rPr>
          <w:i/>
          <w:color w:val="FF0000"/>
          <w:lang w:val="en-GB"/>
        </w:rPr>
      </w:pPr>
      <w:r w:rsidRPr="00BD39EC">
        <w:rPr>
          <w:lang w:val="en-GB"/>
        </w:rPr>
        <w:lastRenderedPageBreak/>
        <w:t>Council Directive 2000/78/EC of 27 November 2000 establishing a general framework for equal treatment in employment and occupation</w:t>
      </w:r>
      <w:r>
        <w:rPr>
          <w:lang w:val="en-GB"/>
        </w:rPr>
        <w:t xml:space="preserve"> </w:t>
      </w:r>
      <w:r w:rsidRPr="00BD39EC">
        <w:rPr>
          <w:i/>
          <w:color w:val="FF0000"/>
          <w:lang w:val="en-GB"/>
        </w:rPr>
        <w:t>many discriminatory grounds</w:t>
      </w:r>
      <w:r w:rsidR="00D16318">
        <w:rPr>
          <w:i/>
          <w:color w:val="FF0000"/>
          <w:lang w:val="en-GB"/>
        </w:rPr>
        <w:t xml:space="preserve"> (</w:t>
      </w:r>
      <w:r w:rsidR="00D16318" w:rsidRPr="00D16318">
        <w:rPr>
          <w:i/>
          <w:color w:val="FF0000"/>
          <w:lang w:val="en-GB"/>
        </w:rPr>
        <w:t>disability, sexual orientation, religion or belief and age</w:t>
      </w:r>
      <w:r w:rsidR="00D16318">
        <w:rPr>
          <w:i/>
          <w:color w:val="FF0000"/>
          <w:lang w:val="en-GB"/>
        </w:rPr>
        <w:t>)</w:t>
      </w:r>
      <w:r w:rsidRPr="00D16318">
        <w:rPr>
          <w:i/>
          <w:color w:val="FF0000"/>
          <w:lang w:val="en-GB"/>
        </w:rPr>
        <w:t>,</w:t>
      </w:r>
      <w:r w:rsidRPr="00BD39EC">
        <w:rPr>
          <w:i/>
          <w:color w:val="FF0000"/>
          <w:lang w:val="en-GB"/>
        </w:rPr>
        <w:t xml:space="preserve"> but only covers </w:t>
      </w:r>
      <w:r w:rsidRPr="00BD39EC">
        <w:rPr>
          <w:i/>
          <w:color w:val="FF0000"/>
          <w:lang w:val="en-GB"/>
        </w:rPr>
        <w:t>employment and occupation</w:t>
      </w:r>
    </w:p>
    <w:p w:rsidR="00BD39EC" w:rsidRDefault="00BD39EC" w:rsidP="00BD39EC">
      <w:pPr>
        <w:pStyle w:val="Odstavecseseznamem"/>
        <w:numPr>
          <w:ilvl w:val="0"/>
          <w:numId w:val="2"/>
        </w:numPr>
        <w:rPr>
          <w:lang w:val="en-GB"/>
        </w:rPr>
      </w:pPr>
      <w:r w:rsidRPr="00BD39EC">
        <w:rPr>
          <w:lang w:val="en-GB"/>
        </w:rPr>
        <w:t>Council Directive 2004/113/EC of 13 December 2004 implementing the principle of equal treatment between men and women in the access to and supply of goods and services</w:t>
      </w:r>
      <w:r>
        <w:rPr>
          <w:lang w:val="en-GB"/>
        </w:rPr>
        <w:t xml:space="preserve"> </w:t>
      </w:r>
      <w:r w:rsidRPr="00BD39EC">
        <w:rPr>
          <w:color w:val="FF0000"/>
          <w:lang w:val="en-GB"/>
        </w:rPr>
        <w:t>narrow both on discrimination grounds (</w:t>
      </w:r>
      <w:r w:rsidRPr="00BD39EC">
        <w:rPr>
          <w:color w:val="FF0000"/>
          <w:lang w:val="en-GB"/>
        </w:rPr>
        <w:t>men and women</w:t>
      </w:r>
      <w:r w:rsidRPr="00BD39EC">
        <w:rPr>
          <w:color w:val="FF0000"/>
          <w:lang w:val="en-GB"/>
        </w:rPr>
        <w:t>)</w:t>
      </w:r>
      <w:r w:rsidRPr="00BD39EC">
        <w:rPr>
          <w:color w:val="FF0000"/>
          <w:lang w:val="en-GB"/>
        </w:rPr>
        <w:t xml:space="preserve"> </w:t>
      </w:r>
      <w:r w:rsidRPr="00BD39EC">
        <w:rPr>
          <w:color w:val="FF0000"/>
          <w:lang w:val="en-GB"/>
        </w:rPr>
        <w:t>and scope of protection (</w:t>
      </w:r>
      <w:r w:rsidRPr="00BD39EC">
        <w:rPr>
          <w:color w:val="FF0000"/>
          <w:lang w:val="en-GB"/>
        </w:rPr>
        <w:t>the access to and supply of goods and services</w:t>
      </w:r>
      <w:r w:rsidRPr="00BD39EC">
        <w:rPr>
          <w:color w:val="FF0000"/>
          <w:lang w:val="en-GB"/>
        </w:rPr>
        <w:t>)</w:t>
      </w:r>
    </w:p>
    <w:p w:rsidR="00BD39EC" w:rsidRDefault="00BD39EC" w:rsidP="00BD39EC">
      <w:pPr>
        <w:pStyle w:val="Odstavecseseznamem"/>
        <w:numPr>
          <w:ilvl w:val="0"/>
          <w:numId w:val="2"/>
        </w:numPr>
        <w:rPr>
          <w:lang w:val="en-GB"/>
        </w:rPr>
      </w:pPr>
      <w:r w:rsidRPr="00BD39EC">
        <w:rPr>
          <w:lang w:val="en-GB"/>
        </w:rPr>
        <w:t>Directive 2006/54/EC of the European Parliament and of the Council of 5 July 2006 on the implementation of the principle of equal opportunities and equal treatment of men and women in matters of employment and occupation (recast)</w:t>
      </w:r>
    </w:p>
    <w:p w:rsidR="00814A4E" w:rsidRDefault="00814A4E" w:rsidP="00814A4E">
      <w:pPr>
        <w:rPr>
          <w:lang w:val="en-GB"/>
        </w:rPr>
      </w:pPr>
      <w:r>
        <w:rPr>
          <w:lang w:val="en-GB"/>
        </w:rPr>
        <w:t>This is the list of the most important current measures, otherwise the anti-discrimination directives were adopted already in 1970s (</w:t>
      </w:r>
      <w:r w:rsidRPr="00814A4E">
        <w:rPr>
          <w:lang w:val="en-GB"/>
        </w:rPr>
        <w:t>the Equal Pay Directive of 1975 and the Equal Treatment Directive of 1976, which prohibited discrimination on grounds of gender in access to employment, vocational training and pr</w:t>
      </w:r>
      <w:r>
        <w:rPr>
          <w:lang w:val="en-GB"/>
        </w:rPr>
        <w:t>omotion, and working conditions).</w:t>
      </w:r>
    </w:p>
    <w:p w:rsidR="00814A4E" w:rsidRDefault="00814A4E" w:rsidP="00814A4E">
      <w:pPr>
        <w:rPr>
          <w:lang w:val="en-GB"/>
        </w:rPr>
      </w:pPr>
      <w:bookmarkStart w:id="0" w:name="_GoBack"/>
      <w:bookmarkEnd w:id="0"/>
    </w:p>
    <w:p w:rsidR="00814A4E" w:rsidRDefault="00814A4E" w:rsidP="00814A4E">
      <w:pPr>
        <w:pStyle w:val="Nadpis2"/>
        <w:rPr>
          <w:lang w:val="en-GB"/>
        </w:rPr>
      </w:pPr>
      <w:r>
        <w:rPr>
          <w:lang w:val="en-GB"/>
        </w:rPr>
        <w:t>CJ case law</w:t>
      </w:r>
    </w:p>
    <w:p w:rsidR="00814A4E" w:rsidRDefault="004341CD" w:rsidP="00814A4E">
      <w:pPr>
        <w:rPr>
          <w:lang w:val="en-GB"/>
        </w:rPr>
      </w:pPr>
      <w:r>
        <w:rPr>
          <w:lang w:val="en-GB"/>
        </w:rPr>
        <w:t>From old case, y</w:t>
      </w:r>
      <w:r w:rsidR="004C7775">
        <w:rPr>
          <w:lang w:val="en-GB"/>
        </w:rPr>
        <w:t xml:space="preserve">ou should know the </w:t>
      </w:r>
      <w:proofErr w:type="spellStart"/>
      <w:r w:rsidR="004C7775">
        <w:rPr>
          <w:lang w:val="en-GB"/>
        </w:rPr>
        <w:t>Sabenna</w:t>
      </w:r>
      <w:proofErr w:type="spellEnd"/>
      <w:r w:rsidR="004C7775">
        <w:rPr>
          <w:lang w:val="en-GB"/>
        </w:rPr>
        <w:t xml:space="preserve"> case </w:t>
      </w:r>
      <w:r>
        <w:rPr>
          <w:lang w:val="en-GB"/>
        </w:rPr>
        <w:t xml:space="preserve">(see the Chalmers chapter + e.g. </w:t>
      </w:r>
      <w:hyperlink r:id="rId5" w:history="1">
        <w:r w:rsidRPr="00BE444B">
          <w:rPr>
            <w:rStyle w:val="Hypertextovodkaz"/>
            <w:lang w:val="en-GB"/>
          </w:rPr>
          <w:t>https://en.wikipedia.org/wiki/Defrenne_v_Sabena_(No_2))</w:t>
        </w:r>
      </w:hyperlink>
      <w:r>
        <w:rPr>
          <w:lang w:val="en-GB"/>
        </w:rPr>
        <w:t xml:space="preserve"> </w:t>
      </w:r>
    </w:p>
    <w:p w:rsidR="004C7775" w:rsidRDefault="004341CD" w:rsidP="00814A4E">
      <w:pPr>
        <w:rPr>
          <w:lang w:val="en-GB"/>
        </w:rPr>
      </w:pPr>
      <w:r>
        <w:rPr>
          <w:lang w:val="en-GB"/>
        </w:rPr>
        <w:t xml:space="preserve">From the more recent </w:t>
      </w:r>
      <w:proofErr w:type="gramStart"/>
      <w:r>
        <w:rPr>
          <w:lang w:val="en-GB"/>
        </w:rPr>
        <w:t>case-law</w:t>
      </w:r>
      <w:proofErr w:type="gramEnd"/>
      <w:r>
        <w:rPr>
          <w:lang w:val="en-GB"/>
        </w:rPr>
        <w:t xml:space="preserve"> not covered in the Chalmers chapter, I recommend to become familiar with:</w:t>
      </w:r>
    </w:p>
    <w:p w:rsidR="004341CD" w:rsidRDefault="004341CD" w:rsidP="004341CD">
      <w:pPr>
        <w:pStyle w:val="Odstavecseseznamem"/>
        <w:numPr>
          <w:ilvl w:val="0"/>
          <w:numId w:val="4"/>
        </w:numPr>
        <w:rPr>
          <w:lang w:val="en-GB"/>
        </w:rPr>
      </w:pPr>
      <w:r w:rsidRPr="004341CD">
        <w:rPr>
          <w:i/>
          <w:lang w:val="en-GB"/>
        </w:rPr>
        <w:t xml:space="preserve">Test </w:t>
      </w:r>
      <w:proofErr w:type="spellStart"/>
      <w:r w:rsidRPr="004341CD">
        <w:rPr>
          <w:i/>
          <w:lang w:val="en-GB"/>
        </w:rPr>
        <w:t>Achat</w:t>
      </w:r>
      <w:proofErr w:type="spellEnd"/>
      <w:r>
        <w:rPr>
          <w:lang w:val="en-GB"/>
        </w:rPr>
        <w:t xml:space="preserve"> (</w:t>
      </w:r>
      <w:hyperlink r:id="rId6" w:history="1">
        <w:r w:rsidRPr="00BE444B">
          <w:rPr>
            <w:rStyle w:val="Hypertextovodkaz"/>
            <w:lang w:val="en-GB"/>
          </w:rPr>
          <w:t>http://ec.europa.eu/dgs/legal_service/arrets/09c236_en.pdf</w:t>
        </w:r>
      </w:hyperlink>
      <w:r>
        <w:rPr>
          <w:lang w:val="en-GB"/>
        </w:rPr>
        <w:t>)</w:t>
      </w:r>
    </w:p>
    <w:p w:rsidR="004341CD" w:rsidRDefault="004341CD" w:rsidP="004341CD">
      <w:pPr>
        <w:pStyle w:val="Odstavecseseznamem"/>
        <w:numPr>
          <w:ilvl w:val="0"/>
          <w:numId w:val="4"/>
        </w:numPr>
        <w:rPr>
          <w:lang w:val="en-GB"/>
        </w:rPr>
      </w:pPr>
      <w:proofErr w:type="spellStart"/>
      <w:r w:rsidRPr="004341CD">
        <w:rPr>
          <w:i/>
          <w:lang w:val="en-GB"/>
        </w:rPr>
        <w:t>Asociaţia</w:t>
      </w:r>
      <w:proofErr w:type="spellEnd"/>
      <w:r w:rsidRPr="004341CD">
        <w:rPr>
          <w:i/>
          <w:lang w:val="en-GB"/>
        </w:rPr>
        <w:t xml:space="preserve"> ACCEPT</w:t>
      </w:r>
      <w:r w:rsidRPr="004341CD">
        <w:rPr>
          <w:lang w:val="en-GB"/>
        </w:rPr>
        <w:t xml:space="preserve"> </w:t>
      </w:r>
      <w:r>
        <w:rPr>
          <w:lang w:val="en-GB"/>
        </w:rPr>
        <w:t>(</w:t>
      </w:r>
      <w:hyperlink r:id="rId7" w:history="1">
        <w:r w:rsidRPr="00BE444B">
          <w:rPr>
            <w:rStyle w:val="Hypertextovodkaz"/>
            <w:lang w:val="en-GB"/>
          </w:rPr>
          <w:t>https://www.opensocietyfoundations.org/voices/case-watch-european-court-justice-faults-response-football-tycoons-anti-gay-remarks</w:t>
        </w:r>
      </w:hyperlink>
      <w:r>
        <w:rPr>
          <w:lang w:val="en-GB"/>
        </w:rPr>
        <w:t xml:space="preserve">) </w:t>
      </w:r>
    </w:p>
    <w:p w:rsidR="004341CD" w:rsidRDefault="004341CD" w:rsidP="004341CD">
      <w:pPr>
        <w:pStyle w:val="Odstavecseseznamem"/>
        <w:numPr>
          <w:ilvl w:val="0"/>
          <w:numId w:val="4"/>
        </w:numPr>
        <w:rPr>
          <w:lang w:val="en-GB"/>
        </w:rPr>
      </w:pPr>
      <w:r w:rsidRPr="004341CD">
        <w:rPr>
          <w:i/>
          <w:lang w:val="en-GB"/>
        </w:rPr>
        <w:t>CHEZ</w:t>
      </w:r>
      <w:r>
        <w:rPr>
          <w:lang w:val="en-GB"/>
        </w:rPr>
        <w:t xml:space="preserve"> (</w:t>
      </w:r>
      <w:hyperlink r:id="rId8" w:history="1">
        <w:r w:rsidRPr="00BE444B">
          <w:rPr>
            <w:rStyle w:val="Hypertextovodkaz"/>
            <w:lang w:val="en-GB"/>
          </w:rPr>
          <w:t>https://www.opensocietyfoundations.org/press-releases/eu-court-finds-bulgarian-electricity-company-discriminated-against-roma</w:t>
        </w:r>
      </w:hyperlink>
      <w:r>
        <w:rPr>
          <w:lang w:val="en-GB"/>
        </w:rPr>
        <w:t xml:space="preserve">) </w:t>
      </w:r>
    </w:p>
    <w:p w:rsidR="004341CD" w:rsidRDefault="004341CD" w:rsidP="004341CD">
      <w:pPr>
        <w:pStyle w:val="Odstavecseseznamem"/>
        <w:numPr>
          <w:ilvl w:val="0"/>
          <w:numId w:val="4"/>
        </w:numPr>
        <w:rPr>
          <w:lang w:val="en-GB"/>
        </w:rPr>
      </w:pPr>
      <w:proofErr w:type="spellStart"/>
      <w:r w:rsidRPr="004341CD">
        <w:rPr>
          <w:i/>
          <w:lang w:val="en-GB"/>
        </w:rPr>
        <w:t>Kaltoft</w:t>
      </w:r>
      <w:proofErr w:type="spellEnd"/>
      <w:r>
        <w:rPr>
          <w:lang w:val="en-GB"/>
        </w:rPr>
        <w:t xml:space="preserve"> (</w:t>
      </w:r>
      <w:hyperlink r:id="rId9" w:history="1">
        <w:r w:rsidRPr="00BE444B">
          <w:rPr>
            <w:rStyle w:val="Hypertextovodkaz"/>
            <w:lang w:val="en-GB"/>
          </w:rPr>
          <w:t>http://europeanlawblog.eu/2015/04/09/case-c-35413-kaltoft-v-municipality-of-billund-can-obesity-be-a-disability-under-eu-equality-law/</w:t>
        </w:r>
      </w:hyperlink>
      <w:r>
        <w:rPr>
          <w:lang w:val="en-GB"/>
        </w:rPr>
        <w:t>)</w:t>
      </w:r>
    </w:p>
    <w:p w:rsidR="004341CD" w:rsidRPr="004341CD" w:rsidRDefault="004341CD" w:rsidP="004341CD">
      <w:pPr>
        <w:pStyle w:val="Odstavecseseznamem"/>
        <w:numPr>
          <w:ilvl w:val="0"/>
          <w:numId w:val="4"/>
        </w:numPr>
        <w:rPr>
          <w:lang w:val="en-GB"/>
        </w:rPr>
      </w:pPr>
      <w:r>
        <w:rPr>
          <w:lang w:val="en-GB"/>
        </w:rPr>
        <w:t xml:space="preserve">And of course </w:t>
      </w:r>
      <w:proofErr w:type="spellStart"/>
      <w:r w:rsidRPr="004341CD">
        <w:rPr>
          <w:i/>
          <w:lang w:val="en-GB"/>
        </w:rPr>
        <w:t>Coman</w:t>
      </w:r>
      <w:proofErr w:type="spellEnd"/>
      <w:r>
        <w:rPr>
          <w:lang w:val="en-GB"/>
        </w:rPr>
        <w:t xml:space="preserve"> case + two cases you are dealing with in your Project 2</w:t>
      </w:r>
    </w:p>
    <w:p w:rsidR="004341CD" w:rsidRDefault="004341CD" w:rsidP="00814A4E">
      <w:pPr>
        <w:rPr>
          <w:lang w:val="en-GB"/>
        </w:rPr>
      </w:pPr>
    </w:p>
    <w:p w:rsidR="00814A4E" w:rsidRDefault="00814A4E" w:rsidP="00814A4E">
      <w:pPr>
        <w:pStyle w:val="Nadpis2"/>
        <w:rPr>
          <w:lang w:val="en-GB"/>
        </w:rPr>
      </w:pPr>
      <w:r>
        <w:rPr>
          <w:lang w:val="en-GB"/>
        </w:rPr>
        <w:t>Links</w:t>
      </w:r>
    </w:p>
    <w:p w:rsidR="00814A4E" w:rsidRDefault="00814A4E" w:rsidP="00814A4E">
      <w:pPr>
        <w:rPr>
          <w:lang w:val="en-GB"/>
        </w:rPr>
      </w:pPr>
      <w:r>
        <w:rPr>
          <w:lang w:val="en-GB"/>
        </w:rPr>
        <w:t xml:space="preserve">There are plenty of materials on anti-discrimination at the EU FRA webpage: </w:t>
      </w:r>
      <w:hyperlink r:id="rId10" w:history="1">
        <w:r w:rsidR="004C7775" w:rsidRPr="00BE444B">
          <w:rPr>
            <w:rStyle w:val="Hypertextovodkaz"/>
            <w:lang w:val="en-GB"/>
          </w:rPr>
          <w:t>http://fra.europa.eu/en/publications-and-resources</w:t>
        </w:r>
      </w:hyperlink>
      <w:r w:rsidR="004C7775">
        <w:rPr>
          <w:lang w:val="en-GB"/>
        </w:rPr>
        <w:t>, incl. a handbook (</w:t>
      </w:r>
      <w:hyperlink r:id="rId11" w:history="1">
        <w:r w:rsidR="004C7775" w:rsidRPr="00BE444B">
          <w:rPr>
            <w:rStyle w:val="Hypertextovodkaz"/>
            <w:lang w:val="en-GB"/>
          </w:rPr>
          <w:t>http://fra.europa.eu/en/publication/2018/handbook-european-law-non-discrimination</w:t>
        </w:r>
      </w:hyperlink>
      <w:r w:rsidR="004C7775">
        <w:rPr>
          <w:lang w:val="en-GB"/>
        </w:rPr>
        <w:t>).</w:t>
      </w:r>
    </w:p>
    <w:p w:rsidR="004C7775" w:rsidRDefault="004C7775" w:rsidP="00814A4E">
      <w:pPr>
        <w:rPr>
          <w:lang w:val="en-GB"/>
        </w:rPr>
      </w:pPr>
      <w:r>
        <w:rPr>
          <w:lang w:val="en-GB"/>
        </w:rPr>
        <w:t xml:space="preserve">Top blogs on (constitutional/international/EU) Law periodically inform on the most interesting European cases: </w:t>
      </w:r>
      <w:proofErr w:type="spellStart"/>
      <w:r>
        <w:rPr>
          <w:lang w:val="en-GB"/>
        </w:rPr>
        <w:t>Verfassungsblog</w:t>
      </w:r>
      <w:proofErr w:type="spellEnd"/>
      <w:r>
        <w:rPr>
          <w:lang w:val="en-GB"/>
        </w:rPr>
        <w:t xml:space="preserve"> (</w:t>
      </w:r>
      <w:hyperlink r:id="rId12" w:history="1">
        <w:r w:rsidRPr="00BE444B">
          <w:rPr>
            <w:rStyle w:val="Hypertextovodkaz"/>
            <w:lang w:val="en-GB"/>
          </w:rPr>
          <w:t>https://verfassungsblog.de/</w:t>
        </w:r>
      </w:hyperlink>
      <w:r>
        <w:rPr>
          <w:lang w:val="en-GB"/>
        </w:rPr>
        <w:t>), European Law Blog (</w:t>
      </w:r>
      <w:hyperlink r:id="rId13" w:history="1">
        <w:r w:rsidRPr="00BE444B">
          <w:rPr>
            <w:rStyle w:val="Hypertextovodkaz"/>
            <w:lang w:val="en-GB"/>
          </w:rPr>
          <w:t>http://europeanlawblog.eu/</w:t>
        </w:r>
      </w:hyperlink>
      <w:r>
        <w:rPr>
          <w:lang w:val="en-GB"/>
        </w:rPr>
        <w:t>), EU Law Analysis (</w:t>
      </w:r>
      <w:hyperlink r:id="rId14" w:history="1">
        <w:r w:rsidRPr="00BE444B">
          <w:rPr>
            <w:rStyle w:val="Hypertextovodkaz"/>
            <w:lang w:val="en-GB"/>
          </w:rPr>
          <w:t>http://eulawanalysis.blogspot.com/</w:t>
        </w:r>
      </w:hyperlink>
      <w:r>
        <w:rPr>
          <w:lang w:val="en-GB"/>
        </w:rPr>
        <w:t>), EJIL Talk (</w:t>
      </w:r>
      <w:hyperlink r:id="rId15" w:history="1">
        <w:r w:rsidRPr="00BE444B">
          <w:rPr>
            <w:rStyle w:val="Hypertextovodkaz"/>
            <w:lang w:val="en-GB"/>
          </w:rPr>
          <w:t>https://www.ejiltalk.org/</w:t>
        </w:r>
      </w:hyperlink>
      <w:r>
        <w:rPr>
          <w:lang w:val="en-GB"/>
        </w:rPr>
        <w:t xml:space="preserve">). </w:t>
      </w:r>
    </w:p>
    <w:p w:rsidR="004C7775" w:rsidRDefault="004C7775" w:rsidP="00814A4E">
      <w:pPr>
        <w:rPr>
          <w:lang w:val="en-GB"/>
        </w:rPr>
      </w:pPr>
    </w:p>
    <w:p w:rsidR="00814A4E" w:rsidRDefault="00814A4E" w:rsidP="00814A4E">
      <w:pPr>
        <w:rPr>
          <w:lang w:val="en-GB"/>
        </w:rPr>
      </w:pPr>
      <w:r>
        <w:rPr>
          <w:lang w:val="en-GB"/>
        </w:rPr>
        <w:t>Some short interesting videos for your leisure time:</w:t>
      </w:r>
    </w:p>
    <w:p w:rsidR="00814A4E" w:rsidRDefault="00814A4E" w:rsidP="00814A4E">
      <w:pPr>
        <w:pStyle w:val="Odstavecseseznamem"/>
        <w:numPr>
          <w:ilvl w:val="0"/>
          <w:numId w:val="3"/>
        </w:numPr>
        <w:rPr>
          <w:lang w:val="en-GB"/>
        </w:rPr>
      </w:pPr>
      <w:r w:rsidRPr="00814A4E">
        <w:rPr>
          <w:lang w:val="en-GB"/>
        </w:rPr>
        <w:t>Jane E</w:t>
      </w:r>
      <w:r w:rsidRPr="00814A4E">
        <w:rPr>
          <w:lang w:val="en-GB"/>
        </w:rPr>
        <w:t xml:space="preserve">lliot </w:t>
      </w:r>
      <w:hyperlink r:id="rId16" w:history="1">
        <w:r w:rsidR="004C7775" w:rsidRPr="00BE444B">
          <w:rPr>
            <w:rStyle w:val="Hypertextovodkaz"/>
            <w:lang w:val="en-GB"/>
          </w:rPr>
          <w:t>https://www.youtube.com/watch?v=6JbGC1Ine6M</w:t>
        </w:r>
      </w:hyperlink>
      <w:r w:rsidR="004C7775">
        <w:rPr>
          <w:lang w:val="en-GB"/>
        </w:rPr>
        <w:t xml:space="preserve"> </w:t>
      </w:r>
      <w:r w:rsidRPr="00814A4E">
        <w:rPr>
          <w:lang w:val="en-GB"/>
        </w:rPr>
        <w:t>(</w:t>
      </w:r>
      <w:r>
        <w:rPr>
          <w:lang w:val="en-GB"/>
        </w:rPr>
        <w:t>“</w:t>
      </w:r>
      <w:r w:rsidRPr="00814A4E">
        <w:rPr>
          <w:lang w:val="en-GB"/>
        </w:rPr>
        <w:t>racism destroyed in one minute</w:t>
      </w:r>
      <w:r>
        <w:rPr>
          <w:lang w:val="en-GB"/>
        </w:rPr>
        <w:t>”</w:t>
      </w:r>
      <w:r w:rsidRPr="00814A4E">
        <w:rPr>
          <w:lang w:val="en-GB"/>
        </w:rPr>
        <w:t>)</w:t>
      </w:r>
      <w:r>
        <w:rPr>
          <w:lang w:val="en-GB"/>
        </w:rPr>
        <w:t xml:space="preserve"> – quite a controversial personality</w:t>
      </w:r>
    </w:p>
    <w:p w:rsidR="00814A4E" w:rsidRDefault="004C7775" w:rsidP="00814A4E">
      <w:pPr>
        <w:pStyle w:val="Odstavecseseznamem"/>
        <w:numPr>
          <w:ilvl w:val="0"/>
          <w:numId w:val="3"/>
        </w:numPr>
        <w:rPr>
          <w:lang w:val="en-GB"/>
        </w:rPr>
      </w:pPr>
      <w:hyperlink r:id="rId17" w:history="1">
        <w:r w:rsidRPr="00BE444B">
          <w:rPr>
            <w:rStyle w:val="Hypertextovodkaz"/>
            <w:lang w:val="en-GB"/>
          </w:rPr>
          <w:t>https://www.youtube.com/watch?v=9yC7-JsR2Fk</w:t>
        </w:r>
      </w:hyperlink>
      <w:r>
        <w:rPr>
          <w:lang w:val="en-GB"/>
        </w:rPr>
        <w:t xml:space="preserve"> </w:t>
      </w:r>
      <w:r w:rsidR="00814A4E" w:rsidRPr="00814A4E">
        <w:rPr>
          <w:lang w:val="en-GB"/>
        </w:rPr>
        <w:t>(</w:t>
      </w:r>
      <w:r w:rsidR="00814A4E">
        <w:rPr>
          <w:lang w:val="en-GB"/>
        </w:rPr>
        <w:t xml:space="preserve">Clinton – Trump debate </w:t>
      </w:r>
      <w:r w:rsidR="00814A4E" w:rsidRPr="00814A4E">
        <w:rPr>
          <w:lang w:val="en-GB"/>
        </w:rPr>
        <w:t>raw)</w:t>
      </w:r>
    </w:p>
    <w:p w:rsidR="00814A4E" w:rsidRDefault="004C7775" w:rsidP="00814A4E">
      <w:pPr>
        <w:pStyle w:val="Odstavecseseznamem"/>
        <w:numPr>
          <w:ilvl w:val="0"/>
          <w:numId w:val="3"/>
        </w:numPr>
        <w:rPr>
          <w:lang w:val="en-GB"/>
        </w:rPr>
      </w:pPr>
      <w:hyperlink r:id="rId18" w:history="1">
        <w:r w:rsidRPr="00BE444B">
          <w:rPr>
            <w:rStyle w:val="Hypertextovodkaz"/>
            <w:lang w:val="en-GB"/>
          </w:rPr>
          <w:t>https://www.youtube.com/watch?v=UY7Gf1lLHhE</w:t>
        </w:r>
      </w:hyperlink>
      <w:r>
        <w:rPr>
          <w:lang w:val="en-GB"/>
        </w:rPr>
        <w:t xml:space="preserve"> </w:t>
      </w:r>
      <w:r w:rsidR="00814A4E" w:rsidRPr="00814A4E">
        <w:rPr>
          <w:lang w:val="en-GB"/>
        </w:rPr>
        <w:t>(</w:t>
      </w:r>
      <w:r w:rsidR="00814A4E">
        <w:rPr>
          <w:lang w:val="en-GB"/>
        </w:rPr>
        <w:t xml:space="preserve">Clinton – Trump debate </w:t>
      </w:r>
      <w:r w:rsidR="00814A4E" w:rsidRPr="00814A4E">
        <w:rPr>
          <w:lang w:val="en-GB"/>
        </w:rPr>
        <w:t>mix)</w:t>
      </w:r>
    </w:p>
    <w:p w:rsidR="00814A4E" w:rsidRPr="00814A4E" w:rsidRDefault="004C7775" w:rsidP="00814A4E">
      <w:pPr>
        <w:pStyle w:val="Odstavecseseznamem"/>
        <w:numPr>
          <w:ilvl w:val="0"/>
          <w:numId w:val="3"/>
        </w:numPr>
        <w:rPr>
          <w:lang w:val="en-GB"/>
        </w:rPr>
      </w:pPr>
      <w:hyperlink r:id="rId19" w:history="1">
        <w:r w:rsidRPr="00BE444B">
          <w:rPr>
            <w:rStyle w:val="Hypertextovodkaz"/>
            <w:lang w:val="en-GB"/>
          </w:rPr>
          <w:t>https://www.youtube.com/watch?v=v_Ebm-4PfyQ</w:t>
        </w:r>
      </w:hyperlink>
      <w:r>
        <w:rPr>
          <w:lang w:val="en-GB"/>
        </w:rPr>
        <w:t xml:space="preserve"> </w:t>
      </w:r>
      <w:r w:rsidR="00814A4E" w:rsidRPr="00814A4E">
        <w:rPr>
          <w:lang w:val="en-GB"/>
        </w:rPr>
        <w:t>(</w:t>
      </w:r>
      <w:r w:rsidR="00814A4E">
        <w:rPr>
          <w:lang w:val="en-GB"/>
        </w:rPr>
        <w:t>an illustrative contribution to structural inequality</w:t>
      </w:r>
      <w:r w:rsidR="00814A4E" w:rsidRPr="00814A4E">
        <w:rPr>
          <w:lang w:val="en-GB"/>
        </w:rPr>
        <w:t>)</w:t>
      </w:r>
    </w:p>
    <w:sectPr w:rsidR="00814A4E" w:rsidRPr="00814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D4D04"/>
    <w:multiLevelType w:val="hybridMultilevel"/>
    <w:tmpl w:val="AB402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8824ABF"/>
    <w:multiLevelType w:val="hybridMultilevel"/>
    <w:tmpl w:val="89EC9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0E869D6"/>
    <w:multiLevelType w:val="hybridMultilevel"/>
    <w:tmpl w:val="E9725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A600065"/>
    <w:multiLevelType w:val="hybridMultilevel"/>
    <w:tmpl w:val="BE02C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BF"/>
    <w:rsid w:val="004341CD"/>
    <w:rsid w:val="004C7775"/>
    <w:rsid w:val="006E77C4"/>
    <w:rsid w:val="007D1BBF"/>
    <w:rsid w:val="00814A4E"/>
    <w:rsid w:val="00BD39EC"/>
    <w:rsid w:val="00D16318"/>
    <w:rsid w:val="00FD7E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44E4"/>
  <w15:chartTrackingRefBased/>
  <w15:docId w15:val="{A207BB72-13D5-46EF-9A4A-C82AE84E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D1B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14A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1BBF"/>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BD39EC"/>
    <w:pPr>
      <w:ind w:left="720"/>
      <w:contextualSpacing/>
    </w:pPr>
  </w:style>
  <w:style w:type="character" w:customStyle="1" w:styleId="Nadpis2Char">
    <w:name w:val="Nadpis 2 Char"/>
    <w:basedOn w:val="Standardnpsmoodstavce"/>
    <w:link w:val="Nadpis2"/>
    <w:uiPriority w:val="9"/>
    <w:rsid w:val="00814A4E"/>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sid w:val="004C77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societyfoundations.org/press-releases/eu-court-finds-bulgarian-electricity-company-discriminated-against-roma" TargetMode="External"/><Relationship Id="rId13" Type="http://schemas.openxmlformats.org/officeDocument/2006/relationships/hyperlink" Target="http://europeanlawblog.eu/" TargetMode="External"/><Relationship Id="rId18" Type="http://schemas.openxmlformats.org/officeDocument/2006/relationships/hyperlink" Target="https://www.youtube.com/watch?v=UY7Gf1lLHh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pensocietyfoundations.org/voices/case-watch-european-court-justice-faults-response-football-tycoons-anti-gay-remarks" TargetMode="External"/><Relationship Id="rId12" Type="http://schemas.openxmlformats.org/officeDocument/2006/relationships/hyperlink" Target="https://verfassungsblog.de/" TargetMode="External"/><Relationship Id="rId17" Type="http://schemas.openxmlformats.org/officeDocument/2006/relationships/hyperlink" Target="https://www.youtube.com/watch?v=9yC7-JsR2Fk" TargetMode="External"/><Relationship Id="rId2" Type="http://schemas.openxmlformats.org/officeDocument/2006/relationships/styles" Target="styles.xml"/><Relationship Id="rId16" Type="http://schemas.openxmlformats.org/officeDocument/2006/relationships/hyperlink" Target="https://www.youtube.com/watch?v=6JbGC1Ine6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c.europa.eu/dgs/legal_service/arrets/09c236_en.pdf" TargetMode="External"/><Relationship Id="rId11" Type="http://schemas.openxmlformats.org/officeDocument/2006/relationships/hyperlink" Target="http://fra.europa.eu/en/publication/2018/handbook-european-law-non-discrimination" TargetMode="External"/><Relationship Id="rId5" Type="http://schemas.openxmlformats.org/officeDocument/2006/relationships/hyperlink" Target="https://en.wikipedia.org/wiki/Defrenne_v_Sabena_(No_2))" TargetMode="External"/><Relationship Id="rId15" Type="http://schemas.openxmlformats.org/officeDocument/2006/relationships/hyperlink" Target="https://www.ejiltalk.org/" TargetMode="External"/><Relationship Id="rId10" Type="http://schemas.openxmlformats.org/officeDocument/2006/relationships/hyperlink" Target="http://fra.europa.eu/en/publications-and-resources" TargetMode="External"/><Relationship Id="rId19" Type="http://schemas.openxmlformats.org/officeDocument/2006/relationships/hyperlink" Target="https://www.youtube.com/watch?v=v_Ebm-4PfyQ" TargetMode="External"/><Relationship Id="rId4" Type="http://schemas.openxmlformats.org/officeDocument/2006/relationships/webSettings" Target="webSettings.xml"/><Relationship Id="rId9" Type="http://schemas.openxmlformats.org/officeDocument/2006/relationships/hyperlink" Target="http://europeanlawblog.eu/2015/04/09/case-c-35413-kaltoft-v-municipality-of-billund-can-obesity-be-a-disability-under-eu-equality-law/" TargetMode="External"/><Relationship Id="rId14" Type="http://schemas.openxmlformats.org/officeDocument/2006/relationships/hyperlink" Target="http://eulawanalysis.blogspot.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1067</Words>
  <Characters>5400</Characters>
  <Application>Microsoft Office Word</Application>
  <DocSecurity>0</DocSecurity>
  <Lines>84</Lines>
  <Paragraphs>27</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Notes on the EU, ECJ and anti-discrimination</vt:lpstr>
      <vt:lpstr>    Primary law</vt:lpstr>
      <vt:lpstr>    Secondary law</vt:lpstr>
      <vt:lpstr>    CJ case law</vt:lpstr>
      <vt:lpstr>    Links</vt:lpstr>
    </vt:vector>
  </TitlesOfParts>
  <Company>FSS MU</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Smekal</dc:creator>
  <cp:keywords/>
  <dc:description/>
  <cp:lastModifiedBy>Hubert Smekal</cp:lastModifiedBy>
  <cp:revision>2</cp:revision>
  <dcterms:created xsi:type="dcterms:W3CDTF">2018-11-27T08:55:00Z</dcterms:created>
  <dcterms:modified xsi:type="dcterms:W3CDTF">2018-11-27T10:57:00Z</dcterms:modified>
</cp:coreProperties>
</file>