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DCA7" w14:textId="75BDCC16" w:rsidR="00B81268" w:rsidRPr="00856CCD" w:rsidRDefault="00622EBE">
      <w:pPr>
        <w:rPr>
          <w:b/>
          <w:bCs/>
          <w:sz w:val="24"/>
          <w:szCs w:val="24"/>
        </w:rPr>
      </w:pPr>
      <w:r w:rsidRPr="00856CCD">
        <w:rPr>
          <w:b/>
          <w:bCs/>
          <w:sz w:val="24"/>
          <w:szCs w:val="24"/>
        </w:rPr>
        <w:t>Návštěva soudu 8.11.</w:t>
      </w:r>
    </w:p>
    <w:p w14:paraId="2CB38066" w14:textId="300D9A00" w:rsidR="00210C7A" w:rsidRDefault="00DA4B6F" w:rsidP="006C6653">
      <w:pPr>
        <w:jc w:val="both"/>
      </w:pPr>
      <w:r>
        <w:t>Ještě, než jednání začalo jsem si na chodbě všimla zhruba 6 mužů-Romů, kteří vyčkávali na zahájení</w:t>
      </w:r>
      <w:r w:rsidR="005B619E">
        <w:t>.</w:t>
      </w:r>
      <w:r>
        <w:t xml:space="preserve"> </w:t>
      </w:r>
      <w:r w:rsidR="005B619E">
        <w:t>P</w:t>
      </w:r>
      <w:r>
        <w:t xml:space="preserve">ozději se k nim připojily ženy i s jejich </w:t>
      </w:r>
      <w:r w:rsidR="00EA1912">
        <w:t>dětmi</w:t>
      </w:r>
      <w:r>
        <w:t xml:space="preserve"> a po vyzvání jsme všichni vešli do síně.</w:t>
      </w:r>
      <w:r w:rsidR="0062550C">
        <w:t xml:space="preserve"> </w:t>
      </w:r>
      <w:r w:rsidR="00601E61">
        <w:t xml:space="preserve">V soudní síni bylo dohromady něco málo přes 20 osob jako veřejnost, z čehož 17 tvořili </w:t>
      </w:r>
      <w:r w:rsidR="00EA1912">
        <w:t xml:space="preserve">blízcí </w:t>
      </w:r>
      <w:r w:rsidR="000E058F">
        <w:t>odsouzeného</w:t>
      </w:r>
      <w:r w:rsidR="00601E61">
        <w:t xml:space="preserve">. </w:t>
      </w:r>
      <w:r w:rsidR="0062550C">
        <w:t>Během čtení rozsudku jsem se dozvěděla</w:t>
      </w:r>
      <w:r w:rsidR="005B619E">
        <w:t>,</w:t>
      </w:r>
      <w:r w:rsidR="0062550C">
        <w:t xml:space="preserve"> že 40letý muž po požití alkoholu a následné rozepři</w:t>
      </w:r>
      <w:r w:rsidR="005B619E">
        <w:t>,</w:t>
      </w:r>
      <w:r w:rsidR="0062550C">
        <w:t xml:space="preserve"> zaútočil doma na svého známého, kterého bodl kuchyňským nožem.</w:t>
      </w:r>
      <w:r w:rsidR="00210C7A">
        <w:t xml:space="preserve"> S poškozeným doposud neměl důvod k závažným sporům, a i proto byl útok považován za neopodstatněný. Obžalovaný</w:t>
      </w:r>
      <w:r w:rsidR="005B619E">
        <w:t>,</w:t>
      </w:r>
      <w:r w:rsidR="00210C7A">
        <w:t xml:space="preserve"> dle výpovědi svědků</w:t>
      </w:r>
      <w:r w:rsidR="005B619E">
        <w:t>,</w:t>
      </w:r>
      <w:r w:rsidR="00210C7A">
        <w:t xml:space="preserve"> býval po požití většího množství </w:t>
      </w:r>
      <w:r w:rsidR="005B619E">
        <w:t xml:space="preserve">alkoholu </w:t>
      </w:r>
      <w:r w:rsidR="00210C7A">
        <w:t xml:space="preserve">běžně agresivní. </w:t>
      </w:r>
      <w:r w:rsidR="00094F6C">
        <w:t>N</w:t>
      </w:r>
      <w:r w:rsidR="00C12345">
        <w:t>apadený muž musel být převezen do nemocnice a následně</w:t>
      </w:r>
      <w:r w:rsidR="00094F6C">
        <w:t xml:space="preserve"> mu bylo vyoperováno několik poškozených orgánů. </w:t>
      </w:r>
    </w:p>
    <w:p w14:paraId="1EA47209" w14:textId="4EA197DE" w:rsidR="00622EBE" w:rsidRDefault="00094F6C" w:rsidP="006C6653">
      <w:pPr>
        <w:jc w:val="both"/>
      </w:pPr>
      <w:r>
        <w:t>Soud vydal rozsudek o odnětí svobody na 9 let a mj. i nutnost zaplacení výdajů pojišťovně</w:t>
      </w:r>
      <w:r w:rsidR="005B619E">
        <w:t>,</w:t>
      </w:r>
      <w:r>
        <w:t xml:space="preserve"> ve výši </w:t>
      </w:r>
      <w:r w:rsidR="002056D9">
        <w:t xml:space="preserve">téměř milionu </w:t>
      </w:r>
      <w:r>
        <w:t xml:space="preserve">korun. Soudce případ označil </w:t>
      </w:r>
      <w:r w:rsidR="005B619E">
        <w:t>za</w:t>
      </w:r>
      <w:r>
        <w:t xml:space="preserve"> </w:t>
      </w:r>
      <w:r w:rsidR="005B619E" w:rsidRPr="005B619E">
        <w:t>„</w:t>
      </w:r>
      <w:r w:rsidRPr="005B619E">
        <w:t>malicherný konflikt řešený nepřijatelným způsobem</w:t>
      </w:r>
      <w:r w:rsidR="00210C7A" w:rsidRPr="005B619E">
        <w:t>.</w:t>
      </w:r>
      <w:r w:rsidR="005B619E" w:rsidRPr="005B619E">
        <w:t>“</w:t>
      </w:r>
      <w:r w:rsidR="00210C7A">
        <w:t xml:space="preserve"> </w:t>
      </w:r>
      <w:r w:rsidR="00601E61">
        <w:t xml:space="preserve">Následně </w:t>
      </w:r>
      <w:r w:rsidR="00352D47">
        <w:t>četl</w:t>
      </w:r>
      <w:r w:rsidR="00601E61">
        <w:t xml:space="preserve"> a odůvodnil</w:t>
      </w:r>
      <w:r>
        <w:t xml:space="preserve"> polehčující okolnosti, které obžalovanému ubraly jeden rok odnětí svobody, </w:t>
      </w:r>
      <w:r w:rsidR="00352D47">
        <w:t xml:space="preserve">z původních </w:t>
      </w:r>
      <w:r>
        <w:t xml:space="preserve">10 let. </w:t>
      </w:r>
      <w:r w:rsidR="00352D47">
        <w:t>Mezi</w:t>
      </w:r>
      <w:r w:rsidR="00601E61">
        <w:t xml:space="preserve"> p</w:t>
      </w:r>
      <w:r>
        <w:t>olehčující okolnosti zmínil např. upřímně projevenou lítost nad poškozeným, přiznání viny, doposud</w:t>
      </w:r>
      <w:r w:rsidR="00601E61">
        <w:t xml:space="preserve"> nebyl</w:t>
      </w:r>
      <w:r w:rsidR="00892580">
        <w:t xml:space="preserve"> odsouzený</w:t>
      </w:r>
      <w:r>
        <w:t xml:space="preserve"> formálně trestaný, vzorné chování a také spolupráci s organizací Podané ruce</w:t>
      </w:r>
      <w:r w:rsidR="00892580">
        <w:t xml:space="preserve"> na problému s alkoholem</w:t>
      </w:r>
      <w:r>
        <w:t xml:space="preserve">. </w:t>
      </w:r>
    </w:p>
    <w:p w14:paraId="2EC6FEF9" w14:textId="77777777" w:rsidR="00891C0B" w:rsidRDefault="00B469AE" w:rsidP="006C6653">
      <w:pPr>
        <w:jc w:val="both"/>
      </w:pPr>
      <w:r>
        <w:t xml:space="preserve">Při pohledu na zaplněné lavice rodinou obžalovaného jsem </w:t>
      </w:r>
      <w:r w:rsidR="00B95464">
        <w:t xml:space="preserve">si uvědomila své vlastní předsudky vůči </w:t>
      </w:r>
      <w:r w:rsidR="00A114FE">
        <w:t>Romům,</w:t>
      </w:r>
      <w:r w:rsidR="00FC5CC2">
        <w:t xml:space="preserve"> jelikož </w:t>
      </w:r>
      <w:r w:rsidR="00161186">
        <w:t>jsem se cítila nekomfortně</w:t>
      </w:r>
      <w:r w:rsidR="00485D18">
        <w:t xml:space="preserve"> aniž bych měla jakýkoliv</w:t>
      </w:r>
      <w:r w:rsidR="00A114FE">
        <w:t xml:space="preserve"> jiný </w:t>
      </w:r>
      <w:r w:rsidR="00485D18">
        <w:t>důvod</w:t>
      </w:r>
      <w:r w:rsidR="00161186">
        <w:t>.</w:t>
      </w:r>
      <w:r w:rsidR="00A114FE">
        <w:t xml:space="preserve"> Přišlo mi zajímavé, že se </w:t>
      </w:r>
      <w:r w:rsidR="007D1777">
        <w:t>soudu účastnily i děti které mohly mít kolem 14-17 let.</w:t>
      </w:r>
      <w:r w:rsidR="0006083A">
        <w:t xml:space="preserve"> </w:t>
      </w:r>
      <w:r w:rsidR="00E04173">
        <w:t xml:space="preserve">Tato situace mi dala možnost nahlédnout do romského způsobu života. </w:t>
      </w:r>
      <w:r w:rsidR="00611145">
        <w:t>Základ</w:t>
      </w:r>
      <w:r w:rsidR="0006083A">
        <w:t>em</w:t>
      </w:r>
      <w:r w:rsidR="00611145">
        <w:t xml:space="preserve"> romské kultury</w:t>
      </w:r>
      <w:r w:rsidR="00FB07A5">
        <w:t xml:space="preserve"> </w:t>
      </w:r>
      <w:r w:rsidR="0006083A">
        <w:t>je</w:t>
      </w:r>
      <w:r w:rsidR="00FB07A5">
        <w:t xml:space="preserve"> rodina</w:t>
      </w:r>
      <w:r w:rsidR="0006083A">
        <w:t>.</w:t>
      </w:r>
      <w:r w:rsidR="00FB07A5">
        <w:t xml:space="preserve"> </w:t>
      </w:r>
      <w:r w:rsidR="00EF2CDF">
        <w:t>N</w:t>
      </w:r>
      <w:r w:rsidR="00FB07A5">
        <w:t>ositel</w:t>
      </w:r>
      <w:r w:rsidR="00EF2CDF">
        <w:t>em</w:t>
      </w:r>
      <w:r w:rsidR="00FB07A5">
        <w:t xml:space="preserve"> odpovědnosti není jedinec, jak by se mohlo na první pohled zdát</w:t>
      </w:r>
      <w:r w:rsidR="00EF2CDF">
        <w:t>,</w:t>
      </w:r>
      <w:r w:rsidR="00FB07A5">
        <w:t xml:space="preserve"> ale </w:t>
      </w:r>
      <w:r w:rsidR="00EF2CDF">
        <w:t xml:space="preserve">celá </w:t>
      </w:r>
      <w:r w:rsidR="00FB07A5">
        <w:t>rodina</w:t>
      </w:r>
      <w:r w:rsidR="00CA11C7">
        <w:t xml:space="preserve"> </w:t>
      </w:r>
      <w:r w:rsidR="00891C0B">
        <w:fldChar w:fldCharType="begin"/>
      </w:r>
      <w:r w:rsidR="00891C0B">
        <w:instrText xml:space="preserve"> ADDIN ZOTERO_ITEM CSL_CITATION {"citationID":"RApjP1qZ","properties":{"formattedCitation":"(Jakoubek 2012)","plainCitation":"(Jakoubek 2012)","noteIndex":0},"citationItems":[{"id":100,"uris":["http://zotero.org/users/local/VSxJIVi4/items/P4TUCATZ"],"itemData":{"id":100,"type":"article-journal","abstract":"Vstupní otázkou textu je, existuje-li specificky romská kriminalita. Ve své studii, která je primárně odpovědí na uvedenou otázku, autor danou problematiku nahlíží programově v perspektivě sociálně-kulturní, kdy jako „Romy“ chápe nositele specifické (tj. romské) kultury a romskou kriminalitu pak následně jako specifickou součást této kultury, respektive jako výsledek kontaktu nositelů této kultury s kulturou majoritní (zde české) společnosti. V této poloze je celý text kritikou všech – v české a slovenské populaci doposud převládajících – představ o tom, že kriminální jednání mají Romové/Cikáni vrozené („v krvi“). V úzké vazbě na centrální otázku se autor snaží odhalit příčiny romské kriminality. V základním plánu pak identifikuje dva základní typy těchto příčin – jednak příčiny vyplývající z determinace specifickou (tj. romskou) kulturní tradicí, za druhé pak příčiny vyplývající z adaptace Romů (v uvedeném smyslu) na současné podmínky české společnosti. Podložím celé studie jsou autorovy výzkumy prováděné jednak v tzv. romských osadách na Slovensku a jednak v tzv. romských ghettech v České republice.","container-title":"Anthropologia integra","DOI":"10.5817/AI2012-1-39","ISSN":"1804-6665, 1804-6657","issue":"1","journalAbbreviation":"AI","page":"39-50","source":"DOI.org (Crossref)","title":"„Romská“ kriminalita – specifika, příčiny, souvislosti","volume":"3","author":[{"family":"Jakoubek","given":"Marek"}],"issued":{"date-parts":[["2012",1,1]]}}}],"schema":"https://github.com/citation-style-language/schema/raw/master/csl-citation.json"} </w:instrText>
      </w:r>
      <w:r w:rsidR="00891C0B">
        <w:fldChar w:fldCharType="separate"/>
      </w:r>
      <w:r w:rsidR="00891C0B" w:rsidRPr="00891C0B">
        <w:rPr>
          <w:rFonts w:ascii="Calibri" w:hAnsi="Calibri" w:cs="Calibri"/>
        </w:rPr>
        <w:t>(Jakoubek 2012</w:t>
      </w:r>
      <w:r w:rsidR="00891C0B">
        <w:rPr>
          <w:rFonts w:ascii="Calibri" w:hAnsi="Calibri" w:cs="Calibri"/>
        </w:rPr>
        <w:t>, str.41</w:t>
      </w:r>
      <w:r w:rsidR="00891C0B" w:rsidRPr="00891C0B">
        <w:rPr>
          <w:rFonts w:ascii="Calibri" w:hAnsi="Calibri" w:cs="Calibri"/>
        </w:rPr>
        <w:t>)</w:t>
      </w:r>
      <w:r w:rsidR="00891C0B">
        <w:fldChar w:fldCharType="end"/>
      </w:r>
      <w:r w:rsidR="00FB07A5">
        <w:t xml:space="preserve">. </w:t>
      </w:r>
      <w:r w:rsidR="00A1560B">
        <w:t>L</w:t>
      </w:r>
      <w:r w:rsidR="00A95C1C">
        <w:t xml:space="preserve">ze </w:t>
      </w:r>
      <w:r w:rsidR="00892580">
        <w:t xml:space="preserve">proto </w:t>
      </w:r>
      <w:r w:rsidR="00A95C1C">
        <w:t>předpokládat, že</w:t>
      </w:r>
      <w:r w:rsidR="00FB07A5">
        <w:t xml:space="preserve"> vinu za tento čin si v romské </w:t>
      </w:r>
      <w:r w:rsidR="00892580">
        <w:t>komunitě</w:t>
      </w:r>
      <w:r w:rsidR="00FB07A5">
        <w:t xml:space="preserve"> pones</w:t>
      </w:r>
      <w:r w:rsidR="00A1560B">
        <w:t xml:space="preserve">e celá širší rodina </w:t>
      </w:r>
      <w:r w:rsidR="00FB07A5">
        <w:t xml:space="preserve">i přesto, že </w:t>
      </w:r>
      <w:r w:rsidR="00A95C1C">
        <w:t>soudem</w:t>
      </w:r>
      <w:r w:rsidR="00FB07A5">
        <w:t xml:space="preserve"> byl odsouzen pouze muž. </w:t>
      </w:r>
      <w:r w:rsidR="00A1560B">
        <w:t>Je možné</w:t>
      </w:r>
      <w:r w:rsidR="00FB07A5">
        <w:t>, že rodina pachatele bude v místě jejich bydliště stigmatizována okolím. Vzhledem ke kolektivnímu způsobu žití</w:t>
      </w:r>
      <w:r w:rsidR="00892580">
        <w:t xml:space="preserve"> Romů</w:t>
      </w:r>
      <w:r w:rsidR="00FB07A5">
        <w:t xml:space="preserve"> jsem uvažovala nad tím, zda se </w:t>
      </w:r>
      <w:r w:rsidR="00FE44BB">
        <w:t xml:space="preserve">celá </w:t>
      </w:r>
      <w:r w:rsidR="00FB07A5">
        <w:t>rodina bude skládat i na dluh vzniklý vůči pojišťovně, jelikož se jedná o nemalou částku.</w:t>
      </w:r>
      <w:r w:rsidR="002B324C">
        <w:t xml:space="preserve"> </w:t>
      </w:r>
      <w:r w:rsidR="00FE44BB">
        <w:t xml:space="preserve">Teoreticky může tento dluh být do budoucna hnacím faktorem pro </w:t>
      </w:r>
      <w:r w:rsidR="00CB00E0">
        <w:t>další kriminální činnost</w:t>
      </w:r>
      <w:r w:rsidR="007C1E34">
        <w:t xml:space="preserve"> a </w:t>
      </w:r>
      <w:r w:rsidR="00526843">
        <w:t>rodina z již znevýhodněné menšiny bude zatížena</w:t>
      </w:r>
      <w:r w:rsidR="009F61BA">
        <w:t xml:space="preserve"> i</w:t>
      </w:r>
      <w:r w:rsidR="00526843">
        <w:t xml:space="preserve"> finančn</w:t>
      </w:r>
      <w:r w:rsidR="009F61BA">
        <w:t>ě.</w:t>
      </w:r>
    </w:p>
    <w:p w14:paraId="3DAE8ADD" w14:textId="4D6B3C2A" w:rsidR="006C6653" w:rsidRDefault="009A6C29" w:rsidP="006C6653">
      <w:pPr>
        <w:jc w:val="both"/>
      </w:pPr>
      <w:r w:rsidRPr="004F0E08">
        <w:t>Z</w:t>
      </w:r>
      <w:r w:rsidR="009A2D98" w:rsidRPr="004F0E08">
        <w:t> </w:t>
      </w:r>
      <w:r w:rsidRPr="004F0E08">
        <w:t>pohledu</w:t>
      </w:r>
      <w:r w:rsidR="009A2D98" w:rsidRPr="004F0E08">
        <w:t xml:space="preserve"> symbolického </w:t>
      </w:r>
      <w:proofErr w:type="spellStart"/>
      <w:r w:rsidR="009A2D98" w:rsidRPr="004F0E08">
        <w:t>interakcionismu</w:t>
      </w:r>
      <w:proofErr w:type="spellEnd"/>
      <w:r w:rsidR="009A2D98">
        <w:t xml:space="preserve">, je v tomto </w:t>
      </w:r>
      <w:r w:rsidR="00A37FFD">
        <w:t>případě</w:t>
      </w:r>
      <w:r w:rsidR="009A2D98">
        <w:t xml:space="preserve"> možné </w:t>
      </w:r>
      <w:r w:rsidR="005E018E">
        <w:t>zkoumat, jak js</w:t>
      </w:r>
      <w:r w:rsidR="000F1C9B">
        <w:t xml:space="preserve">ou vytvářeny významy prostřednictvím sociální interakce a symbolů. </w:t>
      </w:r>
      <w:r w:rsidR="006239E2">
        <w:t xml:space="preserve">Klíčový sociální symbol zde představuje rodina </w:t>
      </w:r>
      <w:r w:rsidR="00892580">
        <w:t>odsouzeného,</w:t>
      </w:r>
      <w:r w:rsidR="00C5179E">
        <w:t xml:space="preserve"> která </w:t>
      </w:r>
      <w:r w:rsidR="00191ABC">
        <w:t>vyjadřuje</w:t>
      </w:r>
      <w:r w:rsidR="00C5179E">
        <w:t xml:space="preserve"> podporu a kolektivní zodpovědnost za člena rodiny v romské kultuře.</w:t>
      </w:r>
      <w:r w:rsidR="002428B2">
        <w:t xml:space="preserve"> Zároveň, přítomnost dětí u soudu je možné vnímat jako předávání symbolických hodnot</w:t>
      </w:r>
      <w:r w:rsidR="00074008">
        <w:t xml:space="preserve"> – loajalita a soudržnost.</w:t>
      </w:r>
      <w:r w:rsidR="00191ABC">
        <w:t xml:space="preserve"> </w:t>
      </w:r>
      <w:r w:rsidR="003F2964">
        <w:t xml:space="preserve">Mé vlastní předsudky vůči přítomné rodině </w:t>
      </w:r>
      <w:r w:rsidR="007A7E35">
        <w:t xml:space="preserve">byly formovány na základě kulturních stereotypů a sociálních symbolů. </w:t>
      </w:r>
      <w:r w:rsidR="002204C4">
        <w:t xml:space="preserve">Georg </w:t>
      </w:r>
      <w:proofErr w:type="spellStart"/>
      <w:r w:rsidR="00DB781A">
        <w:t>Simmel</w:t>
      </w:r>
      <w:proofErr w:type="spellEnd"/>
      <w:r w:rsidR="002204C4">
        <w:t>,</w:t>
      </w:r>
      <w:r w:rsidR="00DB781A">
        <w:t xml:space="preserve"> v eseji Cizinec </w:t>
      </w:r>
      <w:r w:rsidR="00891C0B">
        <w:fldChar w:fldCharType="begin"/>
      </w:r>
      <w:r w:rsidR="00891C0B">
        <w:instrText xml:space="preserve"> ADDIN ZOTERO_ITEM CSL_CITATION {"citationID":"MzFPQVAb","properties":{"formattedCitation":"(Simmel a Petrusek 1997)","plainCitation":"(Simmel a Petrusek 1997)","noteIndex":0},"citationItems":[{"id":99,"uris":["http://zotero.org/users/local/VSxJIVi4/items/PM7JA6SV"],"itemData":{"id":99,"type":"book","collection-title":"Edice Klas","ISBN":"978-80-85850-50-5","publisher":"Sociologické nakladatelství","title":"Peníze v moderní kultuře a jiné eseje","URL":"https://books.google.cz/books?id=jXQhAAAACAAJ","author":[{"family":"Simmel","given":"G."},{"family":"Petrusek","given":"M."}],"issued":{"date-parts":[["1997"]]}}}],"schema":"https://github.com/citation-style-language/schema/raw/master/csl-citation.json"} </w:instrText>
      </w:r>
      <w:r w:rsidR="00891C0B">
        <w:fldChar w:fldCharType="separate"/>
      </w:r>
      <w:r w:rsidR="00891C0B" w:rsidRPr="00891C0B">
        <w:rPr>
          <w:rFonts w:ascii="Calibri" w:hAnsi="Calibri" w:cs="Calibri"/>
        </w:rPr>
        <w:t>(1997)</w:t>
      </w:r>
      <w:r w:rsidR="00891C0B">
        <w:fldChar w:fldCharType="end"/>
      </w:r>
      <w:r w:rsidR="00891C0B">
        <w:t>,</w:t>
      </w:r>
      <w:r w:rsidR="00C355C4">
        <w:t xml:space="preserve"> popisuje cizince jako někoho, kdo je součástí společnosti</w:t>
      </w:r>
      <w:r w:rsidR="00B52D49">
        <w:t xml:space="preserve"> ale </w:t>
      </w:r>
      <w:r w:rsidR="00496520">
        <w:t xml:space="preserve">zároveň je </w:t>
      </w:r>
      <w:r w:rsidR="002204C4">
        <w:t>vzdálen od původních obyvatel skupiny.</w:t>
      </w:r>
      <w:r w:rsidR="00BA2C64">
        <w:t xml:space="preserve"> </w:t>
      </w:r>
      <w:r w:rsidR="007F0FA7">
        <w:t xml:space="preserve">Podle této </w:t>
      </w:r>
      <w:r w:rsidR="00975CC8">
        <w:t>definice je možné j</w:t>
      </w:r>
      <w:r w:rsidR="00332887">
        <w:t>ako cizince, vnímat romskou komunitu v České republice</w:t>
      </w:r>
      <w:r w:rsidR="00975CC8">
        <w:t xml:space="preserve">. </w:t>
      </w:r>
      <w:r w:rsidR="00C67B0E">
        <w:t>Celý s</w:t>
      </w:r>
      <w:r w:rsidR="00074008">
        <w:t>oudní proces představuje symbolický rituál.</w:t>
      </w:r>
      <w:r w:rsidR="007632D5">
        <w:t xml:space="preserve"> Soudce, jakožto symbol autority, legitimizuje společenské normy</w:t>
      </w:r>
      <w:r w:rsidR="00424D90">
        <w:t xml:space="preserve">. </w:t>
      </w:r>
      <w:r w:rsidR="00C67B0E">
        <w:t>Jeho z</w:t>
      </w:r>
      <w:r w:rsidR="00424D90">
        <w:t>hodnocení konfliktu</w:t>
      </w:r>
      <w:r w:rsidR="009715B0">
        <w:t xml:space="preserve"> za malicherný a řešený nepřijatelným způsobem vytváří symbolický odsudek</w:t>
      </w:r>
      <w:r w:rsidR="00F333BA">
        <w:t xml:space="preserve"> násilí jako nevhodný prostředek k řešení konfliktu.</w:t>
      </w:r>
    </w:p>
    <w:p w14:paraId="7D76B0D8" w14:textId="2EFA26C8" w:rsidR="00891C0B" w:rsidRPr="006C6653" w:rsidRDefault="006C6653" w:rsidP="00856CCD">
      <w:pPr>
        <w:jc w:val="both"/>
        <w:rPr>
          <w:b/>
          <w:bCs/>
        </w:rPr>
      </w:pPr>
      <w:r>
        <w:br w:type="column"/>
      </w:r>
      <w:r w:rsidRPr="006C6653">
        <w:rPr>
          <w:b/>
          <w:bCs/>
        </w:rPr>
        <w:lastRenderedPageBreak/>
        <w:t>Zdroje:</w:t>
      </w:r>
    </w:p>
    <w:p w14:paraId="2FE69227" w14:textId="77777777" w:rsidR="006C6653" w:rsidRPr="006C6653" w:rsidRDefault="006C6653" w:rsidP="006C6653">
      <w:pPr>
        <w:pStyle w:val="Bibliografie"/>
        <w:jc w:val="both"/>
        <w:rPr>
          <w:rFonts w:ascii="Calibri" w:hAnsi="Calibri" w:cs="Calibri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6C6653">
        <w:rPr>
          <w:rFonts w:ascii="Calibri" w:hAnsi="Calibri" w:cs="Calibri"/>
        </w:rPr>
        <w:t xml:space="preserve">Jakoubek, Marek. 2012. „„Romská“ kriminalita – specifika, příčiny, souvislosti". </w:t>
      </w:r>
      <w:r w:rsidRPr="006C6653">
        <w:rPr>
          <w:rFonts w:ascii="Calibri" w:hAnsi="Calibri" w:cs="Calibri"/>
          <w:i/>
          <w:iCs/>
        </w:rPr>
        <w:t>Anthropologia integra</w:t>
      </w:r>
      <w:r w:rsidRPr="006C6653">
        <w:rPr>
          <w:rFonts w:ascii="Calibri" w:hAnsi="Calibri" w:cs="Calibri"/>
        </w:rPr>
        <w:t xml:space="preserve"> 3 (1): 39–50. https://doi.org/10.5817/AI2012-1-39.</w:t>
      </w:r>
    </w:p>
    <w:p w14:paraId="3B81B9FC" w14:textId="77777777" w:rsidR="006C6653" w:rsidRPr="006C6653" w:rsidRDefault="006C6653" w:rsidP="006C6653">
      <w:pPr>
        <w:pStyle w:val="Bibliografie"/>
        <w:jc w:val="both"/>
        <w:rPr>
          <w:rFonts w:ascii="Calibri" w:hAnsi="Calibri" w:cs="Calibri"/>
        </w:rPr>
      </w:pPr>
      <w:r w:rsidRPr="006C6653">
        <w:rPr>
          <w:rFonts w:ascii="Calibri" w:hAnsi="Calibri" w:cs="Calibri"/>
        </w:rPr>
        <w:t xml:space="preserve">Simmel, G., a M. Petrusek. 1997. </w:t>
      </w:r>
      <w:r w:rsidRPr="006C6653">
        <w:rPr>
          <w:rFonts w:ascii="Calibri" w:hAnsi="Calibri" w:cs="Calibri"/>
          <w:i/>
          <w:iCs/>
        </w:rPr>
        <w:t>Peníze v moderní kultuře a jiné eseje</w:t>
      </w:r>
      <w:r w:rsidRPr="006C6653">
        <w:rPr>
          <w:rFonts w:ascii="Calibri" w:hAnsi="Calibri" w:cs="Calibri"/>
        </w:rPr>
        <w:t>. Edice Klas. Sociologické nakladatelství. https://books.google.cz/books?id=jXQhAAAACAAJ.</w:t>
      </w:r>
    </w:p>
    <w:p w14:paraId="3DAC4CB1" w14:textId="0F310251" w:rsidR="006C6653" w:rsidRPr="00074008" w:rsidRDefault="006C6653" w:rsidP="006C6653">
      <w:pPr>
        <w:jc w:val="both"/>
      </w:pPr>
      <w:r>
        <w:fldChar w:fldCharType="end"/>
      </w:r>
    </w:p>
    <w:p w14:paraId="4075848B" w14:textId="77777777" w:rsidR="00622EBE" w:rsidRDefault="00622EBE"/>
    <w:sectPr w:rsidR="00622EB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97F1A" w14:textId="77777777" w:rsidR="003D1F04" w:rsidRDefault="003D1F04" w:rsidP="00622EBE">
      <w:pPr>
        <w:spacing w:after="0" w:line="240" w:lineRule="auto"/>
      </w:pPr>
      <w:r>
        <w:separator/>
      </w:r>
    </w:p>
  </w:endnote>
  <w:endnote w:type="continuationSeparator" w:id="0">
    <w:p w14:paraId="3D7ECBA3" w14:textId="77777777" w:rsidR="003D1F04" w:rsidRDefault="003D1F04" w:rsidP="0062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ED464" w14:textId="77777777" w:rsidR="003D1F04" w:rsidRDefault="003D1F04" w:rsidP="00622EBE">
      <w:pPr>
        <w:spacing w:after="0" w:line="240" w:lineRule="auto"/>
      </w:pPr>
      <w:r>
        <w:separator/>
      </w:r>
    </w:p>
  </w:footnote>
  <w:footnote w:type="continuationSeparator" w:id="0">
    <w:p w14:paraId="0B955720" w14:textId="77777777" w:rsidR="003D1F04" w:rsidRDefault="003D1F04" w:rsidP="0062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FA5F9" w14:textId="1CC30C6A" w:rsidR="00622EBE" w:rsidRDefault="00622EBE">
    <w:pPr>
      <w:pStyle w:val="Zhlav"/>
    </w:pPr>
    <w:r>
      <w:tab/>
    </w:r>
    <w:r>
      <w:tab/>
      <w:t>Andrea Machů, UČO: 535925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BE"/>
    <w:rsid w:val="0006083A"/>
    <w:rsid w:val="00074008"/>
    <w:rsid w:val="00094F6C"/>
    <w:rsid w:val="000E058F"/>
    <w:rsid w:val="000E6DE4"/>
    <w:rsid w:val="000F1C9B"/>
    <w:rsid w:val="00161186"/>
    <w:rsid w:val="00191ABC"/>
    <w:rsid w:val="001A16B6"/>
    <w:rsid w:val="002056D9"/>
    <w:rsid w:val="00210C7A"/>
    <w:rsid w:val="00215BB5"/>
    <w:rsid w:val="002204C4"/>
    <w:rsid w:val="002428B2"/>
    <w:rsid w:val="00275A92"/>
    <w:rsid w:val="002B324C"/>
    <w:rsid w:val="002F2E95"/>
    <w:rsid w:val="002F3AB7"/>
    <w:rsid w:val="00332887"/>
    <w:rsid w:val="00352D47"/>
    <w:rsid w:val="003955C1"/>
    <w:rsid w:val="003D1F04"/>
    <w:rsid w:val="003E650B"/>
    <w:rsid w:val="003F2964"/>
    <w:rsid w:val="0041025B"/>
    <w:rsid w:val="00424D90"/>
    <w:rsid w:val="004425A7"/>
    <w:rsid w:val="00485D18"/>
    <w:rsid w:val="0049364A"/>
    <w:rsid w:val="00496520"/>
    <w:rsid w:val="004F0E08"/>
    <w:rsid w:val="005028E1"/>
    <w:rsid w:val="00526843"/>
    <w:rsid w:val="005274CD"/>
    <w:rsid w:val="005B619E"/>
    <w:rsid w:val="005E018E"/>
    <w:rsid w:val="005E226B"/>
    <w:rsid w:val="00601E61"/>
    <w:rsid w:val="00611145"/>
    <w:rsid w:val="00622EBE"/>
    <w:rsid w:val="006239E2"/>
    <w:rsid w:val="0062550C"/>
    <w:rsid w:val="006C6653"/>
    <w:rsid w:val="0075792C"/>
    <w:rsid w:val="007632D5"/>
    <w:rsid w:val="007A7E35"/>
    <w:rsid w:val="007C1E34"/>
    <w:rsid w:val="007D1777"/>
    <w:rsid w:val="007D3E3F"/>
    <w:rsid w:val="007F0FA7"/>
    <w:rsid w:val="00837638"/>
    <w:rsid w:val="00856CCD"/>
    <w:rsid w:val="00891C0B"/>
    <w:rsid w:val="00892580"/>
    <w:rsid w:val="009075CE"/>
    <w:rsid w:val="00925E6C"/>
    <w:rsid w:val="00931066"/>
    <w:rsid w:val="009715B0"/>
    <w:rsid w:val="00975CC8"/>
    <w:rsid w:val="00993832"/>
    <w:rsid w:val="00997633"/>
    <w:rsid w:val="009A2D98"/>
    <w:rsid w:val="009A6C29"/>
    <w:rsid w:val="009F61BA"/>
    <w:rsid w:val="00A114FE"/>
    <w:rsid w:val="00A1560B"/>
    <w:rsid w:val="00A37FFD"/>
    <w:rsid w:val="00A44F1E"/>
    <w:rsid w:val="00A95C1C"/>
    <w:rsid w:val="00AC5287"/>
    <w:rsid w:val="00AF4EA5"/>
    <w:rsid w:val="00B469AE"/>
    <w:rsid w:val="00B52D49"/>
    <w:rsid w:val="00B81268"/>
    <w:rsid w:val="00B95464"/>
    <w:rsid w:val="00BA2C64"/>
    <w:rsid w:val="00BB1C53"/>
    <w:rsid w:val="00BB3375"/>
    <w:rsid w:val="00BC38D8"/>
    <w:rsid w:val="00C12345"/>
    <w:rsid w:val="00C16CD9"/>
    <w:rsid w:val="00C355C4"/>
    <w:rsid w:val="00C36262"/>
    <w:rsid w:val="00C5179E"/>
    <w:rsid w:val="00C67B0E"/>
    <w:rsid w:val="00C829E6"/>
    <w:rsid w:val="00CA11C7"/>
    <w:rsid w:val="00CB00E0"/>
    <w:rsid w:val="00D43FB6"/>
    <w:rsid w:val="00D53E1A"/>
    <w:rsid w:val="00DA4B6F"/>
    <w:rsid w:val="00DB781A"/>
    <w:rsid w:val="00E04173"/>
    <w:rsid w:val="00E44164"/>
    <w:rsid w:val="00EA1912"/>
    <w:rsid w:val="00EF2CDF"/>
    <w:rsid w:val="00F20DC3"/>
    <w:rsid w:val="00F333BA"/>
    <w:rsid w:val="00F47634"/>
    <w:rsid w:val="00FB07A5"/>
    <w:rsid w:val="00FC5CC2"/>
    <w:rsid w:val="00F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3E4E"/>
  <w15:chartTrackingRefBased/>
  <w15:docId w15:val="{42B1618B-48C4-4961-977E-1C2DE11C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2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2E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2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2E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2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2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2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2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2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2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2EB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2EB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2E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2E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2E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2EB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2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2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2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2EB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2EB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2EB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2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2EB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2EBE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2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EBE"/>
  </w:style>
  <w:style w:type="paragraph" w:styleId="Zpat">
    <w:name w:val="footer"/>
    <w:basedOn w:val="Normln"/>
    <w:link w:val="ZpatChar"/>
    <w:uiPriority w:val="99"/>
    <w:unhideWhenUsed/>
    <w:rsid w:val="0062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EBE"/>
  </w:style>
  <w:style w:type="paragraph" w:styleId="Bibliografie">
    <w:name w:val="Bibliography"/>
    <w:basedOn w:val="Normln"/>
    <w:next w:val="Normln"/>
    <w:uiPriority w:val="37"/>
    <w:unhideWhenUsed/>
    <w:rsid w:val="006C6653"/>
    <w:pPr>
      <w:spacing w:after="0"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3D7E296EC6E4BB82FDC1879319EAD" ma:contentTypeVersion="9" ma:contentTypeDescription="Vytvoří nový dokument" ma:contentTypeScope="" ma:versionID="7629cb2bf27a183bc0d81f5902a2c21c">
  <xsd:schema xmlns:xsd="http://www.w3.org/2001/XMLSchema" xmlns:xs="http://www.w3.org/2001/XMLSchema" xmlns:p="http://schemas.microsoft.com/office/2006/metadata/properties" xmlns:ns3="67b604c1-c551-4650-af6d-dff024ec55f3" xmlns:ns4="b53eb49c-ec96-4feb-b346-7285d3293795" targetNamespace="http://schemas.microsoft.com/office/2006/metadata/properties" ma:root="true" ma:fieldsID="be315b82d6e1af82ae7afab5313a9bf6" ns3:_="" ns4:_="">
    <xsd:import namespace="67b604c1-c551-4650-af6d-dff024ec55f3"/>
    <xsd:import namespace="b53eb49c-ec96-4feb-b346-7285d32937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604c1-c551-4650-af6d-dff024ec5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eb49c-ec96-4feb-b346-7285d32937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b604c1-c551-4650-af6d-dff024ec55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A3588-9CD1-4EFE-8D64-6E6516182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604c1-c551-4650-af6d-dff024ec55f3"/>
    <ds:schemaRef ds:uri="b53eb49c-ec96-4feb-b346-7285d3293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9B552-4988-4722-8BBF-511BF5649A51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b53eb49c-ec96-4feb-b346-7285d3293795"/>
    <ds:schemaRef ds:uri="67b604c1-c551-4650-af6d-dff024ec55f3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345EFE-ACAB-419F-AB70-12787B40AAA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Machů</dc:creator>
  <cp:keywords/>
  <dc:description/>
  <cp:lastModifiedBy>Andrea Machů</cp:lastModifiedBy>
  <cp:revision>2</cp:revision>
  <dcterms:created xsi:type="dcterms:W3CDTF">2024-12-02T13:35:00Z</dcterms:created>
  <dcterms:modified xsi:type="dcterms:W3CDTF">2024-12-02T13:35:00Z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0x0101003043D7E296EC6E4BB82FDC1879319EAD</vt:lpwstr>
  </property>
  <property fmtid="{D5CDD505-2E9C-101B-9397-08002B2CF9AE}" pid="3" name="ZOTERO_PREF_1">
    <vt:lpwstr>&lt;data data-version="3" zotero-version="7.0.10"&gt;&lt;session id="8w4ndpsO"/&gt;&lt;style id="http://www.zotero.org/styles/chicago-author-date" locale="cs-CZ" hasBibliography="1" bibliographyStyleHasBeenSet="1"/&gt;&lt;prefs&gt;&lt;pref name="fieldType" value="Field"/&gt;&lt;pref name</vt:lpwstr>
  </property>
  <property fmtid="{D5CDD505-2E9C-101B-9397-08002B2CF9AE}" pid="4" name="ZOTERO_PREF_2">
    <vt:lpwstr>="automaticJournalAbbreviations" value="true"/&gt;&lt;/prefs&gt;&lt;/data&gt;</vt:lpwstr>
  </property>
</Properties>
</file>