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B4E47" w14:textId="49551680" w:rsidR="00451D9C" w:rsidRPr="008632C3" w:rsidRDefault="00357318" w:rsidP="008632C3">
      <w:pPr>
        <w:jc w:val="both"/>
        <w:rPr>
          <w:b/>
          <w:bCs/>
          <w:sz w:val="24"/>
          <w:szCs w:val="24"/>
        </w:rPr>
      </w:pPr>
      <w:r w:rsidRPr="008632C3">
        <w:rPr>
          <w:b/>
          <w:bCs/>
          <w:sz w:val="24"/>
          <w:szCs w:val="24"/>
        </w:rPr>
        <w:t>N</w:t>
      </w:r>
      <w:r w:rsidR="00451D9C" w:rsidRPr="008632C3">
        <w:rPr>
          <w:b/>
          <w:bCs/>
          <w:sz w:val="24"/>
          <w:szCs w:val="24"/>
        </w:rPr>
        <w:t xml:space="preserve">ávštěva soudu  </w:t>
      </w:r>
    </w:p>
    <w:p w14:paraId="67E9F033" w14:textId="190CEE43" w:rsidR="006A327C" w:rsidRDefault="006A327C" w:rsidP="008632C3">
      <w:pPr>
        <w:jc w:val="both"/>
      </w:pPr>
      <w:r>
        <w:t xml:space="preserve">V rámci dobrovolného úkolu jsem navštívila soudní jednání na </w:t>
      </w:r>
      <w:r w:rsidRPr="00746239">
        <w:t xml:space="preserve">krajském </w:t>
      </w:r>
      <w:r>
        <w:t>soudě v Brně.  Jednání se zabývalo pokusem o vraždu. Tento pokus se odehrál 1.4. 2024 v Třebíči, kdy se dva kamarádi po požití alkoholu dostali do slovní rozepře, kter</w:t>
      </w:r>
      <w:r w:rsidR="006E33FA">
        <w:t>á pokračovala fyzickou potyčkou, jež vyvrcholila tím, že pan Emil vzal sedmnácti centimetrový kuchyňský nůž, kterým jedenkrát záměrně bodnul pana Cyrila do břicha</w:t>
      </w:r>
      <w:r w:rsidR="006E33FA" w:rsidRPr="00EC1890">
        <w:rPr>
          <w:b/>
          <w:bCs/>
        </w:rPr>
        <w:t xml:space="preserve">. </w:t>
      </w:r>
      <w:r w:rsidR="006E33FA" w:rsidRPr="001E4610">
        <w:t>Pan Cyril přežil, ovšem</w:t>
      </w:r>
      <w:r w:rsidR="00EC65E9" w:rsidRPr="001E4610">
        <w:t xml:space="preserve"> v</w:t>
      </w:r>
      <w:r w:rsidR="001E4610" w:rsidRPr="001E4610">
        <w:t> </w:t>
      </w:r>
      <w:r w:rsidR="001E4610" w:rsidRPr="00A745B8">
        <w:t xml:space="preserve">důsledku </w:t>
      </w:r>
      <w:r w:rsidR="001E4610" w:rsidRPr="001E4610">
        <w:t>bodné rány</w:t>
      </w:r>
      <w:r w:rsidR="006E33FA" w:rsidRPr="001E4610">
        <w:t xml:space="preserve"> přišel o čtyři orgány, tudíž má trvalé následk</w:t>
      </w:r>
      <w:r w:rsidR="001E4610">
        <w:t>y. P</w:t>
      </w:r>
      <w:r w:rsidR="006E33FA" w:rsidRPr="00EC65E9">
        <w:t xml:space="preserve">oškozeného </w:t>
      </w:r>
      <w:r w:rsidR="006E33FA">
        <w:t xml:space="preserve">zastupoval státní zástupce, ale sám se soudu neúčastnil. Obžalovaný se ke všemu přiznal a tvrdil, že je ochotný splnit jakýkoliv trest mu soudce nařídí. Státní zástupce </w:t>
      </w:r>
      <w:r w:rsidR="00896BD4">
        <w:t xml:space="preserve">přihlédl k přiznání obžalovaného a </w:t>
      </w:r>
      <w:r w:rsidR="006E33FA">
        <w:t xml:space="preserve">navrhl trest odnětí svobody na deset let v zařízení se zvýšenou </w:t>
      </w:r>
      <w:r w:rsidR="00896BD4">
        <w:t xml:space="preserve">ostrahou a uhrazení téměř jednoho milionu korun pojišťovně, která zaplatila </w:t>
      </w:r>
      <w:r w:rsidR="00896BD4" w:rsidRPr="001E54D7">
        <w:t xml:space="preserve">léčebné výdaje </w:t>
      </w:r>
      <w:r w:rsidR="00896BD4">
        <w:t>poškozeného</w:t>
      </w:r>
      <w:r w:rsidR="001E54D7">
        <w:t xml:space="preserve"> spoje</w:t>
      </w:r>
      <w:r w:rsidR="00375806">
        <w:t xml:space="preserve">né </w:t>
      </w:r>
      <w:r w:rsidR="00375806" w:rsidRPr="0072030E">
        <w:t>s útokem</w:t>
      </w:r>
      <w:r w:rsidR="00896BD4">
        <w:t xml:space="preserve">. Advokát obžalovaného </w:t>
      </w:r>
      <w:r w:rsidR="00920405">
        <w:t>navrhl</w:t>
      </w:r>
      <w:r w:rsidR="00896BD4">
        <w:t xml:space="preserve"> odnětí svobody obžalovaného na osm a půl roku (tedy pod spodní sazbou) v zařízení s</w:t>
      </w:r>
      <w:r w:rsidR="00920405">
        <w:t xml:space="preserve">e středním stupněm zabezpečení. Finální rozsudek vynese soud 8.11. 2024. </w:t>
      </w:r>
    </w:p>
    <w:p w14:paraId="70AF0CFF" w14:textId="42A5EC1B" w:rsidR="005A3E47" w:rsidRDefault="00920405" w:rsidP="008632C3">
      <w:pPr>
        <w:jc w:val="both"/>
      </w:pPr>
      <w:r>
        <w:t>A nyní už bych se ráda podívala na detaily soudního procesu, které stojí za povšimnutí ze sociologického pohledu. Př</w:t>
      </w:r>
      <w:r w:rsidR="00CE068D">
        <w:t>ed začátkem jednání veřejnost čekala před soudní místností, ovšem ne</w:t>
      </w:r>
      <w:r w:rsidR="0018777C">
        <w:t xml:space="preserve"> tak</w:t>
      </w:r>
      <w:r w:rsidR="00CE068D">
        <w:t xml:space="preserve"> </w:t>
      </w:r>
      <w:r w:rsidR="003B0306">
        <w:t>úpln</w:t>
      </w:r>
      <w:r w:rsidR="00A027A2">
        <w:t>ě</w:t>
      </w:r>
      <w:r w:rsidR="00CE068D">
        <w:t xml:space="preserve"> nahodile. Veřejnost byla </w:t>
      </w:r>
      <w:r w:rsidR="00CE068D" w:rsidRPr="00E725D8">
        <w:t>jakoby rozdělená na dvě poloviny, kde jedna čekala více na pravé straně chodby a druhá na levé. Část, která čekala na pravé straně chodby byla romského původu</w:t>
      </w:r>
      <w:r w:rsidR="00CE068D" w:rsidRPr="004F2179">
        <w:rPr>
          <w:i/>
          <w:iCs/>
        </w:rPr>
        <w:t xml:space="preserve">. </w:t>
      </w:r>
      <w:r w:rsidR="00CE068D">
        <w:t>Druhá část byla tvořena bílými studenty a dalšími bílými lidmi, kteří pravděpodobně soud navštívili z pracovních důvodů – z mého pozorování na jednání soudím, že šlo o novináře, reportéry, kameramany apod.</w:t>
      </w:r>
      <w:r w:rsidR="00A774F9">
        <w:t xml:space="preserve"> Obě části byly od sebe </w:t>
      </w:r>
      <w:r w:rsidR="003F2165">
        <w:t>na první pohled odlišné nejen barvou pleti, ale také způsobem oblékání</w:t>
      </w:r>
      <w:r w:rsidR="00735F53">
        <w:t xml:space="preserve">m, řečí těla </w:t>
      </w:r>
      <w:r w:rsidR="003F2165">
        <w:t>atd.</w:t>
      </w:r>
      <w:r w:rsidR="00CE068D">
        <w:t xml:space="preserve"> </w:t>
      </w:r>
      <w:r w:rsidR="006972CD">
        <w:t xml:space="preserve">Ačkoliv si nemyslím, že veřejnost se na tyto dvě části rozdělila záměrně či vědomě, osobně mi toto prostorové rozdělení přišlo velmi </w:t>
      </w:r>
      <w:r w:rsidR="00EA1A2F">
        <w:t>patrné</w:t>
      </w:r>
      <w:r w:rsidR="006972CD">
        <w:t xml:space="preserve">.  </w:t>
      </w:r>
      <w:r w:rsidR="00C11C7A">
        <w:t>Když jsem viděla takto (nejspíš) podvědomě rozdělenou veřejnost, hned jsem si vybavila</w:t>
      </w:r>
      <w:r w:rsidR="006A5BEF">
        <w:t xml:space="preserve"> koncept </w:t>
      </w:r>
      <w:proofErr w:type="spellStart"/>
      <w:r w:rsidR="006A5BEF">
        <w:t>otheringu</w:t>
      </w:r>
      <w:proofErr w:type="spellEnd"/>
      <w:r w:rsidR="006A5BEF">
        <w:t xml:space="preserve"> a orientalismu rozvinutý Edwardem Saidem. Podle něj se dělí společnost na „my“ a „oni“ a na základě toho, jak vykresluje „ty druhé“, definujeme to, kdo jsme „my“. Podle Saida „těmi druhými“ bývá skupina, která je dominována mocnější skupinou, která se považuje za nadřazenější a vykresluje „ty druhé“ exoticky ale tak, aby </w:t>
      </w:r>
      <w:r w:rsidR="00AF0D39">
        <w:t xml:space="preserve">skupina „my“ </w:t>
      </w:r>
      <w:r w:rsidR="006A5BEF">
        <w:t xml:space="preserve">vzešla jako lepší.  </w:t>
      </w:r>
      <w:r w:rsidR="00AF0D39">
        <w:t>(Said</w:t>
      </w:r>
      <w:r w:rsidR="005A3E47">
        <w:t xml:space="preserve">, 2008) </w:t>
      </w:r>
    </w:p>
    <w:p w14:paraId="08FA7DBE" w14:textId="0AA71773" w:rsidR="009C3354" w:rsidRDefault="00AF0D39" w:rsidP="008632C3">
      <w:pPr>
        <w:jc w:val="both"/>
      </w:pPr>
      <w:r>
        <w:t xml:space="preserve">Skrze rozdělení na chodbě, jsem získala pocit, že určitý </w:t>
      </w:r>
      <w:proofErr w:type="spellStart"/>
      <w:r>
        <w:t>othering</w:t>
      </w:r>
      <w:proofErr w:type="spellEnd"/>
      <w:r>
        <w:t xml:space="preserve"> probíhal </w:t>
      </w:r>
      <w:r w:rsidR="005A3E47">
        <w:t xml:space="preserve">právě </w:t>
      </w:r>
      <w:r>
        <w:t xml:space="preserve">i tam. „My“ (ti vzdělaní, bílí, kteří jdou zkoumat soud) a „oni“ (Romové, kteří si jsou blízký s odsouzeným). Dalo by se to ale brát i opačně vzhledem k početnější skupině Romů. „My“ (ti, kteří jdou podpořit svého blízkého) a „oni“ (ti čmuchalové, kterých se to netýká a </w:t>
      </w:r>
      <w:r w:rsidRPr="00453AD5">
        <w:t>nemají tu co dělat</w:t>
      </w:r>
      <w:r>
        <w:t>)</w:t>
      </w:r>
      <w:r w:rsidR="005A3E47">
        <w:t xml:space="preserve">. Po vstupu do soudní místnosti se ale tyto skupiny promíchaly a spojily v jednu – veřejnost. </w:t>
      </w:r>
      <w:r w:rsidR="005A3E47" w:rsidRPr="00453AD5">
        <w:t xml:space="preserve">Ovšem přes to, že </w:t>
      </w:r>
      <w:proofErr w:type="spellStart"/>
      <w:r w:rsidR="005A3E47" w:rsidRPr="00453AD5">
        <w:t>othering</w:t>
      </w:r>
      <w:proofErr w:type="spellEnd"/>
      <w:r w:rsidR="005A3E47" w:rsidRPr="00453AD5">
        <w:t xml:space="preserve"> vůči Romům v ČR je stále výrazný a současný, soudce se podle něj </w:t>
      </w:r>
      <w:proofErr w:type="gramStart"/>
      <w:r w:rsidR="005A3E47" w:rsidRPr="00453AD5">
        <w:t>nezachoval</w:t>
      </w:r>
      <w:proofErr w:type="gramEnd"/>
      <w:r w:rsidR="005A3E47" w:rsidRPr="00453AD5">
        <w:t xml:space="preserve"> a naopak mi přišlo, že se snažil tyto hranice mezi „my“ a „oni“ překlenout skrze svojí vstřícnost. Protože přestože v soudní síni má veřejnost výhradně sedět, vzhledem k velkému počtu, třetina veřejnosti musela stát, přičemž soudce to okomentoval tak, že by muse</w:t>
      </w:r>
      <w:r w:rsidR="00BC1300" w:rsidRPr="00453AD5">
        <w:t xml:space="preserve">l za běžných </w:t>
      </w:r>
      <w:r w:rsidR="00AB138F" w:rsidRPr="00453AD5">
        <w:t>okolností</w:t>
      </w:r>
      <w:r w:rsidR="005A3E47" w:rsidRPr="00453AD5">
        <w:t xml:space="preserve"> všechny stojící vykázat, ale neudělá</w:t>
      </w:r>
      <w:r w:rsidR="00453AD5" w:rsidRPr="00453AD5">
        <w:t xml:space="preserve"> to</w:t>
      </w:r>
      <w:r w:rsidR="005A3E47" w:rsidRPr="00453AD5">
        <w:t>. Čímž podle mého ukázal respekt k</w:t>
      </w:r>
      <w:r w:rsidR="009C3354" w:rsidRPr="00453AD5">
        <w:t> solidaritě a soudržnosti romské komunity, která se zde velkým počtem známých pana Emila projevila.</w:t>
      </w:r>
      <w:r w:rsidR="009C3354">
        <w:t xml:space="preserve"> </w:t>
      </w:r>
    </w:p>
    <w:p w14:paraId="7CEF17B4" w14:textId="593F811F" w:rsidR="009C3354" w:rsidRDefault="009C3354" w:rsidP="008632C3">
      <w:pPr>
        <w:jc w:val="both"/>
      </w:pPr>
      <w:r>
        <w:t xml:space="preserve">Očekávaně se u soudu ukázala platná řada </w:t>
      </w:r>
      <w:proofErr w:type="spellStart"/>
      <w:r>
        <w:t>Fouca</w:t>
      </w:r>
      <w:r w:rsidR="001520B7">
        <w:t>u</w:t>
      </w:r>
      <w:r>
        <w:t>ltových</w:t>
      </w:r>
      <w:proofErr w:type="spellEnd"/>
      <w:r>
        <w:t xml:space="preserve"> myšlenek, přičemž nejvýraznější byla přítomnost policistů, kteří představují moc a autoritu a skrz jejich </w:t>
      </w:r>
      <w:r w:rsidR="004463F0">
        <w:t xml:space="preserve">přítomnost je zajištěna </w:t>
      </w:r>
      <w:proofErr w:type="spellStart"/>
      <w:r w:rsidR="004463F0">
        <w:t>disciplinace</w:t>
      </w:r>
      <w:proofErr w:type="spellEnd"/>
      <w:r w:rsidR="004463F0">
        <w:t xml:space="preserve"> veřejnosti i obžalovaného. </w:t>
      </w:r>
      <w:r w:rsidR="00511DFA">
        <w:t xml:space="preserve">I </w:t>
      </w:r>
      <w:r w:rsidR="004463F0">
        <w:t>přes malý počet policistů</w:t>
      </w:r>
      <w:r w:rsidR="00266C12">
        <w:t xml:space="preserve"> v místnosti</w:t>
      </w:r>
      <w:r w:rsidR="004463F0">
        <w:t xml:space="preserve">, jejich přítomnost a dohled stačil k téměř perfektnímu disciplinování </w:t>
      </w:r>
      <w:r w:rsidR="00511DFA">
        <w:t>všech zúčastněných</w:t>
      </w:r>
      <w:r w:rsidR="00511DFA">
        <w:rPr>
          <w:i/>
          <w:iCs/>
        </w:rPr>
        <w:t xml:space="preserve">. </w:t>
      </w:r>
      <w:r w:rsidR="00511DFA">
        <w:t xml:space="preserve">Prostorové uspořádání soudu odpovídalo </w:t>
      </w:r>
      <w:proofErr w:type="spellStart"/>
      <w:r w:rsidR="00511DFA">
        <w:t>panoptikonu</w:t>
      </w:r>
      <w:proofErr w:type="spellEnd"/>
      <w:r w:rsidR="00511DFA">
        <w:t xml:space="preserve">, a tudíž potvrzovalo moc, autoritu a dohled soudce. Přestože místnost nebyla klasicky </w:t>
      </w:r>
      <w:proofErr w:type="spellStart"/>
      <w:r w:rsidR="00511DFA">
        <w:t>panoptická</w:t>
      </w:r>
      <w:proofErr w:type="spellEnd"/>
      <w:r w:rsidR="00511DFA">
        <w:t xml:space="preserve"> (kruhová a ve středu soudce), její rozložení plnilo účel stejně. Soudce a senát, přestože seděl, měl dohled nad celou místností, protože seděl na začátku </w:t>
      </w:r>
      <w:r w:rsidR="00F47775">
        <w:t>místnosti</w:t>
      </w:r>
      <w:r w:rsidR="00511DFA">
        <w:t xml:space="preserve">, na vyvýšené lavici, tak aby viděli všem přítomným do obličeje (což ostatní neviděli). </w:t>
      </w:r>
      <w:r w:rsidR="00511DFA">
        <w:lastRenderedPageBreak/>
        <w:t>Tím, že seděli výrazně výše než zbytek přítomnýc</w:t>
      </w:r>
      <w:r w:rsidR="006D2DF2">
        <w:t>h</w:t>
      </w:r>
      <w:r w:rsidR="00511DFA">
        <w:t>, se potvrzovala jejich autorita a moc</w:t>
      </w:r>
      <w:r w:rsidR="006D2DF2">
        <w:t>. (</w:t>
      </w:r>
      <w:proofErr w:type="spellStart"/>
      <w:r w:rsidR="006D2DF2">
        <w:t>Foucault</w:t>
      </w:r>
      <w:proofErr w:type="spellEnd"/>
      <w:r w:rsidR="006D2DF2">
        <w:t>, 2000)</w:t>
      </w:r>
    </w:p>
    <w:p w14:paraId="3FC1E992" w14:textId="49BCED91" w:rsidR="009A4B29" w:rsidRPr="001104EB" w:rsidRDefault="009A4B29" w:rsidP="008632C3">
      <w:pPr>
        <w:jc w:val="both"/>
        <w:rPr>
          <w:color w:val="FF0000"/>
        </w:rPr>
      </w:pPr>
      <w:r>
        <w:t xml:space="preserve">Při pauze, která proběhla v rámci jednání, se všichni zúčastnění (kromě soudce a senátu) opět ocitli na již zmiňované chodbě. Spolu s veřejnostní </w:t>
      </w:r>
      <w:r w:rsidRPr="001104EB">
        <w:t>tak</w:t>
      </w:r>
      <w:r>
        <w:t xml:space="preserve"> čekal i státní zástupce a advokát. Advokát se na chodbě zapojil do </w:t>
      </w:r>
      <w:r w:rsidR="00BF308D">
        <w:t>konverzace</w:t>
      </w:r>
      <w:r>
        <w:t xml:space="preserve"> s rodinou obžalovaného</w:t>
      </w:r>
      <w:r w:rsidR="001104EB">
        <w:t>,</w:t>
      </w:r>
      <w:r>
        <w:t xml:space="preserve"> a přestože mluvili potichu, stála jsem dostatečně blízko na to, abych konverzaci slyšela. Advokát při opuštění soudní místnosti vyměnil svoji „masku“ (jak by řekl </w:t>
      </w:r>
      <w:proofErr w:type="spellStart"/>
      <w:r>
        <w:t>Erving</w:t>
      </w:r>
      <w:proofErr w:type="spellEnd"/>
      <w:r>
        <w:t xml:space="preserve"> </w:t>
      </w:r>
      <w:proofErr w:type="spellStart"/>
      <w:r>
        <w:t>Goffman</w:t>
      </w:r>
      <w:proofErr w:type="spellEnd"/>
      <w:r>
        <w:t>) formálního</w:t>
      </w:r>
      <w:r w:rsidR="00C55463">
        <w:t xml:space="preserve"> </w:t>
      </w:r>
      <w:r w:rsidR="00C55463" w:rsidRPr="001104EB">
        <w:t xml:space="preserve">odborníka </w:t>
      </w:r>
      <w:r w:rsidR="00C55463">
        <w:t xml:space="preserve">za masku jakéhosi zachránce obyčejného lidu, kterou si nasadil při </w:t>
      </w:r>
      <w:r w:rsidR="00E3798B">
        <w:t>konverzaci</w:t>
      </w:r>
      <w:r w:rsidR="00C55463">
        <w:t xml:space="preserve"> s rodinou. V té mluvil slangem typickým pro nižší třídu, používal velmi explicitní výrazy a kritizoval soudy obecně za to, (parafrázuji) že „</w:t>
      </w:r>
      <w:proofErr w:type="spellStart"/>
      <w:r w:rsidR="00C55463">
        <w:t>chcou</w:t>
      </w:r>
      <w:proofErr w:type="spellEnd"/>
      <w:r w:rsidR="00C55463">
        <w:t xml:space="preserve"> z lidí dostat jen co nejvíc </w:t>
      </w:r>
      <w:proofErr w:type="gramStart"/>
      <w:r w:rsidR="00C55463">
        <w:t>prachů</w:t>
      </w:r>
      <w:proofErr w:type="gramEnd"/>
      <w:r w:rsidR="00C55463">
        <w:t xml:space="preserve"> a tak furt </w:t>
      </w:r>
      <w:proofErr w:type="spellStart"/>
      <w:r w:rsidR="00C55463">
        <w:t>protahujou</w:t>
      </w:r>
      <w:proofErr w:type="spellEnd"/>
      <w:r w:rsidR="00C55463">
        <w:t xml:space="preserve"> všechno co můžou“, tvrdil ale, že on je jiný</w:t>
      </w:r>
      <w:r w:rsidR="00A50D59">
        <w:t xml:space="preserve"> a</w:t>
      </w:r>
      <w:r w:rsidR="00C55463">
        <w:t xml:space="preserve"> případ nechce protahovat</w:t>
      </w:r>
      <w:r w:rsidR="00AD2FA2">
        <w:t>, protože by tím</w:t>
      </w:r>
      <w:r w:rsidR="00C55463">
        <w:t xml:space="preserve"> zatíži</w:t>
      </w:r>
      <w:r w:rsidR="00AD2FA2">
        <w:t>l</w:t>
      </w:r>
      <w:r w:rsidR="00C55463">
        <w:t xml:space="preserve"> rodinu finančně i emočně ještě více. Navíc, že má případů sám mnoho. Poté se advokát přemístil o kousek dál a dal se do řeči se státním zástupcem. Opět byla vidět změna „masky“. Přestože jsem nyní </w:t>
      </w:r>
      <w:r w:rsidR="00347617">
        <w:t>konverzaci</w:t>
      </w:r>
      <w:r w:rsidR="00C55463">
        <w:t xml:space="preserve"> nerozuměla tolik, přišlo mi, že advokát opět změnil i </w:t>
      </w:r>
      <w:r w:rsidR="009F6147">
        <w:t>slang,</w:t>
      </w:r>
      <w:r w:rsidR="00C55463">
        <w:t xml:space="preserve"> kterým mluvil</w:t>
      </w:r>
      <w:r w:rsidR="00DF3A2B">
        <w:t>,</w:t>
      </w:r>
      <w:r w:rsidR="00C55463">
        <w:t xml:space="preserve"> a </w:t>
      </w:r>
      <w:r w:rsidR="009F6147">
        <w:t xml:space="preserve">se státním zástupcem hovořil o případu tak, jako kdyby seděl v hospodě u piva se svým spolužákem z práv a řešil s ním svůj úkol. Z konverzace ovšem vyplynulo, že se sice </w:t>
      </w:r>
      <w:proofErr w:type="gramStart"/>
      <w:r w:rsidR="009F6147">
        <w:t>snaží</w:t>
      </w:r>
      <w:proofErr w:type="gramEnd"/>
      <w:r w:rsidR="009F6147">
        <w:t xml:space="preserve">, aby případ dopadl pro obžalovaného dobře, ale rozhodně mu jeho osud neleží na srdci tolik, jako to prezentoval rodině. Myslím, že změny chování advokáta jsou krásným příkladem </w:t>
      </w:r>
      <w:proofErr w:type="spellStart"/>
      <w:r w:rsidR="009F6147">
        <w:t>Goffmanovy</w:t>
      </w:r>
      <w:proofErr w:type="spellEnd"/>
      <w:r w:rsidR="009F6147">
        <w:t xml:space="preserve"> analogie divadla, rolí a masek. Advokát hrál takovou roli, která po něm v tu chvíli byla požadována a jeho opravdové chování a to, co „skrývá pod maskou“ ani poznat nemůžeme, protože jsme byli na jevišti, nikoliv v zákulisí. (</w:t>
      </w:r>
      <w:proofErr w:type="spellStart"/>
      <w:r w:rsidR="009F6147">
        <w:t>Goffman</w:t>
      </w:r>
      <w:proofErr w:type="spellEnd"/>
      <w:r w:rsidR="009F6147">
        <w:t xml:space="preserve">, 1999) </w:t>
      </w:r>
    </w:p>
    <w:p w14:paraId="04FAC67C" w14:textId="6D9376FE" w:rsidR="009F6147" w:rsidRDefault="009F6147" w:rsidP="008632C3">
      <w:pPr>
        <w:jc w:val="both"/>
      </w:pPr>
      <w:r>
        <w:t xml:space="preserve">Poslední ze sociologických konceptů, který tu zmíním, je </w:t>
      </w:r>
      <w:r w:rsidR="00662B81" w:rsidRPr="00D75F7D">
        <w:t>odbourání</w:t>
      </w:r>
      <w:r w:rsidRPr="00D75F7D">
        <w:t xml:space="preserve"> </w:t>
      </w:r>
      <w:r>
        <w:t xml:space="preserve">genderových stereotypů. </w:t>
      </w:r>
      <w:r w:rsidR="00420DD6">
        <w:t>Gender je něco, co se „dělá“</w:t>
      </w:r>
      <w:r w:rsidR="00E37FF5">
        <w:t xml:space="preserve"> </w:t>
      </w:r>
      <w:r w:rsidR="00420DD6">
        <w:t>(</w:t>
      </w:r>
      <w:proofErr w:type="spellStart"/>
      <w:r w:rsidR="00420DD6">
        <w:t>doing</w:t>
      </w:r>
      <w:proofErr w:type="spellEnd"/>
      <w:r w:rsidR="00420DD6">
        <w:t xml:space="preserve"> gender). </w:t>
      </w:r>
      <w:r w:rsidR="00CB4B4B" w:rsidRPr="00662B81">
        <w:t>Určit</w:t>
      </w:r>
      <w:r w:rsidR="00D75F7D">
        <w:t>é</w:t>
      </w:r>
      <w:r w:rsidR="00420DD6" w:rsidRPr="00662B81">
        <w:t xml:space="preserve"> chování, přístup, oblékání, </w:t>
      </w:r>
      <w:proofErr w:type="gramStart"/>
      <w:r w:rsidR="00420DD6" w:rsidRPr="00662B81">
        <w:t>mluva,…</w:t>
      </w:r>
      <w:proofErr w:type="gramEnd"/>
      <w:r w:rsidR="00420DD6" w:rsidRPr="00662B81">
        <w:t xml:space="preserve"> je sociálně a </w:t>
      </w:r>
      <w:r w:rsidR="00BD71DC" w:rsidRPr="00662B81">
        <w:t>kulturně</w:t>
      </w:r>
      <w:r w:rsidR="00420DD6" w:rsidRPr="00662B81">
        <w:t xml:space="preserve"> vnímáno jako maskulinní či </w:t>
      </w:r>
      <w:proofErr w:type="spellStart"/>
      <w:r w:rsidR="00420DD6" w:rsidRPr="00662B81">
        <w:t>femi</w:t>
      </w:r>
      <w:r w:rsidR="00BD71DC">
        <w:t>n</w:t>
      </w:r>
      <w:r w:rsidR="00420DD6" w:rsidRPr="00662B81">
        <w:t>ní</w:t>
      </w:r>
      <w:proofErr w:type="spellEnd"/>
      <w:r w:rsidR="00420DD6" w:rsidRPr="00662B81">
        <w:t xml:space="preserve">, tudíž podle toho, jak je naše chování vnímáno a které aktivně </w:t>
      </w:r>
      <w:r w:rsidR="00420DD6" w:rsidRPr="002F4558">
        <w:t>volíme</w:t>
      </w:r>
      <w:r w:rsidR="00420DD6" w:rsidRPr="00662B81">
        <w:t xml:space="preserve">, děláme náš gender. A s tím se pojí řada genderových </w:t>
      </w:r>
      <w:r w:rsidR="00420DD6" w:rsidRPr="002F4558">
        <w:t>stereotypů</w:t>
      </w:r>
      <w:r w:rsidR="00420DD6" w:rsidRPr="00662B81">
        <w:t>, podle kterých muži a ženy dělají něco, čímž potvrzují svoji maskulinitu/feminitu. Také mohou ale chováním, které jde proti genderovým stereotypům „</w:t>
      </w:r>
      <w:proofErr w:type="spellStart"/>
      <w:r w:rsidR="00420DD6" w:rsidRPr="00662B81">
        <w:t>undo</w:t>
      </w:r>
      <w:proofErr w:type="spellEnd"/>
      <w:r w:rsidR="00420DD6" w:rsidRPr="00662B81">
        <w:t xml:space="preserve"> gender“ (</w:t>
      </w:r>
      <w:r w:rsidR="00662B81" w:rsidRPr="00662B81">
        <w:t>nejsem si jistá překladem, přeložila bych jak</w:t>
      </w:r>
      <w:r w:rsidR="0091034C">
        <w:t>o</w:t>
      </w:r>
      <w:r w:rsidR="00662B81" w:rsidRPr="00662B81">
        <w:t xml:space="preserve"> odbourat gender?)</w:t>
      </w:r>
      <w:r w:rsidR="00662B81">
        <w:t>.</w:t>
      </w:r>
      <w:r w:rsidR="00A93372">
        <w:t xml:space="preserve"> (</w:t>
      </w:r>
      <w:proofErr w:type="spellStart"/>
      <w:r w:rsidR="00A93372">
        <w:t>West</w:t>
      </w:r>
      <w:proofErr w:type="spellEnd"/>
      <w:r w:rsidR="00A93372">
        <w:t xml:space="preserve">, </w:t>
      </w:r>
      <w:proofErr w:type="spellStart"/>
      <w:r w:rsidR="00A93372">
        <w:t>Zimmerman</w:t>
      </w:r>
      <w:proofErr w:type="spellEnd"/>
      <w:r w:rsidR="00A93372">
        <w:t>, 1987)</w:t>
      </w:r>
      <w:r w:rsidR="00662B81">
        <w:t xml:space="preserve"> A přesně takového </w:t>
      </w:r>
      <w:r w:rsidR="0091034C">
        <w:t>„</w:t>
      </w:r>
      <w:proofErr w:type="spellStart"/>
      <w:r w:rsidR="00662B81">
        <w:t>undoing</w:t>
      </w:r>
      <w:proofErr w:type="spellEnd"/>
      <w:r w:rsidR="00662B81">
        <w:t xml:space="preserve"> gender</w:t>
      </w:r>
      <w:proofErr w:type="gramStart"/>
      <w:r w:rsidR="0091034C">
        <w:t>“</w:t>
      </w:r>
      <w:r w:rsidR="00662B81">
        <w:t xml:space="preserve"> </w:t>
      </w:r>
      <w:r w:rsidR="00662B81" w:rsidRPr="00791150">
        <w:rPr>
          <w:color w:val="FF0000"/>
        </w:rPr>
        <w:t xml:space="preserve"> </w:t>
      </w:r>
      <w:r w:rsidR="00662B81">
        <w:t>jsme</w:t>
      </w:r>
      <w:proofErr w:type="gramEnd"/>
      <w:r w:rsidR="00662B81">
        <w:t xml:space="preserve"> byli svědkem. Při</w:t>
      </w:r>
      <w:r w:rsidR="00A93372">
        <w:t xml:space="preserve"> své</w:t>
      </w:r>
      <w:r w:rsidR="00662B81">
        <w:t xml:space="preserve"> závěrečné řeči </w:t>
      </w:r>
      <w:r w:rsidR="00A93372">
        <w:t>obžalovaný litoval svého činu</w:t>
      </w:r>
      <w:r w:rsidR="00380138">
        <w:t>,</w:t>
      </w:r>
      <w:r w:rsidR="00A93372">
        <w:t xml:space="preserve"> a dokonce se i rozbrečel, přičemž ale jeho pláč byl táhlý a trval poměrně dlouho. Tím šel proti genderovému stereotypu toho, že muži napláčou. Velmi mě to překvapilo, protože (podle informací co jsem získala při studiu) </w:t>
      </w:r>
      <w:r w:rsidR="009621C3" w:rsidRPr="009621C3">
        <w:t>R</w:t>
      </w:r>
      <w:r w:rsidR="00A93372" w:rsidRPr="009621C3">
        <w:t xml:space="preserve">omové </w:t>
      </w:r>
      <w:r w:rsidR="00A93372">
        <w:t>udržují tradiční genderové role (a s tím i stereotypy) výrazněji než majoritní česká společnost. V tu chvíli ale nejspíše pan Emil usoudil, že projevit své emoce, pláč a případně je trochu zvýraznit</w:t>
      </w:r>
      <w:r w:rsidR="00E12B2F">
        <w:t>,</w:t>
      </w:r>
      <w:r w:rsidR="00A93372">
        <w:t xml:space="preserve"> bude v danou chvíli užitečnější než být „správný chlap“. </w:t>
      </w:r>
    </w:p>
    <w:p w14:paraId="40DB1F7C" w14:textId="6D5CB4F3" w:rsidR="00A93372" w:rsidRDefault="00A93372" w:rsidP="008632C3">
      <w:pPr>
        <w:jc w:val="both"/>
      </w:pPr>
      <w:r>
        <w:t xml:space="preserve">Abych závěrem shrnula návštěvu soudu, byla to pro mě jakožto člověka, který soud předtím nenavštívil, velmi obohacující zkušenost. Přišlo mi fascinující (a přiznám se, i trochu děsivé) sledovat, jak jeden okamžik změní jednotlivci i jeho okolí celý život. Zároveň prostředí soudu nabízelo opravdu širokou škálu situací, které </w:t>
      </w:r>
      <w:r w:rsidR="00C76AE5">
        <w:t xml:space="preserve">se daly interpretovat </w:t>
      </w:r>
      <w:r w:rsidR="00E12B2F">
        <w:t>skrz sociologické</w:t>
      </w:r>
      <w:r w:rsidR="00C76AE5">
        <w:t>/</w:t>
      </w:r>
      <w:r w:rsidR="009E743D">
        <w:t>antropologické</w:t>
      </w:r>
      <w:r w:rsidR="00C76AE5">
        <w:t xml:space="preserve"> brýle. </w:t>
      </w:r>
    </w:p>
    <w:p w14:paraId="49149475" w14:textId="77777777" w:rsidR="00C76AE5" w:rsidRDefault="00C76AE5" w:rsidP="008632C3">
      <w:pPr>
        <w:jc w:val="both"/>
      </w:pPr>
    </w:p>
    <w:p w14:paraId="6A207196" w14:textId="77777777" w:rsidR="00B602C9" w:rsidRDefault="00B602C9" w:rsidP="008632C3">
      <w:pPr>
        <w:jc w:val="both"/>
      </w:pPr>
    </w:p>
    <w:p w14:paraId="4F7CFB50" w14:textId="77777777" w:rsidR="00B602C9" w:rsidRDefault="00B602C9" w:rsidP="008632C3">
      <w:pPr>
        <w:jc w:val="both"/>
      </w:pPr>
    </w:p>
    <w:p w14:paraId="15F645C4" w14:textId="77777777" w:rsidR="00B602C9" w:rsidRDefault="00B602C9" w:rsidP="008632C3">
      <w:pPr>
        <w:jc w:val="both"/>
      </w:pPr>
    </w:p>
    <w:p w14:paraId="407EEDA3" w14:textId="2CD2FE9A" w:rsidR="001520B7" w:rsidRDefault="00C76AE5" w:rsidP="008632C3">
      <w:pPr>
        <w:jc w:val="both"/>
      </w:pPr>
      <w:r>
        <w:t>Použitá literatura</w:t>
      </w:r>
      <w:r w:rsidR="001520B7">
        <w:t>:</w:t>
      </w:r>
    </w:p>
    <w:p w14:paraId="7A39F0DF" w14:textId="4623EB40" w:rsidR="00DC377E" w:rsidRDefault="00DC377E" w:rsidP="008632C3">
      <w:pPr>
        <w:jc w:val="both"/>
      </w:pPr>
      <w:proofErr w:type="spellStart"/>
      <w:r w:rsidRPr="00DC377E">
        <w:t>Foucault</w:t>
      </w:r>
      <w:proofErr w:type="spellEnd"/>
      <w:r w:rsidRPr="00DC377E">
        <w:t>, M. 2000. </w:t>
      </w:r>
      <w:r w:rsidRPr="00DC377E">
        <w:rPr>
          <w:i/>
          <w:iCs/>
        </w:rPr>
        <w:t xml:space="preserve">Dohlížet a </w:t>
      </w:r>
      <w:proofErr w:type="gramStart"/>
      <w:r w:rsidRPr="00DC377E">
        <w:rPr>
          <w:i/>
          <w:iCs/>
        </w:rPr>
        <w:t>trestat :</w:t>
      </w:r>
      <w:proofErr w:type="gramEnd"/>
      <w:r w:rsidRPr="00DC377E">
        <w:rPr>
          <w:i/>
          <w:iCs/>
        </w:rPr>
        <w:t xml:space="preserve"> kniha o zrodu vězení</w:t>
      </w:r>
      <w:r w:rsidRPr="00DC377E">
        <w:t>. 10. sv. Praha: Dauphin.</w:t>
      </w:r>
      <w:r>
        <w:t xml:space="preserve"> </w:t>
      </w:r>
    </w:p>
    <w:p w14:paraId="279FD74F" w14:textId="22E9B10C" w:rsidR="001520B7" w:rsidRDefault="001520B7" w:rsidP="008632C3">
      <w:pPr>
        <w:jc w:val="both"/>
      </w:pPr>
      <w:proofErr w:type="spellStart"/>
      <w:r w:rsidRPr="001520B7">
        <w:t>Goffman</w:t>
      </w:r>
      <w:proofErr w:type="spellEnd"/>
      <w:r w:rsidRPr="001520B7">
        <w:t>, E. 1999. </w:t>
      </w:r>
      <w:r w:rsidRPr="001520B7">
        <w:rPr>
          <w:i/>
          <w:iCs/>
        </w:rPr>
        <w:t xml:space="preserve">Všichni hrajeme </w:t>
      </w:r>
      <w:proofErr w:type="gramStart"/>
      <w:r w:rsidRPr="001520B7">
        <w:rPr>
          <w:i/>
          <w:iCs/>
        </w:rPr>
        <w:t>divadlo :</w:t>
      </w:r>
      <w:proofErr w:type="gramEnd"/>
      <w:r w:rsidRPr="001520B7">
        <w:rPr>
          <w:i/>
          <w:iCs/>
        </w:rPr>
        <w:t xml:space="preserve"> sebeprezentace v každodenním životě</w:t>
      </w:r>
      <w:r w:rsidRPr="001520B7">
        <w:t>. Praha: Nakladatelství Studia Ypsilon.</w:t>
      </w:r>
    </w:p>
    <w:p w14:paraId="359E1246" w14:textId="67C754B6" w:rsidR="00DC377E" w:rsidRDefault="00DC377E" w:rsidP="008632C3">
      <w:pPr>
        <w:jc w:val="both"/>
      </w:pPr>
      <w:r w:rsidRPr="00DC377E">
        <w:t>Said, E. W. 2008. </w:t>
      </w:r>
      <w:r w:rsidRPr="00DC377E">
        <w:rPr>
          <w:i/>
          <w:iCs/>
        </w:rPr>
        <w:t>Orientalismus: západní koncepce Orientu</w:t>
      </w:r>
      <w:r w:rsidRPr="00DC377E">
        <w:t>. Praha: Paseka.</w:t>
      </w:r>
    </w:p>
    <w:p w14:paraId="44F47EEF" w14:textId="4614D0EC" w:rsidR="001520B7" w:rsidRDefault="001520B7" w:rsidP="008632C3">
      <w:pPr>
        <w:jc w:val="both"/>
      </w:pPr>
      <w:proofErr w:type="spellStart"/>
      <w:r w:rsidRPr="001520B7">
        <w:t>West</w:t>
      </w:r>
      <w:proofErr w:type="spellEnd"/>
      <w:r w:rsidRPr="001520B7">
        <w:t xml:space="preserve">, C., D. H. </w:t>
      </w:r>
      <w:proofErr w:type="spellStart"/>
      <w:r w:rsidRPr="001520B7">
        <w:t>Zimmerman</w:t>
      </w:r>
      <w:proofErr w:type="spellEnd"/>
      <w:r w:rsidRPr="001520B7">
        <w:t>. 1987. „</w:t>
      </w:r>
      <w:proofErr w:type="spellStart"/>
      <w:r w:rsidRPr="001520B7">
        <w:t>Doing</w:t>
      </w:r>
      <w:proofErr w:type="spellEnd"/>
      <w:r w:rsidRPr="001520B7">
        <w:t xml:space="preserve"> gender." </w:t>
      </w:r>
      <w:r w:rsidRPr="001520B7">
        <w:rPr>
          <w:i/>
          <w:iCs/>
        </w:rPr>
        <w:t>SAGE</w:t>
      </w:r>
      <w:r w:rsidRPr="001520B7">
        <w:t>: pp. 125-151.</w:t>
      </w:r>
    </w:p>
    <w:p w14:paraId="69F43556" w14:textId="77777777" w:rsidR="001520B7" w:rsidRPr="00662B81" w:rsidRDefault="001520B7" w:rsidP="008632C3">
      <w:pPr>
        <w:jc w:val="both"/>
      </w:pPr>
    </w:p>
    <w:sectPr w:rsidR="001520B7" w:rsidRPr="00662B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B4618" w14:textId="77777777" w:rsidR="00CE118D" w:rsidRDefault="00CE118D" w:rsidP="001520B7">
      <w:pPr>
        <w:spacing w:before="0"/>
      </w:pPr>
      <w:r>
        <w:separator/>
      </w:r>
    </w:p>
  </w:endnote>
  <w:endnote w:type="continuationSeparator" w:id="0">
    <w:p w14:paraId="31D3BEB8" w14:textId="77777777" w:rsidR="00CE118D" w:rsidRDefault="00CE118D" w:rsidP="001520B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65B13" w14:textId="77777777" w:rsidR="00CE118D" w:rsidRDefault="00CE118D" w:rsidP="001520B7">
      <w:pPr>
        <w:spacing w:before="0"/>
      </w:pPr>
      <w:r>
        <w:separator/>
      </w:r>
    </w:p>
  </w:footnote>
  <w:footnote w:type="continuationSeparator" w:id="0">
    <w:p w14:paraId="6B28CE6C" w14:textId="77777777" w:rsidR="00CE118D" w:rsidRDefault="00CE118D" w:rsidP="001520B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AB99F" w14:textId="655AD85C" w:rsidR="00357318" w:rsidRDefault="00357318">
    <w:pPr>
      <w:pStyle w:val="Zhlav"/>
    </w:pPr>
    <w:r>
      <w:tab/>
    </w:r>
    <w:r>
      <w:tab/>
      <w:t>Karolína Landová, 535990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9614A"/>
    <w:multiLevelType w:val="hybridMultilevel"/>
    <w:tmpl w:val="6860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427A5"/>
    <w:multiLevelType w:val="hybridMultilevel"/>
    <w:tmpl w:val="D908842E"/>
    <w:lvl w:ilvl="0" w:tplc="D96233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9338528">
    <w:abstractNumId w:val="0"/>
  </w:num>
  <w:num w:numId="2" w16cid:durableId="579561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9C"/>
    <w:rsid w:val="001104EB"/>
    <w:rsid w:val="001520B7"/>
    <w:rsid w:val="0018777C"/>
    <w:rsid w:val="001E4610"/>
    <w:rsid w:val="001E54D7"/>
    <w:rsid w:val="00225534"/>
    <w:rsid w:val="00266C12"/>
    <w:rsid w:val="002F4558"/>
    <w:rsid w:val="00347617"/>
    <w:rsid w:val="003523CE"/>
    <w:rsid w:val="00357318"/>
    <w:rsid w:val="00375806"/>
    <w:rsid w:val="00380138"/>
    <w:rsid w:val="00386A3B"/>
    <w:rsid w:val="003938AE"/>
    <w:rsid w:val="003B0306"/>
    <w:rsid w:val="003F2165"/>
    <w:rsid w:val="00420DD6"/>
    <w:rsid w:val="004463F0"/>
    <w:rsid w:val="004505AC"/>
    <w:rsid w:val="00451D9C"/>
    <w:rsid w:val="00453AD5"/>
    <w:rsid w:val="00485E3E"/>
    <w:rsid w:val="004F2179"/>
    <w:rsid w:val="00511DFA"/>
    <w:rsid w:val="00567014"/>
    <w:rsid w:val="005A3E47"/>
    <w:rsid w:val="005C76F7"/>
    <w:rsid w:val="00662B81"/>
    <w:rsid w:val="0067753F"/>
    <w:rsid w:val="006972CD"/>
    <w:rsid w:val="006A327C"/>
    <w:rsid w:val="006A5BEF"/>
    <w:rsid w:val="006D2DF2"/>
    <w:rsid w:val="006E2104"/>
    <w:rsid w:val="006E33FA"/>
    <w:rsid w:val="0072030E"/>
    <w:rsid w:val="00735F53"/>
    <w:rsid w:val="00746239"/>
    <w:rsid w:val="00771F7C"/>
    <w:rsid w:val="00791150"/>
    <w:rsid w:val="008632C3"/>
    <w:rsid w:val="00896BD4"/>
    <w:rsid w:val="008F50BA"/>
    <w:rsid w:val="0091034C"/>
    <w:rsid w:val="00920405"/>
    <w:rsid w:val="009621C3"/>
    <w:rsid w:val="009A095A"/>
    <w:rsid w:val="009A4B29"/>
    <w:rsid w:val="009C3354"/>
    <w:rsid w:val="009E743D"/>
    <w:rsid w:val="009F6147"/>
    <w:rsid w:val="00A027A2"/>
    <w:rsid w:val="00A402BC"/>
    <w:rsid w:val="00A50D59"/>
    <w:rsid w:val="00A745B8"/>
    <w:rsid w:val="00A75780"/>
    <w:rsid w:val="00A774F9"/>
    <w:rsid w:val="00A93372"/>
    <w:rsid w:val="00AB138F"/>
    <w:rsid w:val="00AD2617"/>
    <w:rsid w:val="00AD2FA2"/>
    <w:rsid w:val="00AF0D39"/>
    <w:rsid w:val="00B1513E"/>
    <w:rsid w:val="00B602C9"/>
    <w:rsid w:val="00B747C6"/>
    <w:rsid w:val="00BA0E61"/>
    <w:rsid w:val="00BC1300"/>
    <w:rsid w:val="00BD71DC"/>
    <w:rsid w:val="00BF308D"/>
    <w:rsid w:val="00C11C7A"/>
    <w:rsid w:val="00C55463"/>
    <w:rsid w:val="00C5632B"/>
    <w:rsid w:val="00C76AE5"/>
    <w:rsid w:val="00CB4B4B"/>
    <w:rsid w:val="00CD170A"/>
    <w:rsid w:val="00CE068D"/>
    <w:rsid w:val="00CE118D"/>
    <w:rsid w:val="00D254A8"/>
    <w:rsid w:val="00D52F03"/>
    <w:rsid w:val="00D75F7D"/>
    <w:rsid w:val="00DC377E"/>
    <w:rsid w:val="00DF3A2B"/>
    <w:rsid w:val="00E05757"/>
    <w:rsid w:val="00E12B2F"/>
    <w:rsid w:val="00E3798B"/>
    <w:rsid w:val="00E37FF5"/>
    <w:rsid w:val="00E725D8"/>
    <w:rsid w:val="00EA1A2F"/>
    <w:rsid w:val="00EC1890"/>
    <w:rsid w:val="00EC65E9"/>
    <w:rsid w:val="00F16622"/>
    <w:rsid w:val="00F4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5104"/>
  <w15:chartTrackingRefBased/>
  <w15:docId w15:val="{F061789A-E9AF-4293-9422-E9B1E7B6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1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1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1D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1D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51D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51D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51D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51D9C"/>
    <w:pPr>
      <w:keepNext/>
      <w:keepLines/>
      <w:spacing w:before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51D9C"/>
    <w:pPr>
      <w:keepNext/>
      <w:keepLines/>
      <w:spacing w:before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1D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51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1D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51D9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51D9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51D9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51D9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51D9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51D9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51D9C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51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51D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51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51D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51D9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51D9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51D9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51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51D9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51D9C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1520B7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1520B7"/>
  </w:style>
  <w:style w:type="paragraph" w:styleId="Zpat">
    <w:name w:val="footer"/>
    <w:basedOn w:val="Normln"/>
    <w:link w:val="ZpatChar"/>
    <w:uiPriority w:val="99"/>
    <w:unhideWhenUsed/>
    <w:rsid w:val="001520B7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152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1159</Words>
  <Characters>6842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kajous.landova@seznam.cz</dc:creator>
  <cp:keywords/>
  <dc:description/>
  <cp:lastModifiedBy>kajous.landova@seznam.cz</cp:lastModifiedBy>
  <cp:revision>62</cp:revision>
  <dcterms:created xsi:type="dcterms:W3CDTF">2024-11-07T08:39:00Z</dcterms:created>
  <dcterms:modified xsi:type="dcterms:W3CDTF">2024-11-11T15:33:00Z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zotero-version="7.0.7"&gt;&lt;session id="QhNhtAD0"/&gt;&lt;style id="http://www.zotero.org/styles/american-sociological-association" locale="cs-CZ" hasBibliography="1" bibliographyStyleHasBeenSet="0"/&gt;&lt;prefs&gt;&lt;pref name="fieldType" value="Field</vt:lpwstr>
  </property>
  <property fmtid="{D5CDD505-2E9C-101B-9397-08002B2CF9AE}" pid="3" name="ZOTERO_PREF_2">
    <vt:lpwstr>"/&gt;&lt;pref name="automaticJournalAbbreviations" value="true"/&gt;&lt;/prefs&gt;&lt;/data&gt;</vt:lpwstr>
  </property>
</Properties>
</file>