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CC" w:rsidRDefault="009A29CC" w:rsidP="009A29CC">
      <w:pPr>
        <w:pStyle w:val="Bezmezer"/>
        <w:spacing w:line="360" w:lineRule="auto"/>
        <w:ind w:left="708"/>
        <w:jc w:val="center"/>
        <w:rPr>
          <w:rFonts w:ascii="Times New Roman" w:hAnsi="Times New Roman" w:cs="Times New Roman"/>
          <w:b/>
          <w:caps/>
          <w:sz w:val="28"/>
          <w:szCs w:val="28"/>
          <w:lang w:val="en-GB"/>
        </w:rPr>
      </w:pPr>
      <w:r w:rsidRPr="009A29CC">
        <w:rPr>
          <w:rFonts w:ascii="Times New Roman" w:hAnsi="Times New Roman" w:cs="Times New Roman"/>
          <w:b/>
          <w:caps/>
          <w:sz w:val="28"/>
          <w:szCs w:val="28"/>
          <w:lang w:val="en-GB"/>
        </w:rPr>
        <w:t>Conflict rules for delicts and quasi-delicts</w:t>
      </w:r>
      <w:r w:rsidR="00785440">
        <w:rPr>
          <w:rStyle w:val="Znakapoznpodarou"/>
          <w:rFonts w:ascii="Times New Roman" w:hAnsi="Times New Roman" w:cs="Times New Roman"/>
          <w:b/>
          <w:caps/>
          <w:sz w:val="28"/>
          <w:szCs w:val="28"/>
          <w:lang w:val="en-GB"/>
        </w:rPr>
        <w:footnoteReference w:id="2"/>
      </w:r>
    </w:p>
    <w:p w:rsidR="009A29CC" w:rsidRDefault="009A29CC" w:rsidP="009A29CC">
      <w:pPr>
        <w:pStyle w:val="Bezmezer"/>
        <w:spacing w:line="360" w:lineRule="auto"/>
        <w:ind w:left="708"/>
        <w:jc w:val="center"/>
        <w:rPr>
          <w:rFonts w:ascii="Times New Roman" w:hAnsi="Times New Roman" w:cs="Times New Roman"/>
          <w:b/>
          <w:caps/>
          <w:sz w:val="24"/>
          <w:szCs w:val="24"/>
          <w:lang w:val="en-GB"/>
        </w:rPr>
      </w:pPr>
    </w:p>
    <w:p w:rsidR="009A29CC" w:rsidRDefault="009A29CC" w:rsidP="009A29CC">
      <w:pPr>
        <w:pStyle w:val="Bezmezer"/>
        <w:spacing w:line="360" w:lineRule="auto"/>
        <w:ind w:left="708"/>
        <w:jc w:val="center"/>
        <w:rPr>
          <w:rFonts w:ascii="Times New Roman" w:hAnsi="Times New Roman" w:cs="Times New Roman"/>
          <w:b/>
          <w:caps/>
          <w:sz w:val="24"/>
          <w:szCs w:val="24"/>
          <w:lang w:val="en-GB"/>
        </w:rPr>
      </w:pPr>
      <w:r>
        <w:rPr>
          <w:rFonts w:ascii="Times New Roman" w:hAnsi="Times New Roman" w:cs="Times New Roman"/>
          <w:b/>
          <w:caps/>
          <w:sz w:val="24"/>
          <w:szCs w:val="24"/>
          <w:lang w:val="en-GB"/>
        </w:rPr>
        <w:t>JIRI VALDHANS, PETRA MYSAKOVA</w:t>
      </w:r>
    </w:p>
    <w:p w:rsidR="009A29CC" w:rsidRDefault="009A29CC" w:rsidP="009A29CC">
      <w:pPr>
        <w:pStyle w:val="Bezmezer"/>
        <w:spacing w:line="360" w:lineRule="auto"/>
        <w:ind w:left="708"/>
        <w:jc w:val="center"/>
        <w:rPr>
          <w:rFonts w:ascii="Times New Roman" w:hAnsi="Times New Roman" w:cs="Times New Roman"/>
          <w:sz w:val="24"/>
          <w:szCs w:val="24"/>
          <w:lang w:val="en-GB"/>
        </w:rPr>
      </w:pPr>
      <w:r>
        <w:rPr>
          <w:rFonts w:ascii="Times New Roman" w:hAnsi="Times New Roman" w:cs="Times New Roman"/>
          <w:sz w:val="24"/>
          <w:szCs w:val="24"/>
          <w:lang w:val="en-GB"/>
        </w:rPr>
        <w:t>Faculty of Law, Masaryk University, Department of International and European Law</w:t>
      </w:r>
    </w:p>
    <w:p w:rsidR="00785440" w:rsidRDefault="00785440" w:rsidP="009A29CC">
      <w:pPr>
        <w:pStyle w:val="Bezmezer"/>
        <w:spacing w:line="360" w:lineRule="auto"/>
        <w:ind w:left="708"/>
        <w:jc w:val="center"/>
        <w:rPr>
          <w:rFonts w:ascii="Times New Roman" w:hAnsi="Times New Roman" w:cs="Times New Roman"/>
          <w:sz w:val="24"/>
          <w:szCs w:val="24"/>
          <w:lang w:val="en-GB"/>
        </w:rPr>
      </w:pPr>
    </w:p>
    <w:p w:rsidR="003534B7" w:rsidRPr="003534B7" w:rsidRDefault="003534B7" w:rsidP="009A29CC">
      <w:pPr>
        <w:pStyle w:val="Bezmezer"/>
        <w:spacing w:line="360" w:lineRule="auto"/>
        <w:ind w:left="708"/>
        <w:jc w:val="center"/>
        <w:rPr>
          <w:rFonts w:ascii="Times New Roman" w:hAnsi="Times New Roman" w:cs="Times New Roman"/>
          <w:b/>
          <w:sz w:val="24"/>
          <w:szCs w:val="24"/>
          <w:lang w:val="en-GB"/>
        </w:rPr>
      </w:pPr>
      <w:r>
        <w:rPr>
          <w:rFonts w:ascii="Times New Roman" w:hAnsi="Times New Roman" w:cs="Times New Roman"/>
          <w:b/>
          <w:sz w:val="24"/>
          <w:szCs w:val="24"/>
          <w:lang w:val="en-GB"/>
        </w:rPr>
        <w:t>DAVID SEHNALEK</w:t>
      </w:r>
    </w:p>
    <w:p w:rsidR="003534B7" w:rsidRDefault="003534B7" w:rsidP="009A29CC">
      <w:pPr>
        <w:pStyle w:val="Bezmezer"/>
        <w:spacing w:line="360" w:lineRule="auto"/>
        <w:ind w:left="708"/>
        <w:jc w:val="center"/>
        <w:rPr>
          <w:rFonts w:ascii="Times New Roman" w:hAnsi="Times New Roman" w:cs="Times New Roman"/>
          <w:sz w:val="24"/>
          <w:szCs w:val="24"/>
          <w:lang w:val="en-GB"/>
        </w:rPr>
      </w:pPr>
    </w:p>
    <w:p w:rsidR="00785440" w:rsidRDefault="00785440" w:rsidP="00785440">
      <w:pPr>
        <w:pStyle w:val="Bezmeze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Key words</w:t>
      </w:r>
    </w:p>
    <w:p w:rsidR="00785440" w:rsidRPr="00785440" w:rsidRDefault="00785440"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sidRPr="00785440">
        <w:rPr>
          <w:rFonts w:ascii="Times New Roman" w:hAnsi="Times New Roman" w:cs="Times New Roman"/>
          <w:sz w:val="24"/>
          <w:szCs w:val="24"/>
          <w:lang w:val="en-GB"/>
        </w:rPr>
        <w:t xml:space="preserve">Conflict rule, delict, tort, non-contractual obligation,  private international law, Rome II, choice of law, unfair competition, </w:t>
      </w:r>
      <w:r>
        <w:rPr>
          <w:rFonts w:ascii="Times New Roman" w:hAnsi="Times New Roman" w:cs="Times New Roman"/>
          <w:sz w:val="24"/>
          <w:szCs w:val="24"/>
          <w:lang w:val="en-GB"/>
        </w:rPr>
        <w:t>p</w:t>
      </w:r>
      <w:r w:rsidRPr="00785440">
        <w:rPr>
          <w:rFonts w:ascii="Times New Roman" w:eastAsia="EUAlbertina-Regular-Identity-H" w:hAnsi="Times New Roman" w:cs="Times New Roman"/>
          <w:sz w:val="24"/>
          <w:szCs w:val="24"/>
          <w:lang w:val="en-GB"/>
        </w:rPr>
        <w:t>roduct liability</w:t>
      </w:r>
      <w:r>
        <w:rPr>
          <w:rFonts w:ascii="Times New Roman" w:eastAsia="EUAlbertina-Regular-Identity-H" w:hAnsi="Times New Roman" w:cs="Times New Roman"/>
          <w:sz w:val="24"/>
          <w:szCs w:val="24"/>
          <w:lang w:val="en-GB"/>
        </w:rPr>
        <w:t>, unfair competition</w:t>
      </w:r>
      <w:r w:rsidRPr="00785440">
        <w:rPr>
          <w:rFonts w:ascii="Times New Roman" w:eastAsia="EUAlbertina-Regular-Identity-H" w:hAnsi="Times New Roman" w:cs="Times New Roman"/>
          <w:sz w:val="24"/>
          <w:szCs w:val="24"/>
          <w:lang w:val="en-GB"/>
        </w:rPr>
        <w:t xml:space="preserve"> and acts restricting free competition</w:t>
      </w:r>
      <w:r>
        <w:rPr>
          <w:rFonts w:ascii="Times New Roman" w:eastAsia="EUAlbertina-Regular-Identity-H" w:hAnsi="Times New Roman" w:cs="Times New Roman"/>
          <w:sz w:val="24"/>
          <w:szCs w:val="24"/>
          <w:lang w:val="en-GB"/>
        </w:rPr>
        <w:t>, e</w:t>
      </w:r>
      <w:r w:rsidRPr="00785440">
        <w:rPr>
          <w:rFonts w:ascii="Times New Roman" w:eastAsia="EUAlbertina-Regular-Identity-H" w:hAnsi="Times New Roman" w:cs="Times New Roman"/>
          <w:sz w:val="24"/>
          <w:szCs w:val="24"/>
          <w:lang w:val="en-GB"/>
        </w:rPr>
        <w:t>nvironmental damage</w:t>
      </w:r>
      <w:r>
        <w:rPr>
          <w:rFonts w:ascii="Times New Roman" w:eastAsia="EUAlbertina-Regular-Identity-H" w:hAnsi="Times New Roman" w:cs="Times New Roman"/>
          <w:sz w:val="24"/>
          <w:szCs w:val="24"/>
          <w:lang w:val="en-GB"/>
        </w:rPr>
        <w:t>, i</w:t>
      </w:r>
      <w:r w:rsidRPr="00785440">
        <w:rPr>
          <w:rFonts w:ascii="Times New Roman" w:eastAsia="EUAlbertina-Regular-Identity-H" w:hAnsi="Times New Roman" w:cs="Times New Roman"/>
          <w:sz w:val="24"/>
          <w:szCs w:val="24"/>
          <w:lang w:val="en-GB"/>
        </w:rPr>
        <w:t>nfringement of intellectual property rights</w:t>
      </w:r>
      <w:r>
        <w:rPr>
          <w:rFonts w:ascii="Times New Roman" w:eastAsia="EUAlbertina-Regular-Identity-H" w:hAnsi="Times New Roman" w:cs="Times New Roman"/>
          <w:sz w:val="24"/>
          <w:szCs w:val="24"/>
          <w:lang w:val="en-GB"/>
        </w:rPr>
        <w:t>, i</w:t>
      </w:r>
      <w:r w:rsidRPr="00785440">
        <w:rPr>
          <w:rFonts w:ascii="Times New Roman" w:eastAsia="EUAlbertina-Regular-Identity-H" w:hAnsi="Times New Roman" w:cs="Times New Roman"/>
          <w:sz w:val="24"/>
          <w:szCs w:val="24"/>
          <w:lang w:val="en-GB"/>
        </w:rPr>
        <w:t>ndustrial action</w:t>
      </w:r>
      <w:r>
        <w:rPr>
          <w:rFonts w:ascii="Times New Roman" w:eastAsia="EUAlbertina-Regular-Identity-H" w:hAnsi="Times New Roman" w:cs="Times New Roman"/>
          <w:sz w:val="24"/>
          <w:szCs w:val="24"/>
          <w:lang w:val="en-GB"/>
        </w:rPr>
        <w:t xml:space="preserve">, defamation, unjust enrichment, </w:t>
      </w:r>
      <w:r>
        <w:rPr>
          <w:rFonts w:ascii="Times New Roman" w:eastAsia="EUAlbertina-Regular-Identity-H" w:hAnsi="Times New Roman" w:cs="Times New Roman"/>
          <w:i/>
          <w:sz w:val="24"/>
          <w:szCs w:val="24"/>
          <w:lang w:val="en-GB"/>
        </w:rPr>
        <w:t>negotiorum gestio</w:t>
      </w:r>
      <w:r>
        <w:rPr>
          <w:rFonts w:ascii="Times New Roman" w:eastAsia="EUAlbertina-Regular-Identity-H" w:hAnsi="Times New Roman" w:cs="Times New Roman"/>
          <w:sz w:val="24"/>
          <w:szCs w:val="24"/>
          <w:lang w:val="en-GB"/>
        </w:rPr>
        <w:t xml:space="preserve">, </w:t>
      </w:r>
      <w:r>
        <w:rPr>
          <w:rFonts w:ascii="Times New Roman" w:eastAsia="EUAlbertina-Regular-Identity-H" w:hAnsi="Times New Roman" w:cs="Times New Roman"/>
          <w:i/>
          <w:sz w:val="24"/>
          <w:szCs w:val="24"/>
          <w:lang w:val="en-GB"/>
        </w:rPr>
        <w:t>culpa in contrahendo</w:t>
      </w:r>
    </w:p>
    <w:p w:rsidR="00785440" w:rsidRPr="00785440" w:rsidRDefault="00785440" w:rsidP="00785440">
      <w:pPr>
        <w:pStyle w:val="Bezmezer"/>
        <w:spacing w:line="360" w:lineRule="auto"/>
        <w:jc w:val="both"/>
        <w:rPr>
          <w:rFonts w:ascii="Times New Roman" w:hAnsi="Times New Roman" w:cs="Times New Roman"/>
          <w:sz w:val="24"/>
          <w:szCs w:val="24"/>
          <w:lang w:val="en-GB"/>
        </w:rPr>
      </w:pPr>
    </w:p>
    <w:p w:rsidR="00BA6378" w:rsidRPr="00DE7E31" w:rsidRDefault="0093245E" w:rsidP="00785440">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Czech private international law which has been until recently envisaged as exclusively national discipline only with higher number of international sources of law has been  coming through fundamental changes connected with entering EC</w:t>
      </w:r>
      <w:r w:rsidR="00D05B63" w:rsidRPr="00D05B63">
        <w:rPr>
          <w:rFonts w:ascii="Times New Roman" w:hAnsi="Times New Roman" w:cs="Times New Roman"/>
          <w:sz w:val="24"/>
          <w:szCs w:val="24"/>
          <w:lang w:val="en-GB"/>
        </w:rPr>
        <w:t xml:space="preserve"> </w:t>
      </w:r>
      <w:r w:rsidR="00D05B63" w:rsidRPr="00DE7E31">
        <w:rPr>
          <w:rFonts w:ascii="Times New Roman" w:hAnsi="Times New Roman" w:cs="Times New Roman"/>
          <w:sz w:val="24"/>
          <w:szCs w:val="24"/>
          <w:lang w:val="en-GB"/>
        </w:rPr>
        <w:t xml:space="preserve">during </w:t>
      </w:r>
      <w:r w:rsidR="00D05B63">
        <w:rPr>
          <w:rFonts w:ascii="Times New Roman" w:hAnsi="Times New Roman" w:cs="Times New Roman"/>
          <w:sz w:val="24"/>
          <w:szCs w:val="24"/>
          <w:lang w:val="en-GB"/>
        </w:rPr>
        <w:t xml:space="preserve">the </w:t>
      </w:r>
      <w:r w:rsidR="00D05B63" w:rsidRPr="00DE7E31">
        <w:rPr>
          <w:rFonts w:ascii="Times New Roman" w:hAnsi="Times New Roman" w:cs="Times New Roman"/>
          <w:sz w:val="24"/>
          <w:szCs w:val="24"/>
          <w:lang w:val="en-GB"/>
        </w:rPr>
        <w:t>last decade</w:t>
      </w:r>
      <w:r w:rsidRPr="00DE7E31">
        <w:rPr>
          <w:rFonts w:ascii="Times New Roman" w:hAnsi="Times New Roman" w:cs="Times New Roman"/>
          <w:sz w:val="24"/>
          <w:szCs w:val="24"/>
          <w:lang w:val="en-GB"/>
        </w:rPr>
        <w:t xml:space="preserve">. </w:t>
      </w:r>
      <w:r w:rsidR="002C3E0A" w:rsidRPr="00DE7E31">
        <w:rPr>
          <w:rFonts w:ascii="Times New Roman" w:hAnsi="Times New Roman" w:cs="Times New Roman"/>
          <w:sz w:val="24"/>
          <w:szCs w:val="24"/>
          <w:lang w:val="en-GB"/>
        </w:rPr>
        <w:t>The scope of this contribu</w:t>
      </w:r>
      <w:r w:rsidR="003534B7">
        <w:rPr>
          <w:rFonts w:ascii="Times New Roman" w:hAnsi="Times New Roman" w:cs="Times New Roman"/>
          <w:sz w:val="24"/>
          <w:szCs w:val="24"/>
          <w:lang w:val="en-GB"/>
        </w:rPr>
        <w:t>tion is not to analyze the cou</w:t>
      </w:r>
      <w:r w:rsidR="002C3E0A" w:rsidRPr="00DE7E31">
        <w:rPr>
          <w:rFonts w:ascii="Times New Roman" w:hAnsi="Times New Roman" w:cs="Times New Roman"/>
          <w:sz w:val="24"/>
          <w:szCs w:val="24"/>
          <w:lang w:val="en-GB"/>
        </w:rPr>
        <w:t>s</w:t>
      </w:r>
      <w:r w:rsidR="003534B7">
        <w:rPr>
          <w:rFonts w:ascii="Times New Roman" w:hAnsi="Times New Roman" w:cs="Times New Roman"/>
          <w:sz w:val="24"/>
          <w:szCs w:val="24"/>
          <w:lang w:val="en-GB"/>
        </w:rPr>
        <w:t>e</w:t>
      </w:r>
      <w:r w:rsidR="002C3E0A" w:rsidRPr="00DE7E31">
        <w:rPr>
          <w:rFonts w:ascii="Times New Roman" w:hAnsi="Times New Roman" w:cs="Times New Roman"/>
          <w:sz w:val="24"/>
          <w:szCs w:val="24"/>
          <w:lang w:val="en-GB"/>
        </w:rPr>
        <w:t xml:space="preserve"> of events on the field of PIL in general but to concentrate on one of the last PIL communitarian regulations – n. 864/2007 on the law applicable to non-co</w:t>
      </w:r>
      <w:r w:rsidR="00B232AF">
        <w:rPr>
          <w:rFonts w:ascii="Times New Roman" w:hAnsi="Times New Roman" w:cs="Times New Roman"/>
          <w:sz w:val="24"/>
          <w:szCs w:val="24"/>
          <w:lang w:val="en-GB"/>
        </w:rPr>
        <w:t>ntractual obligation (ROME II).</w:t>
      </w:r>
      <w:r w:rsidR="00DA74A2" w:rsidRPr="00DA74A2">
        <w:rPr>
          <w:rFonts w:ascii="Times New Roman" w:hAnsi="Times New Roman" w:cs="Times New Roman"/>
          <w:sz w:val="24"/>
          <w:szCs w:val="24"/>
          <w:lang w:val="en-GB"/>
        </w:rPr>
        <w:t xml:space="preserve"> </w:t>
      </w:r>
      <w:r w:rsidR="00DA74A2" w:rsidRPr="004672F0">
        <w:rPr>
          <w:rFonts w:ascii="Times New Roman" w:hAnsi="Times New Roman" w:cs="Times New Roman"/>
          <w:sz w:val="24"/>
          <w:szCs w:val="24"/>
          <w:lang w:val="en-GB"/>
        </w:rPr>
        <w:t xml:space="preserve">We will </w:t>
      </w:r>
      <w:r w:rsidR="00DA74A2">
        <w:rPr>
          <w:rFonts w:ascii="Times New Roman" w:hAnsi="Times New Roman" w:cs="Times New Roman"/>
          <w:sz w:val="24"/>
          <w:szCs w:val="24"/>
          <w:lang w:val="en-GB"/>
        </w:rPr>
        <w:t>refer to unsuitability of present Czech national legal regulation and on the hierarchy of the conflict rules set in innovative Regulation Rome II we will document how a huge shift the regulation will mean for the practise of Czech courts.</w:t>
      </w:r>
    </w:p>
    <w:p w:rsidR="00DE7E31" w:rsidRDefault="00DE7E31" w:rsidP="00DE7E31">
      <w:pPr>
        <w:pStyle w:val="Bezmezer"/>
        <w:spacing w:line="360" w:lineRule="auto"/>
        <w:ind w:firstLine="708"/>
        <w:jc w:val="both"/>
        <w:rPr>
          <w:rFonts w:ascii="Times New Roman" w:hAnsi="Times New Roman" w:cs="Times New Roman"/>
          <w:sz w:val="24"/>
          <w:szCs w:val="24"/>
          <w:lang w:val="en-GB"/>
        </w:rPr>
      </w:pPr>
    </w:p>
    <w:p w:rsidR="00DA74A2" w:rsidRDefault="000465F2" w:rsidP="00785440">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t xml:space="preserve">First of all we </w:t>
      </w:r>
      <w:r w:rsidR="00DA74A2">
        <w:rPr>
          <w:rFonts w:ascii="Times New Roman" w:hAnsi="Times New Roman" w:cs="Times New Roman"/>
          <w:sz w:val="24"/>
          <w:szCs w:val="24"/>
          <w:lang w:val="en-GB"/>
        </w:rPr>
        <w:t>would like t</w:t>
      </w:r>
      <w:r w:rsidRPr="00DE7E31">
        <w:rPr>
          <w:rFonts w:ascii="Times New Roman" w:hAnsi="Times New Roman" w:cs="Times New Roman"/>
          <w:sz w:val="24"/>
          <w:szCs w:val="24"/>
          <w:lang w:val="en-GB"/>
        </w:rPr>
        <w:t>o outline very briefly what we think of delict. It would be more accurate to use the term non-contractual obligation which is used in the regulation Rome II. Non-contractual obligation rises not from the contract</w:t>
      </w:r>
      <w:r w:rsidR="00DC22F1" w:rsidRPr="00DE7E31">
        <w:rPr>
          <w:rFonts w:ascii="Times New Roman" w:hAnsi="Times New Roman" w:cs="Times New Roman"/>
          <w:sz w:val="24"/>
          <w:szCs w:val="24"/>
          <w:lang w:val="en-GB"/>
        </w:rPr>
        <w:t xml:space="preserve"> but from the breach of a duty defined by the objective law while there is no legal but only factually relationship between the parties. </w:t>
      </w:r>
      <w:r w:rsidR="00DA74A2">
        <w:rPr>
          <w:rFonts w:ascii="Times New Roman" w:hAnsi="Times New Roman" w:cs="Times New Roman"/>
          <w:sz w:val="24"/>
          <w:szCs w:val="24"/>
          <w:lang w:val="en-GB"/>
        </w:rPr>
        <w:t xml:space="preserve">Usually </w:t>
      </w:r>
      <w:r w:rsidR="00793622" w:rsidRPr="00DE7E31">
        <w:rPr>
          <w:rFonts w:ascii="Times New Roman" w:hAnsi="Times New Roman" w:cs="Times New Roman"/>
          <w:sz w:val="24"/>
          <w:szCs w:val="24"/>
          <w:lang w:val="en-GB"/>
        </w:rPr>
        <w:t>two divisions of non-contractual obligation</w:t>
      </w:r>
      <w:r w:rsidR="00DA74A2">
        <w:rPr>
          <w:rFonts w:ascii="Times New Roman" w:hAnsi="Times New Roman" w:cs="Times New Roman"/>
          <w:sz w:val="24"/>
          <w:szCs w:val="24"/>
          <w:lang w:val="en-GB"/>
        </w:rPr>
        <w:t xml:space="preserve"> are distinguished</w:t>
      </w:r>
      <w:r w:rsidR="00793622" w:rsidRPr="00DE7E31">
        <w:rPr>
          <w:rFonts w:ascii="Times New Roman" w:hAnsi="Times New Roman" w:cs="Times New Roman"/>
          <w:sz w:val="24"/>
          <w:szCs w:val="24"/>
          <w:lang w:val="en-GB"/>
        </w:rPr>
        <w:t xml:space="preserve">. </w:t>
      </w:r>
      <w:r w:rsidR="00DC2749" w:rsidRPr="00DE7E31">
        <w:rPr>
          <w:rFonts w:ascii="Times New Roman" w:hAnsi="Times New Roman" w:cs="Times New Roman"/>
          <w:sz w:val="24"/>
          <w:szCs w:val="24"/>
          <w:lang w:val="en-GB"/>
        </w:rPr>
        <w:t>The f</w:t>
      </w:r>
      <w:r w:rsidR="00E97950" w:rsidRPr="00DE7E31">
        <w:rPr>
          <w:rFonts w:ascii="Times New Roman" w:hAnsi="Times New Roman" w:cs="Times New Roman"/>
          <w:sz w:val="24"/>
          <w:szCs w:val="24"/>
          <w:lang w:val="en-GB"/>
        </w:rPr>
        <w:t>irst</w:t>
      </w:r>
      <w:r w:rsidR="00793622" w:rsidRPr="00DE7E31">
        <w:rPr>
          <w:rFonts w:ascii="Times New Roman" w:hAnsi="Times New Roman" w:cs="Times New Roman"/>
          <w:sz w:val="24"/>
          <w:szCs w:val="24"/>
          <w:lang w:val="en-GB"/>
        </w:rPr>
        <w:t xml:space="preserve"> </w:t>
      </w:r>
      <w:r w:rsidR="00DC2749" w:rsidRPr="00DE7E31">
        <w:rPr>
          <w:rFonts w:ascii="Times New Roman" w:hAnsi="Times New Roman" w:cs="Times New Roman"/>
          <w:sz w:val="24"/>
          <w:szCs w:val="24"/>
          <w:lang w:val="en-GB"/>
        </w:rPr>
        <w:t xml:space="preserve">one </w:t>
      </w:r>
      <w:r w:rsidR="00793622" w:rsidRPr="00DE7E31">
        <w:rPr>
          <w:rFonts w:ascii="Times New Roman" w:hAnsi="Times New Roman" w:cs="Times New Roman"/>
          <w:sz w:val="24"/>
          <w:szCs w:val="24"/>
          <w:lang w:val="en-GB"/>
        </w:rPr>
        <w:t xml:space="preserve">where </w:t>
      </w:r>
      <w:r w:rsidR="00E97950" w:rsidRPr="00DE7E31">
        <w:rPr>
          <w:rFonts w:ascii="Times New Roman" w:hAnsi="Times New Roman" w:cs="Times New Roman"/>
          <w:sz w:val="24"/>
          <w:szCs w:val="24"/>
          <w:lang w:val="en-GB"/>
        </w:rPr>
        <w:t>the irregularity</w:t>
      </w:r>
      <w:r w:rsidR="00CF5643" w:rsidRPr="00DE7E31">
        <w:rPr>
          <w:rFonts w:ascii="Times New Roman" w:hAnsi="Times New Roman" w:cs="Times New Roman"/>
          <w:sz w:val="24"/>
          <w:szCs w:val="24"/>
          <w:lang w:val="en-GB"/>
        </w:rPr>
        <w:t xml:space="preserve"> (wrongfulness)</w:t>
      </w:r>
      <w:r w:rsidR="00E97950" w:rsidRPr="00DE7E31">
        <w:rPr>
          <w:rFonts w:ascii="Times New Roman" w:hAnsi="Times New Roman" w:cs="Times New Roman"/>
          <w:sz w:val="24"/>
          <w:szCs w:val="24"/>
          <w:lang w:val="en-GB"/>
        </w:rPr>
        <w:t xml:space="preserve"> constitutes</w:t>
      </w:r>
      <w:r w:rsidR="00793622" w:rsidRPr="00DE7E31">
        <w:rPr>
          <w:rFonts w:ascii="Times New Roman" w:hAnsi="Times New Roman" w:cs="Times New Roman"/>
          <w:sz w:val="24"/>
          <w:szCs w:val="24"/>
          <w:lang w:val="en-GB"/>
        </w:rPr>
        <w:t xml:space="preserve"> the essential presumption of existence </w:t>
      </w:r>
      <w:r w:rsidR="00E97950" w:rsidRPr="00DE7E31">
        <w:rPr>
          <w:rFonts w:ascii="Times New Roman" w:hAnsi="Times New Roman" w:cs="Times New Roman"/>
          <w:sz w:val="24"/>
          <w:szCs w:val="24"/>
          <w:lang w:val="en-GB"/>
        </w:rPr>
        <w:t>(unfair competition, defamation) and the second group where contrariwise the irregularity</w:t>
      </w:r>
      <w:r w:rsidR="00CF5643" w:rsidRPr="00DE7E31">
        <w:rPr>
          <w:rFonts w:ascii="Times New Roman" w:hAnsi="Times New Roman" w:cs="Times New Roman"/>
          <w:sz w:val="24"/>
          <w:szCs w:val="24"/>
          <w:lang w:val="en-GB"/>
        </w:rPr>
        <w:t xml:space="preserve"> (wrongfulness)</w:t>
      </w:r>
      <w:r w:rsidR="00E97950" w:rsidRPr="00DE7E31">
        <w:rPr>
          <w:rFonts w:ascii="Times New Roman" w:hAnsi="Times New Roman" w:cs="Times New Roman"/>
          <w:sz w:val="24"/>
          <w:szCs w:val="24"/>
          <w:lang w:val="en-GB"/>
        </w:rPr>
        <w:t xml:space="preserve"> is absent</w:t>
      </w:r>
      <w:r w:rsidR="00DC2749" w:rsidRPr="00DE7E31">
        <w:rPr>
          <w:rFonts w:ascii="Times New Roman" w:hAnsi="Times New Roman" w:cs="Times New Roman"/>
          <w:sz w:val="24"/>
          <w:szCs w:val="24"/>
          <w:lang w:val="en-GB"/>
        </w:rPr>
        <w:t xml:space="preserve">. </w:t>
      </w:r>
    </w:p>
    <w:p w:rsidR="00DA74A2" w:rsidRDefault="00DA74A2" w:rsidP="00785440">
      <w:pPr>
        <w:pStyle w:val="Bezmezer"/>
        <w:spacing w:line="360" w:lineRule="auto"/>
        <w:jc w:val="both"/>
        <w:rPr>
          <w:rFonts w:ascii="Times New Roman" w:hAnsi="Times New Roman" w:cs="Times New Roman"/>
          <w:sz w:val="24"/>
          <w:szCs w:val="24"/>
          <w:lang w:val="en-GB"/>
        </w:rPr>
      </w:pPr>
    </w:p>
    <w:p w:rsidR="002A0467" w:rsidRDefault="00C10CB1" w:rsidP="00785440">
      <w:pPr>
        <w:pStyle w:val="Bezmezer"/>
        <w:spacing w:line="360" w:lineRule="auto"/>
        <w:jc w:val="both"/>
        <w:rPr>
          <w:rFonts w:ascii="Times New Roman" w:hAnsi="Times New Roman" w:cs="Times New Roman"/>
          <w:sz w:val="24"/>
          <w:szCs w:val="24"/>
          <w:lang w:val="en-GB"/>
        </w:rPr>
      </w:pPr>
      <w:r w:rsidRPr="00DE7E31">
        <w:rPr>
          <w:rFonts w:ascii="Times New Roman" w:hAnsi="Times New Roman" w:cs="Times New Roman"/>
          <w:sz w:val="24"/>
          <w:szCs w:val="24"/>
          <w:lang w:val="en-GB"/>
        </w:rPr>
        <w:lastRenderedPageBreak/>
        <w:t xml:space="preserve">In the present Czech law there is only one legal provision dealing with non-contractual obligation – section 15 of PIL Act. This provision concerns not the delicts/torts as such but only </w:t>
      </w:r>
      <w:r w:rsidR="009A493D">
        <w:rPr>
          <w:rFonts w:ascii="Times New Roman" w:hAnsi="Times New Roman" w:cs="Times New Roman"/>
          <w:sz w:val="24"/>
          <w:szCs w:val="24"/>
          <w:lang w:val="en-GB"/>
        </w:rPr>
        <w:t>their</w:t>
      </w:r>
      <w:r w:rsidRPr="00DE7E31">
        <w:rPr>
          <w:rFonts w:ascii="Times New Roman" w:hAnsi="Times New Roman" w:cs="Times New Roman"/>
          <w:sz w:val="24"/>
          <w:szCs w:val="24"/>
          <w:lang w:val="en-GB"/>
        </w:rPr>
        <w:t xml:space="preserve"> effect – with the liability for damage. It is found insufficient while it doesn’t cover </w:t>
      </w:r>
      <w:r w:rsidR="00651A4B" w:rsidRPr="00DE7E31">
        <w:rPr>
          <w:rFonts w:ascii="Times New Roman" w:hAnsi="Times New Roman" w:cs="Times New Roman"/>
          <w:sz w:val="24"/>
          <w:szCs w:val="24"/>
          <w:lang w:val="en-GB"/>
        </w:rPr>
        <w:t>delicts as such and also doesn’t cover all possible effect only the liability for damage</w:t>
      </w:r>
      <w:r w:rsidR="009A493D">
        <w:rPr>
          <w:rFonts w:ascii="Times New Roman" w:hAnsi="Times New Roman" w:cs="Times New Roman"/>
          <w:sz w:val="24"/>
          <w:szCs w:val="24"/>
          <w:lang w:val="en-GB"/>
        </w:rPr>
        <w:t>.</w:t>
      </w:r>
      <w:r w:rsidR="00651A4B" w:rsidRPr="00DE7E31">
        <w:rPr>
          <w:rFonts w:ascii="Times New Roman" w:hAnsi="Times New Roman" w:cs="Times New Roman"/>
          <w:sz w:val="24"/>
          <w:szCs w:val="24"/>
          <w:lang w:val="en-GB"/>
        </w:rPr>
        <w:t xml:space="preserve"> On the other hand there </w:t>
      </w:r>
      <w:r w:rsidR="00DA74A2">
        <w:rPr>
          <w:rFonts w:ascii="Times New Roman" w:hAnsi="Times New Roman" w:cs="Times New Roman"/>
          <w:sz w:val="24"/>
          <w:szCs w:val="24"/>
          <w:lang w:val="en-GB"/>
        </w:rPr>
        <w:t>are</w:t>
      </w:r>
      <w:r w:rsidR="00651A4B" w:rsidRPr="00DE7E31">
        <w:rPr>
          <w:rFonts w:ascii="Times New Roman" w:hAnsi="Times New Roman" w:cs="Times New Roman"/>
          <w:sz w:val="24"/>
          <w:szCs w:val="24"/>
          <w:lang w:val="en-GB"/>
        </w:rPr>
        <w:t xml:space="preserve"> delicts where the existence of damage is not the essential presumption such as the unfair competition where the menace of damage is fully sufficient. </w:t>
      </w:r>
      <w:r w:rsidR="00DA275A" w:rsidRPr="00DE7E31">
        <w:rPr>
          <w:rFonts w:ascii="Times New Roman" w:hAnsi="Times New Roman" w:cs="Times New Roman"/>
          <w:sz w:val="24"/>
          <w:szCs w:val="24"/>
          <w:lang w:val="en-GB"/>
        </w:rPr>
        <w:t xml:space="preserve">Entirely improper the rule is for other non-contractual obligations than delicts such as negotiorum gestio, unjust enrichment or pre-contractual liability. The creation of the conflict of law rules has stayed on the Czech doctrine of PIL and on the practise of courts. </w:t>
      </w:r>
    </w:p>
    <w:p w:rsidR="00DE7E31" w:rsidRDefault="00DE7E31" w:rsidP="00DE7E31">
      <w:pPr>
        <w:pStyle w:val="Bezmezer"/>
        <w:spacing w:line="360" w:lineRule="auto"/>
        <w:ind w:firstLine="708"/>
        <w:jc w:val="both"/>
        <w:rPr>
          <w:rFonts w:ascii="Times New Roman" w:hAnsi="Times New Roman" w:cs="Times New Roman"/>
          <w:sz w:val="24"/>
          <w:szCs w:val="24"/>
          <w:lang w:val="en-GB"/>
        </w:rPr>
      </w:pPr>
    </w:p>
    <w:p w:rsidR="00240440" w:rsidRDefault="00DA74A2" w:rsidP="001E7C34">
      <w:pPr>
        <w:pStyle w:val="Bezmezer"/>
        <w:spacing w:line="360" w:lineRule="auto"/>
        <w:jc w:val="both"/>
        <w:rPr>
          <w:rFonts w:ascii="Times New Roman" w:eastAsia="EUAlbertina-Regular-Identity-H" w:hAnsi="Times New Roman" w:cs="Times New Roman"/>
          <w:sz w:val="24"/>
          <w:szCs w:val="24"/>
          <w:lang w:val="en-GB"/>
        </w:rPr>
      </w:pPr>
      <w:r>
        <w:rPr>
          <w:rFonts w:ascii="Times New Roman" w:hAnsi="Times New Roman" w:cs="Times New Roman"/>
          <w:sz w:val="24"/>
          <w:szCs w:val="24"/>
          <w:lang w:val="en-GB"/>
        </w:rPr>
        <w:t xml:space="preserve">The hierarchy of conflict rules in Rome II is more </w:t>
      </w:r>
      <w:r w:rsidR="008713CF">
        <w:rPr>
          <w:rFonts w:ascii="Times New Roman" w:hAnsi="Times New Roman" w:cs="Times New Roman"/>
          <w:sz w:val="24"/>
          <w:szCs w:val="24"/>
          <w:lang w:val="en-GB"/>
        </w:rPr>
        <w:t>sophisticated</w:t>
      </w:r>
      <w:r>
        <w:rPr>
          <w:rFonts w:ascii="Times New Roman" w:hAnsi="Times New Roman" w:cs="Times New Roman"/>
          <w:sz w:val="24"/>
          <w:szCs w:val="24"/>
          <w:lang w:val="en-GB"/>
        </w:rPr>
        <w:t xml:space="preserve">. </w:t>
      </w:r>
      <w:r w:rsidR="00490F5B">
        <w:rPr>
          <w:rFonts w:ascii="Times New Roman" w:eastAsia="EUAlbertina-Regular-Identity-H" w:hAnsi="Times New Roman" w:cs="Times New Roman"/>
          <w:sz w:val="24"/>
          <w:szCs w:val="24"/>
          <w:lang w:val="en-GB"/>
        </w:rPr>
        <w:t xml:space="preserve">Rome II follows out </w:t>
      </w:r>
      <w:r w:rsidR="008713CF">
        <w:rPr>
          <w:rFonts w:ascii="Times New Roman" w:eastAsia="EUAlbertina-Regular-Identity-H" w:hAnsi="Times New Roman" w:cs="Times New Roman"/>
          <w:sz w:val="24"/>
          <w:szCs w:val="24"/>
          <w:lang w:val="en-GB"/>
        </w:rPr>
        <w:t xml:space="preserve">the </w:t>
      </w:r>
      <w:r w:rsidR="00490F5B">
        <w:rPr>
          <w:rFonts w:ascii="Times New Roman" w:eastAsia="EUAlbertina-Regular-Identity-H" w:hAnsi="Times New Roman" w:cs="Times New Roman"/>
          <w:sz w:val="24"/>
          <w:szCs w:val="24"/>
          <w:lang w:val="en-GB"/>
        </w:rPr>
        <w:t>trends of the last decades in PIL and put</w:t>
      </w:r>
      <w:r w:rsidR="008713CF">
        <w:rPr>
          <w:rFonts w:ascii="Times New Roman" w:eastAsia="EUAlbertina-Regular-Identity-H" w:hAnsi="Times New Roman" w:cs="Times New Roman"/>
          <w:sz w:val="24"/>
          <w:szCs w:val="24"/>
          <w:lang w:val="en-GB"/>
        </w:rPr>
        <w:t>s</w:t>
      </w:r>
      <w:r w:rsidR="00490F5B">
        <w:rPr>
          <w:rFonts w:ascii="Times New Roman" w:eastAsia="EUAlbertina-Regular-Identity-H" w:hAnsi="Times New Roman" w:cs="Times New Roman"/>
          <w:sz w:val="24"/>
          <w:szCs w:val="24"/>
          <w:lang w:val="en-GB"/>
        </w:rPr>
        <w:t xml:space="preserve"> stress on the principle of autonomy and introduces to the Czech legal system connecting factor for delicts</w:t>
      </w:r>
      <w:r w:rsidR="008713CF">
        <w:rPr>
          <w:rFonts w:ascii="Times New Roman" w:eastAsia="EUAlbertina-Regular-Identity-H" w:hAnsi="Times New Roman" w:cs="Times New Roman"/>
          <w:sz w:val="24"/>
          <w:szCs w:val="24"/>
          <w:lang w:val="en-GB"/>
        </w:rPr>
        <w:t xml:space="preserve"> which was</w:t>
      </w:r>
      <w:r w:rsidR="00490F5B">
        <w:rPr>
          <w:rFonts w:ascii="Times New Roman" w:eastAsia="EUAlbertina-Regular-Identity-H" w:hAnsi="Times New Roman" w:cs="Times New Roman"/>
          <w:sz w:val="24"/>
          <w:szCs w:val="24"/>
          <w:lang w:val="en-GB"/>
        </w:rPr>
        <w:t xml:space="preserve"> </w:t>
      </w:r>
      <w:r w:rsidR="008713CF">
        <w:rPr>
          <w:rFonts w:ascii="Times New Roman" w:eastAsia="EUAlbertina-Regular-Identity-H" w:hAnsi="Times New Roman" w:cs="Times New Roman"/>
          <w:sz w:val="24"/>
          <w:szCs w:val="24"/>
          <w:lang w:val="en-GB"/>
        </w:rPr>
        <w:t xml:space="preserve">unknown </w:t>
      </w:r>
      <w:r w:rsidR="00490F5B">
        <w:rPr>
          <w:rFonts w:ascii="Times New Roman" w:eastAsia="EUAlbertina-Regular-Identity-H" w:hAnsi="Times New Roman" w:cs="Times New Roman"/>
          <w:sz w:val="24"/>
          <w:szCs w:val="24"/>
          <w:lang w:val="en-GB"/>
        </w:rPr>
        <w:t xml:space="preserve">– </w:t>
      </w:r>
      <w:r w:rsidR="00490F5B">
        <w:rPr>
          <w:rFonts w:ascii="Times New Roman" w:eastAsia="EUAlbertina-Regular-Identity-H" w:hAnsi="Times New Roman" w:cs="Times New Roman"/>
          <w:i/>
          <w:sz w:val="24"/>
          <w:szCs w:val="24"/>
          <w:lang w:val="en-GB"/>
        </w:rPr>
        <w:t>lex electa</w:t>
      </w:r>
      <w:r w:rsidR="004706C1">
        <w:rPr>
          <w:rFonts w:ascii="Times New Roman" w:eastAsia="EUAlbertina-Regular-Identity-H" w:hAnsi="Times New Roman" w:cs="Times New Roman"/>
          <w:i/>
          <w:sz w:val="24"/>
          <w:szCs w:val="24"/>
          <w:lang w:val="en-GB"/>
        </w:rPr>
        <w:t xml:space="preserve"> </w:t>
      </w:r>
      <w:r w:rsidR="004706C1">
        <w:rPr>
          <w:rFonts w:ascii="Times New Roman" w:eastAsia="EUAlbertina-Regular-Identity-H" w:hAnsi="Times New Roman" w:cs="Times New Roman"/>
          <w:sz w:val="24"/>
          <w:szCs w:val="24"/>
          <w:lang w:val="en-GB"/>
        </w:rPr>
        <w:t>(art. 14)</w:t>
      </w:r>
      <w:r w:rsidR="00490F5B">
        <w:rPr>
          <w:rFonts w:ascii="Times New Roman" w:eastAsia="EUAlbertina-Regular-Identity-H" w:hAnsi="Times New Roman" w:cs="Times New Roman"/>
          <w:sz w:val="24"/>
          <w:szCs w:val="24"/>
          <w:lang w:val="en-GB"/>
        </w:rPr>
        <w:t>. Even though this possibility is substantially limited it stands for a huge innovation. Law elected by the parties represents the primary rule which can be used for both delicts and quasi-delicts.</w:t>
      </w:r>
      <w:r w:rsidR="001C15B2">
        <w:rPr>
          <w:rFonts w:ascii="Times New Roman" w:eastAsia="EUAlbertina-Regular-Identity-H" w:hAnsi="Times New Roman" w:cs="Times New Roman"/>
          <w:sz w:val="24"/>
          <w:szCs w:val="24"/>
          <w:lang w:val="en-GB"/>
        </w:rPr>
        <w:t xml:space="preserve"> Choice can be performed both </w:t>
      </w:r>
      <w:r w:rsidR="001C15B2" w:rsidRPr="00DA74A2">
        <w:rPr>
          <w:rFonts w:ascii="Times New Roman" w:eastAsia="EUAlbertina-Regular-Identity-H" w:hAnsi="Times New Roman" w:cs="Times New Roman"/>
          <w:i/>
          <w:sz w:val="24"/>
          <w:szCs w:val="24"/>
          <w:lang w:val="en-GB"/>
        </w:rPr>
        <w:t>ex ante</w:t>
      </w:r>
      <w:r w:rsidR="001C15B2" w:rsidRPr="00AC642D">
        <w:rPr>
          <w:rFonts w:ascii="Times New Roman" w:eastAsia="EUAlbertina-Regular-Identity-H" w:hAnsi="Times New Roman" w:cs="Times New Roman"/>
          <w:sz w:val="24"/>
          <w:szCs w:val="24"/>
          <w:lang w:val="en-GB"/>
        </w:rPr>
        <w:t xml:space="preserve"> </w:t>
      </w:r>
      <w:r w:rsidR="001C15B2">
        <w:rPr>
          <w:rFonts w:ascii="Times New Roman" w:eastAsia="EUAlbertina-Regular-Identity-H" w:hAnsi="Times New Roman" w:cs="Times New Roman"/>
          <w:sz w:val="24"/>
          <w:szCs w:val="24"/>
          <w:lang w:val="en-GB"/>
        </w:rPr>
        <w:t xml:space="preserve">and </w:t>
      </w:r>
      <w:r w:rsidR="001C15B2" w:rsidRPr="00DA74A2">
        <w:rPr>
          <w:rFonts w:ascii="Times New Roman" w:eastAsia="EUAlbertina-Regular-Identity-H" w:hAnsi="Times New Roman" w:cs="Times New Roman"/>
          <w:i/>
          <w:sz w:val="24"/>
          <w:szCs w:val="24"/>
          <w:lang w:val="en-GB"/>
        </w:rPr>
        <w:t>ex post</w:t>
      </w:r>
      <w:r w:rsidR="001C15B2">
        <w:rPr>
          <w:rFonts w:ascii="Times New Roman" w:eastAsia="EUAlbertina-Regular-Identity-H" w:hAnsi="Times New Roman" w:cs="Times New Roman"/>
          <w:sz w:val="24"/>
          <w:szCs w:val="24"/>
          <w:lang w:val="en-GB"/>
        </w:rPr>
        <w:t xml:space="preserve"> in relation to the wrongdoing with the condition that </w:t>
      </w:r>
      <w:r w:rsidR="001C15B2" w:rsidRPr="001E7C34">
        <w:rPr>
          <w:rFonts w:ascii="Times New Roman" w:eastAsia="EUAlbertina-Regular-Identity-H" w:hAnsi="Times New Roman" w:cs="Times New Roman"/>
          <w:i/>
          <w:sz w:val="24"/>
          <w:szCs w:val="24"/>
          <w:lang w:val="en-GB"/>
        </w:rPr>
        <w:t>ex ante</w:t>
      </w:r>
      <w:r w:rsidR="001C15B2" w:rsidRPr="00AC642D">
        <w:rPr>
          <w:rFonts w:ascii="Times New Roman" w:eastAsia="EUAlbertina-Regular-Identity-H" w:hAnsi="Times New Roman" w:cs="Times New Roman"/>
          <w:sz w:val="24"/>
          <w:szCs w:val="24"/>
          <w:lang w:val="en-GB"/>
        </w:rPr>
        <w:t xml:space="preserve"> </w:t>
      </w:r>
      <w:r w:rsidR="001C15B2">
        <w:rPr>
          <w:rFonts w:ascii="Times New Roman" w:eastAsia="EUAlbertina-Regular-Identity-H" w:hAnsi="Times New Roman" w:cs="Times New Roman"/>
          <w:sz w:val="24"/>
          <w:szCs w:val="24"/>
          <w:lang w:val="en-GB"/>
        </w:rPr>
        <w:t xml:space="preserve">can be performed only between professionals. </w:t>
      </w:r>
    </w:p>
    <w:p w:rsidR="001E7C34" w:rsidRDefault="001E7C34" w:rsidP="001E7C34">
      <w:pPr>
        <w:pStyle w:val="Bezmezer"/>
        <w:spacing w:line="360" w:lineRule="auto"/>
        <w:jc w:val="both"/>
        <w:rPr>
          <w:rFonts w:ascii="Times New Roman" w:eastAsia="EUAlbertina-Regular-Identity-H" w:hAnsi="Times New Roman" w:cs="Times New Roman"/>
          <w:sz w:val="24"/>
          <w:szCs w:val="24"/>
          <w:lang w:val="en-GB"/>
        </w:rPr>
      </w:pPr>
    </w:p>
    <w:p w:rsidR="00882B2C" w:rsidRDefault="00240440" w:rsidP="001E7C34">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 xml:space="preserve">Choice of law is succeeded by the general conflict rule which </w:t>
      </w:r>
      <w:r w:rsidR="008713CF">
        <w:rPr>
          <w:rFonts w:ascii="Times New Roman" w:eastAsia="EUAlbertina-Regular-Identity-H" w:hAnsi="Times New Roman" w:cs="Times New Roman"/>
          <w:sz w:val="24"/>
          <w:szCs w:val="24"/>
          <w:lang w:val="en-GB"/>
        </w:rPr>
        <w:t>is choosing</w:t>
      </w:r>
      <w:r>
        <w:rPr>
          <w:rFonts w:ascii="Times New Roman" w:eastAsia="EUAlbertina-Regular-Identity-H" w:hAnsi="Times New Roman" w:cs="Times New Roman"/>
          <w:sz w:val="24"/>
          <w:szCs w:val="24"/>
          <w:lang w:val="en-GB"/>
        </w:rPr>
        <w:t xml:space="preserve"> between </w:t>
      </w:r>
      <w:r>
        <w:rPr>
          <w:rFonts w:ascii="Times New Roman" w:eastAsia="EUAlbertina-Regular-Identity-H" w:hAnsi="Times New Roman" w:cs="Times New Roman"/>
          <w:i/>
          <w:sz w:val="24"/>
          <w:szCs w:val="24"/>
          <w:lang w:val="en-GB"/>
        </w:rPr>
        <w:t xml:space="preserve">lex loci delicti commisi </w:t>
      </w:r>
      <w:r>
        <w:rPr>
          <w:rFonts w:ascii="Times New Roman" w:eastAsia="EUAlbertina-Regular-Identity-H" w:hAnsi="Times New Roman" w:cs="Times New Roman"/>
          <w:sz w:val="24"/>
          <w:szCs w:val="24"/>
          <w:lang w:val="en-GB"/>
        </w:rPr>
        <w:t xml:space="preserve">and </w:t>
      </w:r>
      <w:r>
        <w:rPr>
          <w:rFonts w:ascii="Times New Roman" w:eastAsia="EUAlbertina-Regular-Identity-H" w:hAnsi="Times New Roman" w:cs="Times New Roman"/>
          <w:i/>
          <w:sz w:val="24"/>
          <w:szCs w:val="24"/>
          <w:lang w:val="en-GB"/>
        </w:rPr>
        <w:t xml:space="preserve">lex loci damni infecti </w:t>
      </w:r>
      <w:r>
        <w:rPr>
          <w:rFonts w:ascii="Times New Roman" w:eastAsia="EUAlbertina-Regular-Identity-H" w:hAnsi="Times New Roman" w:cs="Times New Roman"/>
          <w:sz w:val="24"/>
          <w:szCs w:val="24"/>
          <w:lang w:val="en-GB"/>
        </w:rPr>
        <w:t xml:space="preserve">for the benefit of </w:t>
      </w:r>
      <w:r>
        <w:rPr>
          <w:rFonts w:ascii="Times New Roman" w:eastAsia="EUAlbertina-Regular-Identity-H" w:hAnsi="Times New Roman" w:cs="Times New Roman"/>
          <w:i/>
          <w:sz w:val="24"/>
          <w:szCs w:val="24"/>
          <w:lang w:val="en-GB"/>
        </w:rPr>
        <w:t>lex loci damni infecti.</w:t>
      </w:r>
      <w:r>
        <w:rPr>
          <w:rFonts w:ascii="Times New Roman" w:eastAsia="EUAlbertina-Regular-Identity-H" w:hAnsi="Times New Roman" w:cs="Times New Roman"/>
          <w:sz w:val="24"/>
          <w:szCs w:val="24"/>
          <w:lang w:val="en-GB"/>
        </w:rPr>
        <w:t xml:space="preserve"> It is again the illustration of accent of modern trends in PIL when the scope has shifted from choosing of law </w:t>
      </w:r>
      <w:r w:rsidRPr="00AD3D3E">
        <w:rPr>
          <w:rFonts w:ascii="Times New Roman" w:eastAsia="EUAlbertina-Regular-Identity-H" w:hAnsi="Times New Roman" w:cs="Times New Roman"/>
          <w:sz w:val="24"/>
          <w:szCs w:val="24"/>
          <w:lang w:val="en-GB"/>
        </w:rPr>
        <w:t>optimal for sanction of the malefactor to the law optimal for indemnity of sufferer.</w:t>
      </w:r>
      <w:r w:rsidR="00AD3D3E" w:rsidRPr="00AD3D3E">
        <w:rPr>
          <w:rFonts w:ascii="Times New Roman" w:eastAsia="EUAlbertina-Regular-Identity-H" w:hAnsi="Times New Roman" w:cs="Times New Roman"/>
          <w:sz w:val="24"/>
          <w:szCs w:val="24"/>
          <w:lang w:val="en-GB"/>
        </w:rPr>
        <w:t xml:space="preserve"> </w:t>
      </w:r>
      <w:r w:rsidR="00AD3D3E">
        <w:rPr>
          <w:rFonts w:ascii="Times New Roman" w:eastAsia="EUAlbertina-Regular-Identity-H" w:hAnsi="Times New Roman" w:cs="Times New Roman"/>
          <w:sz w:val="24"/>
          <w:szCs w:val="24"/>
          <w:lang w:val="en-GB"/>
        </w:rPr>
        <w:t>The general rule shall be used for all torts/delicts with exclusion of those for which the special rules have been formulated</w:t>
      </w:r>
      <w:r w:rsidR="001E7C34">
        <w:rPr>
          <w:rFonts w:ascii="Times New Roman" w:eastAsia="EUAlbertina-Regular-Identity-H" w:hAnsi="Times New Roman" w:cs="Times New Roman"/>
          <w:sz w:val="24"/>
          <w:szCs w:val="24"/>
          <w:lang w:val="en-GB"/>
        </w:rPr>
        <w:t xml:space="preserve"> - p</w:t>
      </w:r>
      <w:r w:rsidR="00882B2C">
        <w:rPr>
          <w:rFonts w:ascii="Times New Roman" w:eastAsia="EUAlbertina-Regular-Identity-H" w:hAnsi="Times New Roman" w:cs="Times New Roman"/>
          <w:sz w:val="24"/>
          <w:szCs w:val="24"/>
          <w:lang w:val="en-GB"/>
        </w:rPr>
        <w:t xml:space="preserve">roduct </w:t>
      </w:r>
      <w:r w:rsidR="001E7C34">
        <w:rPr>
          <w:rFonts w:ascii="Times New Roman" w:eastAsia="EUAlbertina-Regular-Identity-H" w:hAnsi="Times New Roman" w:cs="Times New Roman"/>
          <w:sz w:val="24"/>
          <w:szCs w:val="24"/>
          <w:lang w:val="en-GB"/>
        </w:rPr>
        <w:t>liability, u</w:t>
      </w:r>
      <w:r w:rsidR="00785440">
        <w:rPr>
          <w:rFonts w:ascii="Times New Roman" w:eastAsia="EUAlbertina-Regular-Identity-H" w:hAnsi="Times New Roman" w:cs="Times New Roman"/>
          <w:sz w:val="24"/>
          <w:szCs w:val="24"/>
          <w:lang w:val="en-GB"/>
        </w:rPr>
        <w:t>nfair competition</w:t>
      </w:r>
      <w:r w:rsidR="00882B2C">
        <w:rPr>
          <w:rFonts w:ascii="Times New Roman" w:eastAsia="EUAlbertina-Regular-Identity-H" w:hAnsi="Times New Roman" w:cs="Times New Roman"/>
          <w:sz w:val="24"/>
          <w:szCs w:val="24"/>
          <w:lang w:val="en-GB"/>
        </w:rPr>
        <w:t xml:space="preserve"> and acts restricting free competition</w:t>
      </w:r>
      <w:r w:rsidR="001E7C34">
        <w:rPr>
          <w:rFonts w:ascii="Times New Roman" w:eastAsia="EUAlbertina-Regular-Identity-H" w:hAnsi="Times New Roman" w:cs="Times New Roman"/>
          <w:sz w:val="24"/>
          <w:szCs w:val="24"/>
          <w:lang w:val="en-GB"/>
        </w:rPr>
        <w:t>, e</w:t>
      </w:r>
      <w:r w:rsidR="00882B2C">
        <w:rPr>
          <w:rFonts w:ascii="Times New Roman" w:eastAsia="EUAlbertina-Regular-Identity-H" w:hAnsi="Times New Roman" w:cs="Times New Roman"/>
          <w:sz w:val="24"/>
          <w:szCs w:val="24"/>
          <w:lang w:val="en-GB"/>
        </w:rPr>
        <w:t>nvironmental damage</w:t>
      </w:r>
      <w:r w:rsidR="001E7C34">
        <w:rPr>
          <w:rFonts w:ascii="Times New Roman" w:eastAsia="EUAlbertina-Regular-Identity-H" w:hAnsi="Times New Roman" w:cs="Times New Roman"/>
          <w:sz w:val="24"/>
          <w:szCs w:val="24"/>
          <w:lang w:val="en-GB"/>
        </w:rPr>
        <w:t>, i</w:t>
      </w:r>
      <w:r w:rsidR="00882B2C">
        <w:rPr>
          <w:rFonts w:ascii="Times New Roman" w:eastAsia="EUAlbertina-Regular-Identity-H" w:hAnsi="Times New Roman" w:cs="Times New Roman"/>
          <w:sz w:val="24"/>
          <w:szCs w:val="24"/>
          <w:lang w:val="en-GB"/>
        </w:rPr>
        <w:t>nfringement of intellectual property rights</w:t>
      </w:r>
      <w:r w:rsidR="001E7C34">
        <w:rPr>
          <w:rFonts w:ascii="Times New Roman" w:eastAsia="EUAlbertina-Regular-Identity-H" w:hAnsi="Times New Roman" w:cs="Times New Roman"/>
          <w:sz w:val="24"/>
          <w:szCs w:val="24"/>
          <w:lang w:val="en-GB"/>
        </w:rPr>
        <w:t xml:space="preserve"> and i</w:t>
      </w:r>
      <w:r w:rsidR="00882B2C">
        <w:rPr>
          <w:rFonts w:ascii="Times New Roman" w:eastAsia="EUAlbertina-Regular-Identity-H" w:hAnsi="Times New Roman" w:cs="Times New Roman"/>
          <w:sz w:val="24"/>
          <w:szCs w:val="24"/>
          <w:lang w:val="en-GB"/>
        </w:rPr>
        <w:t>ndustrial action</w:t>
      </w:r>
      <w:r w:rsidR="001E7C34">
        <w:rPr>
          <w:rFonts w:ascii="Times New Roman" w:eastAsia="EUAlbertina-Regular-Identity-H" w:hAnsi="Times New Roman" w:cs="Times New Roman"/>
          <w:sz w:val="24"/>
          <w:szCs w:val="24"/>
          <w:lang w:val="en-GB"/>
        </w:rPr>
        <w:t>.</w:t>
      </w:r>
    </w:p>
    <w:p w:rsidR="001E7C34" w:rsidRDefault="001E7C34" w:rsidP="00785440">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p>
    <w:p w:rsidR="00CC21DD" w:rsidRDefault="001E7C34" w:rsidP="00CC21DD">
      <w:pPr>
        <w:autoSpaceDE w:val="0"/>
        <w:autoSpaceDN w:val="0"/>
        <w:adjustRightInd w:val="0"/>
        <w:spacing w:after="0" w:line="360" w:lineRule="auto"/>
        <w:jc w:val="both"/>
        <w:rPr>
          <w:rFonts w:ascii="Times New Roman" w:eastAsia="EUAlbertina-Regular-Identity-H" w:hAnsi="Times New Roman" w:cs="Times New Roman"/>
          <w:i/>
          <w:sz w:val="24"/>
          <w:szCs w:val="24"/>
          <w:lang w:val="en-GB"/>
        </w:rPr>
      </w:pPr>
      <w:r>
        <w:rPr>
          <w:rFonts w:ascii="Times New Roman" w:eastAsia="EUAlbertina-Regular-Identity-H" w:hAnsi="Times New Roman" w:cs="Times New Roman"/>
          <w:sz w:val="24"/>
          <w:szCs w:val="24"/>
          <w:lang w:val="en-GB"/>
        </w:rPr>
        <w:t xml:space="preserve">The Regulation continues with conflict rules for </w:t>
      </w:r>
      <w:r w:rsidR="004706C1">
        <w:rPr>
          <w:rFonts w:ascii="Times New Roman" w:eastAsia="EUAlbertina-Regular-Identity-H" w:hAnsi="Times New Roman" w:cs="Times New Roman"/>
          <w:sz w:val="24"/>
          <w:szCs w:val="24"/>
          <w:lang w:val="en-GB"/>
        </w:rPr>
        <w:t>3 particular delicts</w:t>
      </w:r>
      <w:r>
        <w:rPr>
          <w:rFonts w:ascii="Times New Roman" w:eastAsia="EUAlbertina-Regular-Identity-H" w:hAnsi="Times New Roman" w:cs="Times New Roman"/>
          <w:sz w:val="24"/>
          <w:szCs w:val="24"/>
          <w:lang w:val="en-GB"/>
        </w:rPr>
        <w:t xml:space="preserve"> </w:t>
      </w:r>
      <w:r w:rsidR="004706C1">
        <w:rPr>
          <w:rFonts w:ascii="Times New Roman" w:eastAsia="EUAlbertina-Regular-Identity-H" w:hAnsi="Times New Roman" w:cs="Times New Roman"/>
          <w:sz w:val="24"/>
          <w:szCs w:val="24"/>
          <w:lang w:val="en-GB"/>
        </w:rPr>
        <w:t xml:space="preserve">– for unjust enrichment, </w:t>
      </w:r>
      <w:r w:rsidR="004706C1" w:rsidRPr="004706C1">
        <w:rPr>
          <w:rFonts w:ascii="Times New Roman" w:eastAsia="EUAlbertina-Regular-Identity-H" w:hAnsi="Times New Roman" w:cs="Times New Roman"/>
          <w:i/>
          <w:sz w:val="24"/>
          <w:szCs w:val="24"/>
          <w:lang w:val="en-GB"/>
        </w:rPr>
        <w:t>negotiorum gestio</w:t>
      </w:r>
      <w:r>
        <w:rPr>
          <w:rFonts w:ascii="Times New Roman" w:eastAsia="EUAlbertina-Regular-Identity-H" w:hAnsi="Times New Roman" w:cs="Times New Roman"/>
          <w:sz w:val="24"/>
          <w:szCs w:val="24"/>
          <w:lang w:val="en-GB"/>
        </w:rPr>
        <w:t xml:space="preserve"> </w:t>
      </w:r>
      <w:r w:rsidR="004706C1">
        <w:rPr>
          <w:rFonts w:ascii="Times New Roman" w:eastAsia="EUAlbertina-Regular-Identity-H" w:hAnsi="Times New Roman" w:cs="Times New Roman"/>
          <w:sz w:val="24"/>
          <w:szCs w:val="24"/>
          <w:lang w:val="en-GB"/>
        </w:rPr>
        <w:t xml:space="preserve"> and </w:t>
      </w:r>
      <w:r w:rsidR="004706C1" w:rsidRPr="004706C1">
        <w:rPr>
          <w:rFonts w:ascii="Times New Roman" w:eastAsia="EUAlbertina-Regular-Identity-H" w:hAnsi="Times New Roman" w:cs="Times New Roman"/>
          <w:i/>
          <w:sz w:val="24"/>
          <w:szCs w:val="24"/>
          <w:lang w:val="en-GB"/>
        </w:rPr>
        <w:t>cupla in contrahendo</w:t>
      </w:r>
    </w:p>
    <w:p w:rsidR="001E7C34" w:rsidRDefault="001E7C34" w:rsidP="00CC21DD">
      <w:pPr>
        <w:autoSpaceDE w:val="0"/>
        <w:autoSpaceDN w:val="0"/>
        <w:adjustRightInd w:val="0"/>
        <w:spacing w:after="0" w:line="360" w:lineRule="auto"/>
        <w:jc w:val="both"/>
        <w:rPr>
          <w:rFonts w:ascii="Times New Roman" w:eastAsia="EUAlbertina-Regular-Identity-H" w:hAnsi="Times New Roman" w:cs="Times New Roman"/>
          <w:b/>
          <w:sz w:val="24"/>
          <w:szCs w:val="24"/>
          <w:lang w:val="en-GB"/>
        </w:rPr>
      </w:pPr>
    </w:p>
    <w:p w:rsidR="00CC21DD" w:rsidRDefault="00CC21DD" w:rsidP="00CC21DD">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sz w:val="24"/>
          <w:szCs w:val="24"/>
          <w:lang w:val="en-GB"/>
        </w:rPr>
        <w:t xml:space="preserve">Contemporary Czech conflict rule regulation for delicts and quasi-delicts could be hardly described as sufficient or suitable. </w:t>
      </w:r>
      <w:r w:rsidR="0070739C">
        <w:rPr>
          <w:rFonts w:ascii="Times New Roman" w:eastAsia="EUAlbertina-Regular-Identity-H" w:hAnsi="Times New Roman" w:cs="Times New Roman"/>
          <w:sz w:val="24"/>
          <w:szCs w:val="24"/>
          <w:lang w:val="en-GB"/>
        </w:rPr>
        <w:t>Soon it will be replaced by the new, modern legal regulation – Rome II which will constitute a sizable drift. We suppose this drift will lead to the easier application of law and higher certainty of parties concerned.</w:t>
      </w:r>
    </w:p>
    <w:p w:rsidR="0076678C" w:rsidRDefault="0076678C" w:rsidP="00CC21DD">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p>
    <w:p w:rsidR="00150D00" w:rsidRPr="00150D00" w:rsidRDefault="00150D00" w:rsidP="0076678C">
      <w:pPr>
        <w:autoSpaceDE w:val="0"/>
        <w:autoSpaceDN w:val="0"/>
        <w:adjustRightInd w:val="0"/>
        <w:spacing w:after="0" w:line="360" w:lineRule="auto"/>
        <w:jc w:val="both"/>
        <w:rPr>
          <w:rFonts w:ascii="Times New Roman" w:eastAsia="EUAlbertina-Regular-Identity-H" w:hAnsi="Times New Roman" w:cs="Times New Roman"/>
          <w:sz w:val="24"/>
          <w:szCs w:val="24"/>
          <w:lang w:val="en-GB"/>
        </w:rPr>
      </w:pPr>
      <w:r>
        <w:rPr>
          <w:rFonts w:ascii="Times New Roman" w:eastAsia="EUAlbertina-Regular-Identity-H" w:hAnsi="Times New Roman" w:cs="Times New Roman"/>
          <w:b/>
          <w:sz w:val="24"/>
          <w:szCs w:val="24"/>
          <w:lang w:val="en-GB"/>
        </w:rPr>
        <w:t>Contact</w:t>
      </w:r>
      <w:r w:rsidR="002B005B">
        <w:rPr>
          <w:rFonts w:ascii="Times New Roman" w:eastAsia="EUAlbertina-Regular-Identity-H" w:hAnsi="Times New Roman" w:cs="Times New Roman"/>
          <w:b/>
          <w:sz w:val="24"/>
          <w:szCs w:val="24"/>
          <w:lang w:val="en-GB"/>
        </w:rPr>
        <w:t>- email</w:t>
      </w:r>
      <w:r>
        <w:rPr>
          <w:rFonts w:ascii="Times New Roman" w:eastAsia="EUAlbertina-Regular-Identity-H" w:hAnsi="Times New Roman" w:cs="Times New Roman"/>
          <w:b/>
          <w:sz w:val="24"/>
          <w:szCs w:val="24"/>
          <w:lang w:val="en-GB"/>
        </w:rPr>
        <w:t xml:space="preserve">: </w:t>
      </w:r>
      <w:r w:rsidRPr="00150D00">
        <w:rPr>
          <w:rFonts w:ascii="Times New Roman" w:eastAsia="EUAlbertina-Regular-Identity-H" w:hAnsi="Times New Roman" w:cs="Times New Roman"/>
          <w:i/>
          <w:sz w:val="24"/>
          <w:szCs w:val="24"/>
          <w:lang w:val="en-GB"/>
        </w:rPr>
        <w:t>jiri.valdhans@law.muni.cz</w:t>
      </w:r>
    </w:p>
    <w:sectPr w:rsidR="00150D00" w:rsidRPr="00150D00" w:rsidSect="00BA637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5A8" w:rsidRDefault="00F135A8" w:rsidP="00651A4B">
      <w:pPr>
        <w:spacing w:after="0" w:line="240" w:lineRule="auto"/>
      </w:pPr>
      <w:r>
        <w:separator/>
      </w:r>
    </w:p>
  </w:endnote>
  <w:endnote w:type="continuationSeparator" w:id="1">
    <w:p w:rsidR="00F135A8" w:rsidRDefault="00F135A8" w:rsidP="00651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5A8" w:rsidRDefault="00F135A8" w:rsidP="00651A4B">
      <w:pPr>
        <w:spacing w:after="0" w:line="240" w:lineRule="auto"/>
      </w:pPr>
      <w:r>
        <w:separator/>
      </w:r>
    </w:p>
  </w:footnote>
  <w:footnote w:type="continuationSeparator" w:id="1">
    <w:p w:rsidR="00F135A8" w:rsidRDefault="00F135A8" w:rsidP="00651A4B">
      <w:pPr>
        <w:spacing w:after="0" w:line="240" w:lineRule="auto"/>
      </w:pPr>
      <w:r>
        <w:continuationSeparator/>
      </w:r>
    </w:p>
  </w:footnote>
  <w:footnote w:id="2">
    <w:p w:rsidR="00785440" w:rsidRPr="00733055" w:rsidRDefault="00785440" w:rsidP="00733055">
      <w:pPr>
        <w:pStyle w:val="Textpoznpodarou"/>
        <w:jc w:val="both"/>
        <w:rPr>
          <w:rFonts w:ascii="Times New Roman" w:hAnsi="Times New Roman" w:cs="Times New Roman"/>
          <w:lang w:val="en-GB"/>
        </w:rPr>
      </w:pPr>
      <w:r w:rsidRPr="00733055">
        <w:rPr>
          <w:rStyle w:val="Znakapoznpodarou"/>
          <w:rFonts w:ascii="Times New Roman" w:hAnsi="Times New Roman" w:cs="Times New Roman"/>
          <w:lang w:val="en-GB"/>
        </w:rPr>
        <w:footnoteRef/>
      </w:r>
      <w:r w:rsidRPr="00733055">
        <w:rPr>
          <w:rFonts w:ascii="Times New Roman" w:hAnsi="Times New Roman" w:cs="Times New Roman"/>
          <w:lang w:val="en-GB"/>
        </w:rPr>
        <w:t xml:space="preserve"> This contribution was written within the frame of </w:t>
      </w:r>
      <w:r w:rsidRPr="00733055">
        <w:rPr>
          <w:rFonts w:ascii="Times New Roman" w:eastAsia="Calibri" w:hAnsi="Times New Roman" w:cs="Times New Roman"/>
          <w:lang w:val="en-GB"/>
        </w:rPr>
        <w:t>Postdoctoral Project on Delicts/Torts from the Perspective of the Private International Law granted by the Czech Science Foundation</w:t>
      </w:r>
      <w:r w:rsidRPr="00733055">
        <w:rPr>
          <w:rFonts w:ascii="Times New Roman" w:hAnsi="Times New Roman" w:cs="Times New Roman"/>
          <w:lang w:val="en-GB"/>
        </w:rPr>
        <w:t xml:space="preserve"> n. 407/08/P624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A3E"/>
    <w:multiLevelType w:val="hybridMultilevel"/>
    <w:tmpl w:val="22FEC42E"/>
    <w:lvl w:ilvl="0" w:tplc="8B1E92BC">
      <w:start w:val="1"/>
      <w:numFmt w:val="lowerLetter"/>
      <w:lvlText w:val="%1)"/>
      <w:lvlJc w:val="left"/>
      <w:pPr>
        <w:ind w:left="1774"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
    <w:nsid w:val="14D30F32"/>
    <w:multiLevelType w:val="hybridMultilevel"/>
    <w:tmpl w:val="010ECF20"/>
    <w:lvl w:ilvl="0" w:tplc="7C6002F4">
      <w:start w:val="1"/>
      <w:numFmt w:val="decimal"/>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FF3607"/>
    <w:multiLevelType w:val="hybridMultilevel"/>
    <w:tmpl w:val="9A005B54"/>
    <w:lvl w:ilvl="0" w:tplc="8B1E92B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659509A"/>
    <w:multiLevelType w:val="hybridMultilevel"/>
    <w:tmpl w:val="329A9DDC"/>
    <w:lvl w:ilvl="0" w:tplc="CDC0CD3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428C3EF1"/>
    <w:multiLevelType w:val="hybridMultilevel"/>
    <w:tmpl w:val="6E7AE232"/>
    <w:lvl w:ilvl="0" w:tplc="7908BD3E">
      <w:start w:val="4"/>
      <w:numFmt w:val="bullet"/>
      <w:lvlText w:val="-"/>
      <w:lvlJc w:val="left"/>
      <w:pPr>
        <w:ind w:left="1068" w:hanging="360"/>
      </w:pPr>
      <w:rPr>
        <w:rFonts w:ascii="Times New Roman" w:eastAsia="EUAlbertina-Regular-Identity-H"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4B036CBD"/>
    <w:multiLevelType w:val="hybridMultilevel"/>
    <w:tmpl w:val="BD48F028"/>
    <w:lvl w:ilvl="0" w:tplc="B00C6BD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0D54853"/>
    <w:multiLevelType w:val="hybridMultilevel"/>
    <w:tmpl w:val="9D623A7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63DB25D5"/>
    <w:multiLevelType w:val="hybridMultilevel"/>
    <w:tmpl w:val="31B077E0"/>
    <w:lvl w:ilvl="0" w:tplc="6CCE90B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E95716F"/>
    <w:multiLevelType w:val="hybridMultilevel"/>
    <w:tmpl w:val="EBDCF65A"/>
    <w:lvl w:ilvl="0" w:tplc="8B1E92BC">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7"/>
  </w:num>
  <w:num w:numId="5">
    <w:abstractNumId w:val="2"/>
  </w:num>
  <w:num w:numId="6">
    <w:abstractNumId w:val="0"/>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3245E"/>
    <w:rsid w:val="00017F32"/>
    <w:rsid w:val="00023107"/>
    <w:rsid w:val="0004287F"/>
    <w:rsid w:val="000465F2"/>
    <w:rsid w:val="000541A5"/>
    <w:rsid w:val="001118B5"/>
    <w:rsid w:val="00150D00"/>
    <w:rsid w:val="001534E6"/>
    <w:rsid w:val="00164973"/>
    <w:rsid w:val="001C15B2"/>
    <w:rsid w:val="001E7C34"/>
    <w:rsid w:val="0020315F"/>
    <w:rsid w:val="0021185D"/>
    <w:rsid w:val="00240440"/>
    <w:rsid w:val="00240A93"/>
    <w:rsid w:val="002547E3"/>
    <w:rsid w:val="002A0467"/>
    <w:rsid w:val="002B005B"/>
    <w:rsid w:val="002C2E1F"/>
    <w:rsid w:val="002C3E0A"/>
    <w:rsid w:val="003534B7"/>
    <w:rsid w:val="003637CE"/>
    <w:rsid w:val="003F5129"/>
    <w:rsid w:val="00405F20"/>
    <w:rsid w:val="004672F0"/>
    <w:rsid w:val="004706C1"/>
    <w:rsid w:val="00472DF5"/>
    <w:rsid w:val="00490F5B"/>
    <w:rsid w:val="005915A0"/>
    <w:rsid w:val="005A1ACF"/>
    <w:rsid w:val="00611E0D"/>
    <w:rsid w:val="00651A4B"/>
    <w:rsid w:val="00656A54"/>
    <w:rsid w:val="006A10BD"/>
    <w:rsid w:val="00705A9E"/>
    <w:rsid w:val="0070739C"/>
    <w:rsid w:val="00721E79"/>
    <w:rsid w:val="00733055"/>
    <w:rsid w:val="007400E6"/>
    <w:rsid w:val="0076678C"/>
    <w:rsid w:val="00785440"/>
    <w:rsid w:val="00793622"/>
    <w:rsid w:val="007942FD"/>
    <w:rsid w:val="007A215C"/>
    <w:rsid w:val="008355D8"/>
    <w:rsid w:val="00847F7D"/>
    <w:rsid w:val="00856086"/>
    <w:rsid w:val="008713CF"/>
    <w:rsid w:val="00882B2C"/>
    <w:rsid w:val="008953A3"/>
    <w:rsid w:val="00897D27"/>
    <w:rsid w:val="008E4168"/>
    <w:rsid w:val="0093245E"/>
    <w:rsid w:val="00935E6D"/>
    <w:rsid w:val="009A29CC"/>
    <w:rsid w:val="009A493D"/>
    <w:rsid w:val="00A02B04"/>
    <w:rsid w:val="00A07568"/>
    <w:rsid w:val="00A16CE2"/>
    <w:rsid w:val="00A271BD"/>
    <w:rsid w:val="00A91F98"/>
    <w:rsid w:val="00A95789"/>
    <w:rsid w:val="00AC642D"/>
    <w:rsid w:val="00AD3D3E"/>
    <w:rsid w:val="00B1677C"/>
    <w:rsid w:val="00B232AF"/>
    <w:rsid w:val="00BA6378"/>
    <w:rsid w:val="00BB4029"/>
    <w:rsid w:val="00C10CB1"/>
    <w:rsid w:val="00CC21DD"/>
    <w:rsid w:val="00CF5643"/>
    <w:rsid w:val="00D05B63"/>
    <w:rsid w:val="00D0776F"/>
    <w:rsid w:val="00D22013"/>
    <w:rsid w:val="00D9642F"/>
    <w:rsid w:val="00DA275A"/>
    <w:rsid w:val="00DA74A2"/>
    <w:rsid w:val="00DC049F"/>
    <w:rsid w:val="00DC22F1"/>
    <w:rsid w:val="00DC2749"/>
    <w:rsid w:val="00DE7E31"/>
    <w:rsid w:val="00E15840"/>
    <w:rsid w:val="00E97783"/>
    <w:rsid w:val="00E97950"/>
    <w:rsid w:val="00ED01C6"/>
    <w:rsid w:val="00F135A8"/>
    <w:rsid w:val="00F220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37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3245E"/>
    <w:pPr>
      <w:spacing w:after="0" w:line="240" w:lineRule="auto"/>
    </w:pPr>
  </w:style>
  <w:style w:type="paragraph" w:styleId="Textpoznpodarou">
    <w:name w:val="footnote text"/>
    <w:aliases w:val="Rigo poznámka"/>
    <w:basedOn w:val="Normln"/>
    <w:link w:val="TextpoznpodarouChar"/>
    <w:uiPriority w:val="99"/>
    <w:unhideWhenUsed/>
    <w:qFormat/>
    <w:rsid w:val="00651A4B"/>
    <w:pPr>
      <w:spacing w:after="0" w:line="240" w:lineRule="auto"/>
    </w:pPr>
    <w:rPr>
      <w:sz w:val="20"/>
      <w:szCs w:val="20"/>
    </w:rPr>
  </w:style>
  <w:style w:type="character" w:customStyle="1" w:styleId="TextpoznpodarouChar">
    <w:name w:val="Text pozn. pod čarou Char"/>
    <w:aliases w:val="Rigo poznámka Char"/>
    <w:basedOn w:val="Standardnpsmoodstavce"/>
    <w:link w:val="Textpoznpodarou"/>
    <w:uiPriority w:val="99"/>
    <w:rsid w:val="00651A4B"/>
    <w:rPr>
      <w:sz w:val="20"/>
      <w:szCs w:val="20"/>
    </w:rPr>
  </w:style>
  <w:style w:type="character" w:styleId="Znakapoznpodarou">
    <w:name w:val="footnote reference"/>
    <w:basedOn w:val="Standardnpsmoodstavce"/>
    <w:uiPriority w:val="99"/>
    <w:semiHidden/>
    <w:unhideWhenUsed/>
    <w:rsid w:val="00651A4B"/>
    <w:rPr>
      <w:vertAlign w:val="superscript"/>
    </w:rPr>
  </w:style>
  <w:style w:type="paragraph" w:styleId="Odstavecseseznamem">
    <w:name w:val="List Paragraph"/>
    <w:basedOn w:val="Normln"/>
    <w:uiPriority w:val="34"/>
    <w:qFormat/>
    <w:rsid w:val="00882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C97C-0C57-43F9-82E6-17DD58D4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670</Words>
  <Characters>3954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j</cp:lastModifiedBy>
  <cp:revision>6</cp:revision>
  <dcterms:created xsi:type="dcterms:W3CDTF">2008-06-17T17:03:00Z</dcterms:created>
  <dcterms:modified xsi:type="dcterms:W3CDTF">2008-06-18T07:40:00Z</dcterms:modified>
</cp:coreProperties>
</file>