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9CC" w:rsidRDefault="009A29CC" w:rsidP="009A29CC">
      <w:pPr>
        <w:pStyle w:val="Bezmezer"/>
        <w:spacing w:line="360" w:lineRule="auto"/>
        <w:ind w:left="708"/>
        <w:jc w:val="center"/>
        <w:rPr>
          <w:rFonts w:ascii="Times New Roman" w:hAnsi="Times New Roman" w:cs="Times New Roman"/>
          <w:b/>
          <w:caps/>
          <w:sz w:val="28"/>
          <w:szCs w:val="28"/>
          <w:lang w:val="en-GB"/>
        </w:rPr>
      </w:pPr>
      <w:r w:rsidRPr="009A29CC">
        <w:rPr>
          <w:rFonts w:ascii="Times New Roman" w:hAnsi="Times New Roman" w:cs="Times New Roman"/>
          <w:b/>
          <w:caps/>
          <w:sz w:val="28"/>
          <w:szCs w:val="28"/>
          <w:lang w:val="en-GB"/>
        </w:rPr>
        <w:t>Conflict rules for delicts and quasi-delicts</w:t>
      </w:r>
      <w:r w:rsidR="00785440">
        <w:rPr>
          <w:rStyle w:val="Znakapoznpodarou"/>
          <w:rFonts w:ascii="Times New Roman" w:hAnsi="Times New Roman" w:cs="Times New Roman"/>
          <w:b/>
          <w:caps/>
          <w:sz w:val="28"/>
          <w:szCs w:val="28"/>
          <w:lang w:val="en-GB"/>
        </w:rPr>
        <w:footnoteReference w:id="2"/>
      </w:r>
    </w:p>
    <w:p w:rsidR="009A29CC" w:rsidRDefault="009A29CC" w:rsidP="009A29CC">
      <w:pPr>
        <w:pStyle w:val="Bezmezer"/>
        <w:spacing w:line="360" w:lineRule="auto"/>
        <w:ind w:left="708"/>
        <w:jc w:val="center"/>
        <w:rPr>
          <w:rFonts w:ascii="Times New Roman" w:hAnsi="Times New Roman" w:cs="Times New Roman"/>
          <w:b/>
          <w:caps/>
          <w:sz w:val="24"/>
          <w:szCs w:val="24"/>
          <w:lang w:val="en-GB"/>
        </w:rPr>
      </w:pPr>
    </w:p>
    <w:p w:rsidR="009A29CC" w:rsidRDefault="009A29CC" w:rsidP="009A29CC">
      <w:pPr>
        <w:pStyle w:val="Bezmezer"/>
        <w:spacing w:line="360" w:lineRule="auto"/>
        <w:ind w:left="708"/>
        <w:jc w:val="center"/>
        <w:rPr>
          <w:rFonts w:ascii="Times New Roman" w:hAnsi="Times New Roman" w:cs="Times New Roman"/>
          <w:b/>
          <w:caps/>
          <w:sz w:val="24"/>
          <w:szCs w:val="24"/>
          <w:lang w:val="en-GB"/>
        </w:rPr>
      </w:pPr>
      <w:r>
        <w:rPr>
          <w:rFonts w:ascii="Times New Roman" w:hAnsi="Times New Roman" w:cs="Times New Roman"/>
          <w:b/>
          <w:caps/>
          <w:sz w:val="24"/>
          <w:szCs w:val="24"/>
          <w:lang w:val="en-GB"/>
        </w:rPr>
        <w:t>JIRI VALDHANS, PETRA MYSAKOVA</w:t>
      </w:r>
    </w:p>
    <w:p w:rsidR="009A29CC" w:rsidRDefault="009A29CC" w:rsidP="009A29CC">
      <w:pPr>
        <w:pStyle w:val="Bezmezer"/>
        <w:spacing w:line="360" w:lineRule="auto"/>
        <w:ind w:left="708"/>
        <w:jc w:val="center"/>
        <w:rPr>
          <w:rFonts w:ascii="Times New Roman" w:hAnsi="Times New Roman" w:cs="Times New Roman"/>
          <w:sz w:val="24"/>
          <w:szCs w:val="24"/>
          <w:lang w:val="en-GB"/>
        </w:rPr>
      </w:pPr>
      <w:r>
        <w:rPr>
          <w:rFonts w:ascii="Times New Roman" w:hAnsi="Times New Roman" w:cs="Times New Roman"/>
          <w:sz w:val="24"/>
          <w:szCs w:val="24"/>
          <w:lang w:val="en-GB"/>
        </w:rPr>
        <w:t>Faculty of Law, Masaryk University, Department of International and European Law</w:t>
      </w:r>
    </w:p>
    <w:p w:rsidR="00785440" w:rsidRDefault="00785440" w:rsidP="009A29CC">
      <w:pPr>
        <w:pStyle w:val="Bezmezer"/>
        <w:spacing w:line="360" w:lineRule="auto"/>
        <w:ind w:left="708"/>
        <w:jc w:val="center"/>
        <w:rPr>
          <w:rFonts w:ascii="Times New Roman" w:hAnsi="Times New Roman" w:cs="Times New Roman"/>
          <w:sz w:val="24"/>
          <w:szCs w:val="24"/>
          <w:lang w:val="en-GB"/>
        </w:rPr>
      </w:pPr>
    </w:p>
    <w:p w:rsidR="00785440" w:rsidRDefault="00785440" w:rsidP="009A29CC">
      <w:pPr>
        <w:pStyle w:val="Bezmezer"/>
        <w:spacing w:line="360" w:lineRule="auto"/>
        <w:ind w:left="708"/>
        <w:jc w:val="center"/>
        <w:rPr>
          <w:rFonts w:ascii="Times New Roman" w:hAnsi="Times New Roman" w:cs="Times New Roman"/>
          <w:sz w:val="24"/>
          <w:szCs w:val="24"/>
          <w:lang w:val="en-GB"/>
        </w:rPr>
      </w:pPr>
    </w:p>
    <w:p w:rsidR="00785440" w:rsidRDefault="00785440" w:rsidP="00785440">
      <w:pPr>
        <w:pStyle w:val="Bezmeze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Abstract</w:t>
      </w:r>
    </w:p>
    <w:p w:rsidR="00785440" w:rsidRDefault="00733055" w:rsidP="00785440">
      <w:pPr>
        <w:pStyle w:val="Bezmezer"/>
        <w:spacing w:line="360" w:lineRule="auto"/>
        <w:jc w:val="both"/>
        <w:rPr>
          <w:rFonts w:ascii="Times New Roman" w:hAnsi="Times New Roman" w:cs="Times New Roman"/>
          <w:sz w:val="24"/>
          <w:szCs w:val="24"/>
          <w:lang w:val="en-GB"/>
        </w:rPr>
      </w:pPr>
      <w:r w:rsidRPr="004672F0">
        <w:rPr>
          <w:rFonts w:ascii="Times New Roman" w:hAnsi="Times New Roman" w:cs="Times New Roman"/>
          <w:sz w:val="24"/>
          <w:szCs w:val="24"/>
          <w:lang w:val="en-GB"/>
        </w:rPr>
        <w:t xml:space="preserve">Following </w:t>
      </w:r>
      <w:r w:rsidR="004672F0" w:rsidRPr="004672F0">
        <w:rPr>
          <w:rFonts w:ascii="Times New Roman" w:hAnsi="Times New Roman" w:cs="Times New Roman"/>
          <w:sz w:val="24"/>
          <w:szCs w:val="24"/>
          <w:lang w:val="en-GB"/>
        </w:rPr>
        <w:t xml:space="preserve">contribution deals with the conflict rules for delict/torts and quasi-delicts. We will </w:t>
      </w:r>
      <w:r w:rsidR="004672F0">
        <w:rPr>
          <w:rFonts w:ascii="Times New Roman" w:hAnsi="Times New Roman" w:cs="Times New Roman"/>
          <w:sz w:val="24"/>
          <w:szCs w:val="24"/>
          <w:lang w:val="en-GB"/>
        </w:rPr>
        <w:t xml:space="preserve">refer to unsuitability of present Czech national legal regulation and </w:t>
      </w:r>
      <w:r w:rsidR="00A02B04">
        <w:rPr>
          <w:rFonts w:ascii="Times New Roman" w:hAnsi="Times New Roman" w:cs="Times New Roman"/>
          <w:sz w:val="24"/>
          <w:szCs w:val="24"/>
          <w:lang w:val="en-GB"/>
        </w:rPr>
        <w:t xml:space="preserve">on the hierarchy of the conflict rules set in innovative Regulation Rome II we will document how huge shift is coming to the </w:t>
      </w:r>
      <w:r w:rsidR="00360774">
        <w:rPr>
          <w:rFonts w:ascii="Times New Roman" w:hAnsi="Times New Roman" w:cs="Times New Roman"/>
          <w:sz w:val="24"/>
          <w:szCs w:val="24"/>
          <w:lang w:val="en-GB"/>
        </w:rPr>
        <w:t>practise</w:t>
      </w:r>
      <w:r w:rsidR="00A02B04">
        <w:rPr>
          <w:rFonts w:ascii="Times New Roman" w:hAnsi="Times New Roman" w:cs="Times New Roman"/>
          <w:sz w:val="24"/>
          <w:szCs w:val="24"/>
          <w:lang w:val="en-GB"/>
        </w:rPr>
        <w:t xml:space="preserve"> of Czech courts.</w:t>
      </w:r>
    </w:p>
    <w:p w:rsidR="00A02B04" w:rsidRDefault="00A02B04" w:rsidP="00785440">
      <w:pPr>
        <w:pStyle w:val="Bezmezer"/>
        <w:spacing w:line="360" w:lineRule="auto"/>
        <w:jc w:val="both"/>
        <w:rPr>
          <w:rFonts w:ascii="Times New Roman" w:hAnsi="Times New Roman" w:cs="Times New Roman"/>
          <w:b/>
          <w:sz w:val="24"/>
          <w:szCs w:val="24"/>
          <w:lang w:val="en-GB"/>
        </w:rPr>
      </w:pPr>
    </w:p>
    <w:p w:rsidR="00785440" w:rsidRDefault="00785440" w:rsidP="00785440">
      <w:pPr>
        <w:pStyle w:val="Bezmeze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Key words</w:t>
      </w:r>
    </w:p>
    <w:p w:rsidR="00785440" w:rsidRPr="00785440" w:rsidRDefault="00785440" w:rsidP="00785440">
      <w:pPr>
        <w:autoSpaceDE w:val="0"/>
        <w:autoSpaceDN w:val="0"/>
        <w:adjustRightInd w:val="0"/>
        <w:spacing w:after="0" w:line="360" w:lineRule="auto"/>
        <w:jc w:val="both"/>
        <w:rPr>
          <w:rFonts w:ascii="Times New Roman" w:eastAsia="EUAlbertina-Regular-Identity-H" w:hAnsi="Times New Roman" w:cs="Times New Roman"/>
          <w:sz w:val="24"/>
          <w:szCs w:val="24"/>
          <w:lang w:val="en-GB"/>
        </w:rPr>
      </w:pPr>
      <w:r w:rsidRPr="00785440">
        <w:rPr>
          <w:rFonts w:ascii="Times New Roman" w:hAnsi="Times New Roman" w:cs="Times New Roman"/>
          <w:sz w:val="24"/>
          <w:szCs w:val="24"/>
          <w:lang w:val="en-GB"/>
        </w:rPr>
        <w:t xml:space="preserve">Conflict rule, delict, tort, non-contractual obligation,  private international law, Rome II, choice of law, unfair competition, </w:t>
      </w:r>
      <w:r>
        <w:rPr>
          <w:rFonts w:ascii="Times New Roman" w:hAnsi="Times New Roman" w:cs="Times New Roman"/>
          <w:sz w:val="24"/>
          <w:szCs w:val="24"/>
          <w:lang w:val="en-GB"/>
        </w:rPr>
        <w:t>p</w:t>
      </w:r>
      <w:r w:rsidRPr="00785440">
        <w:rPr>
          <w:rFonts w:ascii="Times New Roman" w:eastAsia="EUAlbertina-Regular-Identity-H" w:hAnsi="Times New Roman" w:cs="Times New Roman"/>
          <w:sz w:val="24"/>
          <w:szCs w:val="24"/>
          <w:lang w:val="en-GB"/>
        </w:rPr>
        <w:t>roduct liability</w:t>
      </w:r>
      <w:r>
        <w:rPr>
          <w:rFonts w:ascii="Times New Roman" w:eastAsia="EUAlbertina-Regular-Identity-H" w:hAnsi="Times New Roman" w:cs="Times New Roman"/>
          <w:sz w:val="24"/>
          <w:szCs w:val="24"/>
          <w:lang w:val="en-GB"/>
        </w:rPr>
        <w:t>, unfair competition</w:t>
      </w:r>
      <w:r w:rsidRPr="00785440">
        <w:rPr>
          <w:rFonts w:ascii="Times New Roman" w:eastAsia="EUAlbertina-Regular-Identity-H" w:hAnsi="Times New Roman" w:cs="Times New Roman"/>
          <w:sz w:val="24"/>
          <w:szCs w:val="24"/>
          <w:lang w:val="en-GB"/>
        </w:rPr>
        <w:t xml:space="preserve"> and acts restricting free competition</w:t>
      </w:r>
      <w:r>
        <w:rPr>
          <w:rFonts w:ascii="Times New Roman" w:eastAsia="EUAlbertina-Regular-Identity-H" w:hAnsi="Times New Roman" w:cs="Times New Roman"/>
          <w:sz w:val="24"/>
          <w:szCs w:val="24"/>
          <w:lang w:val="en-GB"/>
        </w:rPr>
        <w:t>, e</w:t>
      </w:r>
      <w:r w:rsidRPr="00785440">
        <w:rPr>
          <w:rFonts w:ascii="Times New Roman" w:eastAsia="EUAlbertina-Regular-Identity-H" w:hAnsi="Times New Roman" w:cs="Times New Roman"/>
          <w:sz w:val="24"/>
          <w:szCs w:val="24"/>
          <w:lang w:val="en-GB"/>
        </w:rPr>
        <w:t>nvironmental damage</w:t>
      </w:r>
      <w:r>
        <w:rPr>
          <w:rFonts w:ascii="Times New Roman" w:eastAsia="EUAlbertina-Regular-Identity-H" w:hAnsi="Times New Roman" w:cs="Times New Roman"/>
          <w:sz w:val="24"/>
          <w:szCs w:val="24"/>
          <w:lang w:val="en-GB"/>
        </w:rPr>
        <w:t>, i</w:t>
      </w:r>
      <w:r w:rsidRPr="00785440">
        <w:rPr>
          <w:rFonts w:ascii="Times New Roman" w:eastAsia="EUAlbertina-Regular-Identity-H" w:hAnsi="Times New Roman" w:cs="Times New Roman"/>
          <w:sz w:val="24"/>
          <w:szCs w:val="24"/>
          <w:lang w:val="en-GB"/>
        </w:rPr>
        <w:t>nfringement of intellectual property rights</w:t>
      </w:r>
      <w:r>
        <w:rPr>
          <w:rFonts w:ascii="Times New Roman" w:eastAsia="EUAlbertina-Regular-Identity-H" w:hAnsi="Times New Roman" w:cs="Times New Roman"/>
          <w:sz w:val="24"/>
          <w:szCs w:val="24"/>
          <w:lang w:val="en-GB"/>
        </w:rPr>
        <w:t>, i</w:t>
      </w:r>
      <w:r w:rsidRPr="00785440">
        <w:rPr>
          <w:rFonts w:ascii="Times New Roman" w:eastAsia="EUAlbertina-Regular-Identity-H" w:hAnsi="Times New Roman" w:cs="Times New Roman"/>
          <w:sz w:val="24"/>
          <w:szCs w:val="24"/>
          <w:lang w:val="en-GB"/>
        </w:rPr>
        <w:t>ndustrial action</w:t>
      </w:r>
      <w:r>
        <w:rPr>
          <w:rFonts w:ascii="Times New Roman" w:eastAsia="EUAlbertina-Regular-Identity-H" w:hAnsi="Times New Roman" w:cs="Times New Roman"/>
          <w:sz w:val="24"/>
          <w:szCs w:val="24"/>
          <w:lang w:val="en-GB"/>
        </w:rPr>
        <w:t xml:space="preserve">, defamation, unjust enrichment, </w:t>
      </w:r>
      <w:r>
        <w:rPr>
          <w:rFonts w:ascii="Times New Roman" w:eastAsia="EUAlbertina-Regular-Identity-H" w:hAnsi="Times New Roman" w:cs="Times New Roman"/>
          <w:i/>
          <w:sz w:val="24"/>
          <w:szCs w:val="24"/>
          <w:lang w:val="en-GB"/>
        </w:rPr>
        <w:t>negotiorum gestio</w:t>
      </w:r>
      <w:r>
        <w:rPr>
          <w:rFonts w:ascii="Times New Roman" w:eastAsia="EUAlbertina-Regular-Identity-H" w:hAnsi="Times New Roman" w:cs="Times New Roman"/>
          <w:sz w:val="24"/>
          <w:szCs w:val="24"/>
          <w:lang w:val="en-GB"/>
        </w:rPr>
        <w:t xml:space="preserve">, </w:t>
      </w:r>
      <w:r>
        <w:rPr>
          <w:rFonts w:ascii="Times New Roman" w:eastAsia="EUAlbertina-Regular-Identity-H" w:hAnsi="Times New Roman" w:cs="Times New Roman"/>
          <w:i/>
          <w:sz w:val="24"/>
          <w:szCs w:val="24"/>
          <w:lang w:val="en-GB"/>
        </w:rPr>
        <w:t>culpa in contrahendo</w:t>
      </w:r>
    </w:p>
    <w:p w:rsidR="00785440" w:rsidRPr="00785440" w:rsidRDefault="00785440" w:rsidP="00785440">
      <w:pPr>
        <w:pStyle w:val="Bezmezer"/>
        <w:spacing w:line="360" w:lineRule="auto"/>
        <w:jc w:val="both"/>
        <w:rPr>
          <w:rFonts w:ascii="Times New Roman" w:hAnsi="Times New Roman" w:cs="Times New Roman"/>
          <w:sz w:val="24"/>
          <w:szCs w:val="24"/>
          <w:lang w:val="en-GB"/>
        </w:rPr>
      </w:pPr>
    </w:p>
    <w:p w:rsidR="00B1677C" w:rsidRDefault="00D9642F" w:rsidP="00785440">
      <w:pPr>
        <w:pStyle w:val="Bezmezer"/>
        <w:spacing w:line="360" w:lineRule="auto"/>
        <w:jc w:val="both"/>
        <w:rPr>
          <w:rFonts w:ascii="Times New Roman" w:hAnsi="Times New Roman" w:cs="Times New Roman"/>
          <w:b/>
          <w:sz w:val="24"/>
          <w:szCs w:val="24"/>
          <w:lang w:val="en-GB"/>
        </w:rPr>
      </w:pPr>
      <w:r w:rsidRPr="00D9642F">
        <w:rPr>
          <w:rFonts w:ascii="Times New Roman" w:hAnsi="Times New Roman" w:cs="Times New Roman"/>
          <w:b/>
          <w:sz w:val="24"/>
          <w:szCs w:val="24"/>
          <w:lang w:val="en-GB"/>
        </w:rPr>
        <w:t>1.</w:t>
      </w:r>
      <w:r>
        <w:rPr>
          <w:rFonts w:ascii="Times New Roman" w:hAnsi="Times New Roman" w:cs="Times New Roman"/>
          <w:b/>
          <w:sz w:val="24"/>
          <w:szCs w:val="24"/>
          <w:lang w:val="en-GB"/>
        </w:rPr>
        <w:t xml:space="preserve"> Introduction</w:t>
      </w:r>
    </w:p>
    <w:p w:rsidR="00DE7E31" w:rsidRPr="00DE7E31" w:rsidRDefault="00DE7E31" w:rsidP="00DE7E31">
      <w:pPr>
        <w:pStyle w:val="Bezmezer"/>
        <w:spacing w:line="360" w:lineRule="auto"/>
        <w:ind w:firstLine="708"/>
        <w:jc w:val="both"/>
        <w:rPr>
          <w:rFonts w:ascii="Times New Roman" w:hAnsi="Times New Roman" w:cs="Times New Roman"/>
          <w:b/>
          <w:sz w:val="24"/>
          <w:szCs w:val="24"/>
          <w:lang w:val="en-GB"/>
        </w:rPr>
      </w:pPr>
    </w:p>
    <w:p w:rsidR="00BA6378" w:rsidRPr="00DE7E31" w:rsidRDefault="0093245E" w:rsidP="00785440">
      <w:pPr>
        <w:pStyle w:val="Bezmezer"/>
        <w:spacing w:line="360" w:lineRule="auto"/>
        <w:jc w:val="both"/>
        <w:rPr>
          <w:rFonts w:ascii="Times New Roman" w:hAnsi="Times New Roman" w:cs="Times New Roman"/>
          <w:sz w:val="24"/>
          <w:szCs w:val="24"/>
          <w:lang w:val="en-GB"/>
        </w:rPr>
      </w:pPr>
      <w:r w:rsidRPr="00DE7E31">
        <w:rPr>
          <w:rFonts w:ascii="Times New Roman" w:hAnsi="Times New Roman" w:cs="Times New Roman"/>
          <w:sz w:val="24"/>
          <w:szCs w:val="24"/>
          <w:lang w:val="en-GB"/>
        </w:rPr>
        <w:t>Czech private international law which has been until recently envisaged as exclusively national discipline only with higher number of international sources of law has been coming through fundamental changes connected with entering EC</w:t>
      </w:r>
      <w:r w:rsidR="00D05B63" w:rsidRPr="00D05B63">
        <w:rPr>
          <w:rFonts w:ascii="Times New Roman" w:hAnsi="Times New Roman" w:cs="Times New Roman"/>
          <w:sz w:val="24"/>
          <w:szCs w:val="24"/>
          <w:lang w:val="en-GB"/>
        </w:rPr>
        <w:t xml:space="preserve"> </w:t>
      </w:r>
      <w:r w:rsidR="00D05B63" w:rsidRPr="00DE7E31">
        <w:rPr>
          <w:rFonts w:ascii="Times New Roman" w:hAnsi="Times New Roman" w:cs="Times New Roman"/>
          <w:sz w:val="24"/>
          <w:szCs w:val="24"/>
          <w:lang w:val="en-GB"/>
        </w:rPr>
        <w:t xml:space="preserve">during </w:t>
      </w:r>
      <w:r w:rsidR="00D05B63">
        <w:rPr>
          <w:rFonts w:ascii="Times New Roman" w:hAnsi="Times New Roman" w:cs="Times New Roman"/>
          <w:sz w:val="24"/>
          <w:szCs w:val="24"/>
          <w:lang w:val="en-GB"/>
        </w:rPr>
        <w:t xml:space="preserve">the </w:t>
      </w:r>
      <w:r w:rsidR="00D05B63" w:rsidRPr="00DE7E31">
        <w:rPr>
          <w:rFonts w:ascii="Times New Roman" w:hAnsi="Times New Roman" w:cs="Times New Roman"/>
          <w:sz w:val="24"/>
          <w:szCs w:val="24"/>
          <w:lang w:val="en-GB"/>
        </w:rPr>
        <w:t>last decade</w:t>
      </w:r>
      <w:r w:rsidRPr="00DE7E31">
        <w:rPr>
          <w:rFonts w:ascii="Times New Roman" w:hAnsi="Times New Roman" w:cs="Times New Roman"/>
          <w:sz w:val="24"/>
          <w:szCs w:val="24"/>
          <w:lang w:val="en-GB"/>
        </w:rPr>
        <w:t xml:space="preserve">. We don’t want to justify all the changes by the </w:t>
      </w:r>
      <w:r w:rsidR="002A39DC">
        <w:rPr>
          <w:rFonts w:ascii="Times New Roman" w:hAnsi="Times New Roman" w:cs="Times New Roman"/>
          <w:sz w:val="24"/>
          <w:szCs w:val="24"/>
          <w:lang w:val="en-GB"/>
        </w:rPr>
        <w:t>accession</w:t>
      </w:r>
      <w:r w:rsidRPr="00DE7E31">
        <w:rPr>
          <w:rFonts w:ascii="Times New Roman" w:hAnsi="Times New Roman" w:cs="Times New Roman"/>
          <w:sz w:val="24"/>
          <w:szCs w:val="24"/>
          <w:lang w:val="en-GB"/>
        </w:rPr>
        <w:t xml:space="preserve"> </w:t>
      </w:r>
      <w:r w:rsidR="00D05B63">
        <w:rPr>
          <w:rFonts w:ascii="Times New Roman" w:hAnsi="Times New Roman" w:cs="Times New Roman"/>
          <w:sz w:val="24"/>
          <w:szCs w:val="24"/>
          <w:lang w:val="en-GB"/>
        </w:rPr>
        <w:t xml:space="preserve">into EC </w:t>
      </w:r>
      <w:r w:rsidRPr="00DE7E31">
        <w:rPr>
          <w:rFonts w:ascii="Times New Roman" w:hAnsi="Times New Roman" w:cs="Times New Roman"/>
          <w:sz w:val="24"/>
          <w:szCs w:val="24"/>
          <w:lang w:val="en-GB"/>
        </w:rPr>
        <w:t xml:space="preserve">but in context of PIL </w:t>
      </w:r>
      <w:r w:rsidR="002C3E0A" w:rsidRPr="00DE7E31">
        <w:rPr>
          <w:rFonts w:ascii="Times New Roman" w:hAnsi="Times New Roman" w:cs="Times New Roman"/>
          <w:sz w:val="24"/>
          <w:szCs w:val="24"/>
          <w:lang w:val="en-GB"/>
        </w:rPr>
        <w:t xml:space="preserve">it is not superficial simplification but pure establishment of facts. The scope of this contribution is not to analyze the </w:t>
      </w:r>
      <w:r w:rsidR="00DD53FF">
        <w:rPr>
          <w:rFonts w:ascii="Times New Roman" w:hAnsi="Times New Roman" w:cs="Times New Roman"/>
          <w:sz w:val="24"/>
          <w:szCs w:val="24"/>
          <w:lang w:val="en-GB"/>
        </w:rPr>
        <w:t>course</w:t>
      </w:r>
      <w:r w:rsidR="002C3E0A" w:rsidRPr="00DE7E31">
        <w:rPr>
          <w:rFonts w:ascii="Times New Roman" w:hAnsi="Times New Roman" w:cs="Times New Roman"/>
          <w:sz w:val="24"/>
          <w:szCs w:val="24"/>
          <w:lang w:val="en-GB"/>
        </w:rPr>
        <w:t xml:space="preserve"> of events on the field of PIL in general but to concentrate on one of the last PIL communitarian regulations – n. 864/2007 on the law applicable to non-contractual obligation (ROME II). This abbreviated name reflects among others </w:t>
      </w:r>
      <w:r w:rsidR="007400E6" w:rsidRPr="00DE7E31">
        <w:rPr>
          <w:rFonts w:ascii="Times New Roman" w:hAnsi="Times New Roman" w:cs="Times New Roman"/>
          <w:sz w:val="24"/>
          <w:szCs w:val="24"/>
          <w:lang w:val="en-GB"/>
        </w:rPr>
        <w:t>connection to ROME I (both Convention on the law applicable to contractual obligation and coming Regulation with the same name). These two legal acts – Rome I and Rome II</w:t>
      </w:r>
      <w:r w:rsidR="00935E6D" w:rsidRPr="00DE7E31">
        <w:rPr>
          <w:rFonts w:ascii="Times New Roman" w:hAnsi="Times New Roman" w:cs="Times New Roman"/>
          <w:sz w:val="24"/>
          <w:szCs w:val="24"/>
          <w:lang w:val="en-GB"/>
        </w:rPr>
        <w:t xml:space="preserve"> – </w:t>
      </w:r>
      <w:r w:rsidR="002A39DC" w:rsidRPr="00DE7E31">
        <w:rPr>
          <w:rFonts w:ascii="Times New Roman" w:hAnsi="Times New Roman" w:cs="Times New Roman"/>
          <w:sz w:val="24"/>
          <w:szCs w:val="24"/>
          <w:lang w:val="en-GB"/>
        </w:rPr>
        <w:t xml:space="preserve">cover </w:t>
      </w:r>
      <w:r w:rsidR="00935E6D" w:rsidRPr="00DE7E31">
        <w:rPr>
          <w:rFonts w:ascii="Times New Roman" w:hAnsi="Times New Roman" w:cs="Times New Roman"/>
          <w:sz w:val="24"/>
          <w:szCs w:val="24"/>
          <w:lang w:val="en-GB"/>
        </w:rPr>
        <w:t xml:space="preserve">together both contractual and non-contractual obligations. </w:t>
      </w:r>
    </w:p>
    <w:p w:rsidR="00DE7E31" w:rsidRDefault="00DE7E31" w:rsidP="00DE7E31">
      <w:pPr>
        <w:pStyle w:val="Bezmezer"/>
        <w:spacing w:line="360" w:lineRule="auto"/>
        <w:ind w:firstLine="708"/>
        <w:jc w:val="both"/>
        <w:rPr>
          <w:rFonts w:ascii="Times New Roman" w:hAnsi="Times New Roman" w:cs="Times New Roman"/>
          <w:sz w:val="24"/>
          <w:szCs w:val="24"/>
          <w:lang w:val="en-GB"/>
        </w:rPr>
      </w:pPr>
    </w:p>
    <w:p w:rsidR="00935E6D" w:rsidRPr="00DE7E31" w:rsidRDefault="00BE1E24" w:rsidP="00785440">
      <w:pPr>
        <w:pStyle w:val="Bezmeze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In general - p</w:t>
      </w:r>
      <w:r w:rsidR="00935E6D" w:rsidRPr="00DE7E31">
        <w:rPr>
          <w:rFonts w:ascii="Times New Roman" w:hAnsi="Times New Roman" w:cs="Times New Roman"/>
          <w:sz w:val="24"/>
          <w:szCs w:val="24"/>
          <w:lang w:val="en-GB"/>
        </w:rPr>
        <w:t xml:space="preserve">resent Czech national conflict of law regulation is </w:t>
      </w:r>
      <w:r w:rsidR="00611E0D" w:rsidRPr="00DE7E31">
        <w:rPr>
          <w:rFonts w:ascii="Times New Roman" w:hAnsi="Times New Roman" w:cs="Times New Roman"/>
          <w:sz w:val="24"/>
          <w:szCs w:val="24"/>
          <w:lang w:val="en-GB"/>
        </w:rPr>
        <w:t xml:space="preserve">more likely fragmentary and unsuitable therefore </w:t>
      </w:r>
      <w:r w:rsidR="00733055">
        <w:rPr>
          <w:rFonts w:ascii="Times New Roman" w:hAnsi="Times New Roman" w:cs="Times New Roman"/>
          <w:sz w:val="24"/>
          <w:szCs w:val="24"/>
          <w:lang w:val="en-GB"/>
        </w:rPr>
        <w:t>the</w:t>
      </w:r>
      <w:r w:rsidR="00611E0D" w:rsidRPr="00DE7E31">
        <w:rPr>
          <w:rFonts w:ascii="Times New Roman" w:hAnsi="Times New Roman" w:cs="Times New Roman"/>
          <w:sz w:val="24"/>
          <w:szCs w:val="24"/>
          <w:lang w:val="en-GB"/>
        </w:rPr>
        <w:t xml:space="preserve"> new European legal regulation represents the huge step in this field of PIL. We will document this establishment thereinafter.</w:t>
      </w:r>
    </w:p>
    <w:p w:rsidR="00DE7E31" w:rsidRDefault="00DE7E31" w:rsidP="00DE7E31">
      <w:pPr>
        <w:pStyle w:val="Bezmezer"/>
        <w:spacing w:line="360" w:lineRule="auto"/>
        <w:ind w:firstLine="708"/>
        <w:jc w:val="both"/>
        <w:rPr>
          <w:rFonts w:ascii="Times New Roman" w:hAnsi="Times New Roman" w:cs="Times New Roman"/>
          <w:sz w:val="24"/>
          <w:szCs w:val="24"/>
          <w:lang w:val="en-GB"/>
        </w:rPr>
      </w:pPr>
    </w:p>
    <w:p w:rsidR="00611E0D" w:rsidRPr="00DE7E31" w:rsidRDefault="00611E0D" w:rsidP="00785440">
      <w:pPr>
        <w:pStyle w:val="Bezmezer"/>
        <w:spacing w:line="360" w:lineRule="auto"/>
        <w:jc w:val="both"/>
        <w:rPr>
          <w:rFonts w:ascii="Times New Roman" w:hAnsi="Times New Roman" w:cs="Times New Roman"/>
          <w:sz w:val="24"/>
          <w:szCs w:val="24"/>
          <w:lang w:val="en-GB"/>
        </w:rPr>
      </w:pPr>
      <w:r w:rsidRPr="00DE7E31">
        <w:rPr>
          <w:rFonts w:ascii="Times New Roman" w:hAnsi="Times New Roman" w:cs="Times New Roman"/>
          <w:sz w:val="24"/>
          <w:szCs w:val="24"/>
          <w:lang w:val="en-GB"/>
        </w:rPr>
        <w:t xml:space="preserve">The purpose of this contribution is to give </w:t>
      </w:r>
      <w:r w:rsidR="002A39DC">
        <w:rPr>
          <w:rFonts w:ascii="Times New Roman" w:hAnsi="Times New Roman" w:cs="Times New Roman"/>
          <w:sz w:val="24"/>
          <w:szCs w:val="24"/>
          <w:lang w:val="en-GB"/>
        </w:rPr>
        <w:t>the</w:t>
      </w:r>
      <w:r w:rsidRPr="00DE7E31">
        <w:rPr>
          <w:rFonts w:ascii="Times New Roman" w:hAnsi="Times New Roman" w:cs="Times New Roman"/>
          <w:sz w:val="24"/>
          <w:szCs w:val="24"/>
          <w:lang w:val="en-GB"/>
        </w:rPr>
        <w:t xml:space="preserve"> reader the summarizing </w:t>
      </w:r>
      <w:r w:rsidR="005915A0" w:rsidRPr="00DE7E31">
        <w:rPr>
          <w:rFonts w:ascii="Times New Roman" w:hAnsi="Times New Roman" w:cs="Times New Roman"/>
          <w:sz w:val="24"/>
          <w:szCs w:val="24"/>
          <w:lang w:val="en-GB"/>
        </w:rPr>
        <w:t xml:space="preserve">review of the conflict of law rules which are implicated in the </w:t>
      </w:r>
      <w:r w:rsidR="00B1677C" w:rsidRPr="00DE7E31">
        <w:rPr>
          <w:rFonts w:ascii="Times New Roman" w:hAnsi="Times New Roman" w:cs="Times New Roman"/>
          <w:sz w:val="24"/>
          <w:szCs w:val="24"/>
          <w:lang w:val="en-GB"/>
        </w:rPr>
        <w:t>Rome II Regulation and to compare this legal regulation with present Czech national one.</w:t>
      </w:r>
      <w:r w:rsidR="005915A0" w:rsidRPr="00DE7E31">
        <w:rPr>
          <w:rFonts w:ascii="Times New Roman" w:hAnsi="Times New Roman" w:cs="Times New Roman"/>
          <w:sz w:val="24"/>
          <w:szCs w:val="24"/>
          <w:lang w:val="en-GB"/>
        </w:rPr>
        <w:t xml:space="preserve"> We will skip over the genesis of the European area of justice, freedom and security and also over the development of </w:t>
      </w:r>
      <w:r w:rsidR="00B43055">
        <w:rPr>
          <w:rFonts w:ascii="Times New Roman" w:hAnsi="Times New Roman" w:cs="Times New Roman"/>
          <w:sz w:val="24"/>
          <w:szCs w:val="24"/>
          <w:lang w:val="en-GB"/>
        </w:rPr>
        <w:t>Rome II</w:t>
      </w:r>
      <w:r w:rsidR="005915A0" w:rsidRPr="00DE7E31">
        <w:rPr>
          <w:rFonts w:ascii="Times New Roman" w:hAnsi="Times New Roman" w:cs="Times New Roman"/>
          <w:sz w:val="24"/>
          <w:szCs w:val="24"/>
          <w:lang w:val="en-GB"/>
        </w:rPr>
        <w:t xml:space="preserve">. </w:t>
      </w:r>
      <w:r w:rsidR="00733055">
        <w:rPr>
          <w:rFonts w:ascii="Times New Roman" w:hAnsi="Times New Roman" w:cs="Times New Roman"/>
          <w:sz w:val="24"/>
          <w:szCs w:val="24"/>
          <w:lang w:val="en-GB"/>
        </w:rPr>
        <w:t>We also put aside the area of international conventions regulating the are</w:t>
      </w:r>
      <w:r w:rsidR="00B43055">
        <w:rPr>
          <w:rFonts w:ascii="Times New Roman" w:hAnsi="Times New Roman" w:cs="Times New Roman"/>
          <w:sz w:val="24"/>
          <w:szCs w:val="24"/>
          <w:lang w:val="en-GB"/>
        </w:rPr>
        <w:t>a</w:t>
      </w:r>
      <w:r w:rsidR="00733055">
        <w:rPr>
          <w:rFonts w:ascii="Times New Roman" w:hAnsi="Times New Roman" w:cs="Times New Roman"/>
          <w:sz w:val="24"/>
          <w:szCs w:val="24"/>
          <w:lang w:val="en-GB"/>
        </w:rPr>
        <w:t xml:space="preserve"> of conflict rules for delicts.</w:t>
      </w:r>
    </w:p>
    <w:p w:rsidR="000465F2" w:rsidRPr="00DE7E31" w:rsidRDefault="000465F2" w:rsidP="00DE7E31">
      <w:pPr>
        <w:pStyle w:val="Bezmezer"/>
        <w:spacing w:line="360" w:lineRule="auto"/>
        <w:ind w:firstLine="708"/>
        <w:jc w:val="both"/>
        <w:rPr>
          <w:rFonts w:ascii="Times New Roman" w:hAnsi="Times New Roman" w:cs="Times New Roman"/>
          <w:sz w:val="24"/>
          <w:szCs w:val="24"/>
          <w:lang w:val="en-GB"/>
        </w:rPr>
      </w:pPr>
    </w:p>
    <w:p w:rsidR="000465F2" w:rsidRDefault="00D9642F" w:rsidP="00785440">
      <w:pPr>
        <w:pStyle w:val="Bezmeze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2. </w:t>
      </w:r>
      <w:r w:rsidR="00793622" w:rsidRPr="00DE7E31">
        <w:rPr>
          <w:rFonts w:ascii="Times New Roman" w:hAnsi="Times New Roman" w:cs="Times New Roman"/>
          <w:b/>
          <w:sz w:val="24"/>
          <w:szCs w:val="24"/>
          <w:lang w:val="en-GB"/>
        </w:rPr>
        <w:t>Non-contractual obligation</w:t>
      </w:r>
    </w:p>
    <w:p w:rsidR="00DE7E31" w:rsidRPr="00DE7E31" w:rsidRDefault="00DE7E31" w:rsidP="00DE7E31">
      <w:pPr>
        <w:pStyle w:val="Bezmezer"/>
        <w:spacing w:line="360" w:lineRule="auto"/>
        <w:ind w:firstLine="708"/>
        <w:jc w:val="both"/>
        <w:rPr>
          <w:rFonts w:ascii="Times New Roman" w:hAnsi="Times New Roman" w:cs="Times New Roman"/>
          <w:b/>
          <w:sz w:val="24"/>
          <w:szCs w:val="24"/>
          <w:lang w:val="en-GB"/>
        </w:rPr>
      </w:pPr>
    </w:p>
    <w:p w:rsidR="000465F2" w:rsidRPr="00DE7E31" w:rsidRDefault="000465F2" w:rsidP="00785440">
      <w:pPr>
        <w:pStyle w:val="Bezmezer"/>
        <w:spacing w:line="360" w:lineRule="auto"/>
        <w:jc w:val="both"/>
        <w:rPr>
          <w:rFonts w:ascii="Times New Roman" w:hAnsi="Times New Roman" w:cs="Times New Roman"/>
          <w:sz w:val="24"/>
          <w:szCs w:val="24"/>
          <w:lang w:val="en-GB"/>
        </w:rPr>
      </w:pPr>
      <w:r w:rsidRPr="00DE7E31">
        <w:rPr>
          <w:rFonts w:ascii="Times New Roman" w:hAnsi="Times New Roman" w:cs="Times New Roman"/>
          <w:sz w:val="24"/>
          <w:szCs w:val="24"/>
          <w:lang w:val="en-GB"/>
        </w:rPr>
        <w:t>First of all we consider necessary to outline very briefly what we think of delict. It would be more accurate to use the term non-contractual obligation which is used in the regulation Rome II. Non-contractual obligation rises not from the contract</w:t>
      </w:r>
      <w:r w:rsidR="00DC22F1" w:rsidRPr="00DE7E31">
        <w:rPr>
          <w:rFonts w:ascii="Times New Roman" w:hAnsi="Times New Roman" w:cs="Times New Roman"/>
          <w:sz w:val="24"/>
          <w:szCs w:val="24"/>
          <w:lang w:val="en-GB"/>
        </w:rPr>
        <w:t xml:space="preserve"> but from the breach of a duty defined by the objective law while the</w:t>
      </w:r>
      <w:r w:rsidR="00B43055">
        <w:rPr>
          <w:rFonts w:ascii="Times New Roman" w:hAnsi="Times New Roman" w:cs="Times New Roman"/>
          <w:sz w:val="24"/>
          <w:szCs w:val="24"/>
          <w:lang w:val="en-GB"/>
        </w:rPr>
        <w:t>re is no legal but only factual</w:t>
      </w:r>
      <w:r w:rsidR="00DC22F1" w:rsidRPr="00DE7E31">
        <w:rPr>
          <w:rFonts w:ascii="Times New Roman" w:hAnsi="Times New Roman" w:cs="Times New Roman"/>
          <w:sz w:val="24"/>
          <w:szCs w:val="24"/>
          <w:lang w:val="en-GB"/>
        </w:rPr>
        <w:t xml:space="preserve"> relationship between parties. From the breach of a legal provision the responsibility obligation arises</w:t>
      </w:r>
      <w:r w:rsidR="00D0776F" w:rsidRPr="00DE7E31">
        <w:rPr>
          <w:rFonts w:ascii="Times New Roman" w:hAnsi="Times New Roman" w:cs="Times New Roman"/>
          <w:sz w:val="24"/>
          <w:szCs w:val="24"/>
          <w:lang w:val="en-GB"/>
        </w:rPr>
        <w:t xml:space="preserve"> and this obligation is already </w:t>
      </w:r>
      <w:r w:rsidR="00793622" w:rsidRPr="00DE7E31">
        <w:rPr>
          <w:rFonts w:ascii="Times New Roman" w:hAnsi="Times New Roman" w:cs="Times New Roman"/>
          <w:sz w:val="24"/>
          <w:szCs w:val="24"/>
          <w:lang w:val="en-GB"/>
        </w:rPr>
        <w:t xml:space="preserve">the legal one. </w:t>
      </w:r>
      <w:r w:rsidR="00A460C2">
        <w:rPr>
          <w:rFonts w:ascii="Times New Roman" w:hAnsi="Times New Roman" w:cs="Times New Roman"/>
          <w:sz w:val="24"/>
          <w:szCs w:val="24"/>
          <w:lang w:val="en-GB"/>
        </w:rPr>
        <w:t>Usually</w:t>
      </w:r>
      <w:r w:rsidR="00793622" w:rsidRPr="00DE7E31">
        <w:rPr>
          <w:rFonts w:ascii="Times New Roman" w:hAnsi="Times New Roman" w:cs="Times New Roman"/>
          <w:sz w:val="24"/>
          <w:szCs w:val="24"/>
          <w:lang w:val="en-GB"/>
        </w:rPr>
        <w:t xml:space="preserve"> two divisions of non-contractual obligation</w:t>
      </w:r>
      <w:r w:rsidR="00A460C2">
        <w:rPr>
          <w:rFonts w:ascii="Times New Roman" w:hAnsi="Times New Roman" w:cs="Times New Roman"/>
          <w:sz w:val="24"/>
          <w:szCs w:val="24"/>
          <w:lang w:val="en-GB"/>
        </w:rPr>
        <w:t xml:space="preserve"> are distinguished</w:t>
      </w:r>
      <w:r w:rsidR="00793622" w:rsidRPr="00DE7E31">
        <w:rPr>
          <w:rFonts w:ascii="Times New Roman" w:hAnsi="Times New Roman" w:cs="Times New Roman"/>
          <w:sz w:val="24"/>
          <w:szCs w:val="24"/>
          <w:lang w:val="en-GB"/>
        </w:rPr>
        <w:t xml:space="preserve">. </w:t>
      </w:r>
      <w:r w:rsidR="00DC2749" w:rsidRPr="00DE7E31">
        <w:rPr>
          <w:rFonts w:ascii="Times New Roman" w:hAnsi="Times New Roman" w:cs="Times New Roman"/>
          <w:sz w:val="24"/>
          <w:szCs w:val="24"/>
          <w:lang w:val="en-GB"/>
        </w:rPr>
        <w:t>The f</w:t>
      </w:r>
      <w:r w:rsidR="00E97950" w:rsidRPr="00DE7E31">
        <w:rPr>
          <w:rFonts w:ascii="Times New Roman" w:hAnsi="Times New Roman" w:cs="Times New Roman"/>
          <w:sz w:val="24"/>
          <w:szCs w:val="24"/>
          <w:lang w:val="en-GB"/>
        </w:rPr>
        <w:t>irst</w:t>
      </w:r>
      <w:r w:rsidR="00793622" w:rsidRPr="00DE7E31">
        <w:rPr>
          <w:rFonts w:ascii="Times New Roman" w:hAnsi="Times New Roman" w:cs="Times New Roman"/>
          <w:sz w:val="24"/>
          <w:szCs w:val="24"/>
          <w:lang w:val="en-GB"/>
        </w:rPr>
        <w:t xml:space="preserve"> </w:t>
      </w:r>
      <w:r w:rsidR="00DC2749" w:rsidRPr="00DE7E31">
        <w:rPr>
          <w:rFonts w:ascii="Times New Roman" w:hAnsi="Times New Roman" w:cs="Times New Roman"/>
          <w:sz w:val="24"/>
          <w:szCs w:val="24"/>
          <w:lang w:val="en-GB"/>
        </w:rPr>
        <w:t xml:space="preserve">one </w:t>
      </w:r>
      <w:r w:rsidR="00793622" w:rsidRPr="00DE7E31">
        <w:rPr>
          <w:rFonts w:ascii="Times New Roman" w:hAnsi="Times New Roman" w:cs="Times New Roman"/>
          <w:sz w:val="24"/>
          <w:szCs w:val="24"/>
          <w:lang w:val="en-GB"/>
        </w:rPr>
        <w:t xml:space="preserve">where </w:t>
      </w:r>
      <w:r w:rsidR="00E97950" w:rsidRPr="00DE7E31">
        <w:rPr>
          <w:rFonts w:ascii="Times New Roman" w:hAnsi="Times New Roman" w:cs="Times New Roman"/>
          <w:sz w:val="24"/>
          <w:szCs w:val="24"/>
          <w:lang w:val="en-GB"/>
        </w:rPr>
        <w:t>the irregularity</w:t>
      </w:r>
      <w:r w:rsidR="00CF5643" w:rsidRPr="00DE7E31">
        <w:rPr>
          <w:rFonts w:ascii="Times New Roman" w:hAnsi="Times New Roman" w:cs="Times New Roman"/>
          <w:sz w:val="24"/>
          <w:szCs w:val="24"/>
          <w:lang w:val="en-GB"/>
        </w:rPr>
        <w:t xml:space="preserve"> (wrongfulness)</w:t>
      </w:r>
      <w:r w:rsidR="00E97950" w:rsidRPr="00DE7E31">
        <w:rPr>
          <w:rFonts w:ascii="Times New Roman" w:hAnsi="Times New Roman" w:cs="Times New Roman"/>
          <w:sz w:val="24"/>
          <w:szCs w:val="24"/>
          <w:lang w:val="en-GB"/>
        </w:rPr>
        <w:t xml:space="preserve"> constitutes</w:t>
      </w:r>
      <w:r w:rsidR="00793622" w:rsidRPr="00DE7E31">
        <w:rPr>
          <w:rFonts w:ascii="Times New Roman" w:hAnsi="Times New Roman" w:cs="Times New Roman"/>
          <w:sz w:val="24"/>
          <w:szCs w:val="24"/>
          <w:lang w:val="en-GB"/>
        </w:rPr>
        <w:t xml:space="preserve"> the essential presumption of existence </w:t>
      </w:r>
      <w:r w:rsidR="00E97950" w:rsidRPr="00DE7E31">
        <w:rPr>
          <w:rFonts w:ascii="Times New Roman" w:hAnsi="Times New Roman" w:cs="Times New Roman"/>
          <w:sz w:val="24"/>
          <w:szCs w:val="24"/>
          <w:lang w:val="en-GB"/>
        </w:rPr>
        <w:t>(unfair competition, defamation) and the second group where contrariwise the irregularity</w:t>
      </w:r>
      <w:r w:rsidR="00CF5643" w:rsidRPr="00DE7E31">
        <w:rPr>
          <w:rFonts w:ascii="Times New Roman" w:hAnsi="Times New Roman" w:cs="Times New Roman"/>
          <w:sz w:val="24"/>
          <w:szCs w:val="24"/>
          <w:lang w:val="en-GB"/>
        </w:rPr>
        <w:t xml:space="preserve"> (wrongfulness)</w:t>
      </w:r>
      <w:r w:rsidR="00E97950" w:rsidRPr="00DE7E31">
        <w:rPr>
          <w:rFonts w:ascii="Times New Roman" w:hAnsi="Times New Roman" w:cs="Times New Roman"/>
          <w:sz w:val="24"/>
          <w:szCs w:val="24"/>
          <w:lang w:val="en-GB"/>
        </w:rPr>
        <w:t xml:space="preserve"> is absent</w:t>
      </w:r>
      <w:r w:rsidR="00DC2749" w:rsidRPr="00DE7E31">
        <w:rPr>
          <w:rFonts w:ascii="Times New Roman" w:hAnsi="Times New Roman" w:cs="Times New Roman"/>
          <w:sz w:val="24"/>
          <w:szCs w:val="24"/>
          <w:lang w:val="en-GB"/>
        </w:rPr>
        <w:t xml:space="preserve">. The first group – delicts – is better known and represents the bigger part but we </w:t>
      </w:r>
      <w:r w:rsidR="002472BF" w:rsidRPr="00DE7E31">
        <w:rPr>
          <w:rFonts w:ascii="Times New Roman" w:hAnsi="Times New Roman" w:cs="Times New Roman"/>
          <w:sz w:val="24"/>
          <w:szCs w:val="24"/>
          <w:lang w:val="en-GB"/>
        </w:rPr>
        <w:t>can’t</w:t>
      </w:r>
      <w:r w:rsidR="00DC2749" w:rsidRPr="00DE7E31">
        <w:rPr>
          <w:rFonts w:ascii="Times New Roman" w:hAnsi="Times New Roman" w:cs="Times New Roman"/>
          <w:sz w:val="24"/>
          <w:szCs w:val="24"/>
          <w:lang w:val="en-GB"/>
        </w:rPr>
        <w:t xml:space="preserve"> leave out of consideration the second group – sometimes called in the Czech theory as quasi-delicts i.e. unjust enrichment or pre-contractual liability. </w:t>
      </w:r>
    </w:p>
    <w:p w:rsidR="00785440" w:rsidRDefault="00785440" w:rsidP="00785440">
      <w:pPr>
        <w:pStyle w:val="Bezmezer"/>
        <w:spacing w:line="360" w:lineRule="auto"/>
        <w:jc w:val="both"/>
        <w:rPr>
          <w:rFonts w:ascii="Times New Roman" w:hAnsi="Times New Roman" w:cs="Times New Roman"/>
          <w:sz w:val="24"/>
          <w:szCs w:val="24"/>
          <w:lang w:val="en-GB"/>
        </w:rPr>
      </w:pPr>
    </w:p>
    <w:p w:rsidR="00DC2749" w:rsidRPr="00DE7E31" w:rsidRDefault="00DC2749" w:rsidP="00785440">
      <w:pPr>
        <w:pStyle w:val="Bezmezer"/>
        <w:spacing w:line="360" w:lineRule="auto"/>
        <w:jc w:val="both"/>
        <w:rPr>
          <w:rFonts w:ascii="Times New Roman" w:hAnsi="Times New Roman" w:cs="Times New Roman"/>
          <w:sz w:val="24"/>
          <w:szCs w:val="24"/>
          <w:lang w:val="en-GB"/>
        </w:rPr>
      </w:pPr>
      <w:r w:rsidRPr="00DE7E31">
        <w:rPr>
          <w:rFonts w:ascii="Times New Roman" w:hAnsi="Times New Roman" w:cs="Times New Roman"/>
          <w:sz w:val="24"/>
          <w:szCs w:val="24"/>
          <w:lang w:val="en-GB"/>
        </w:rPr>
        <w:t xml:space="preserve">We would like to mention very shortly whether it is necessary to diverse between delicts (Czech/continental point of view) and torts (common-law point of view). Even though there is a difference in the methodology of these two institutes – continental systems of law prefer general clause combined and supplemented by a few of particular provisions whereas </w:t>
      </w:r>
      <w:r w:rsidR="00240A93" w:rsidRPr="00DE7E31">
        <w:rPr>
          <w:rFonts w:ascii="Times New Roman" w:hAnsi="Times New Roman" w:cs="Times New Roman"/>
          <w:sz w:val="24"/>
          <w:szCs w:val="24"/>
          <w:lang w:val="en-GB"/>
        </w:rPr>
        <w:t>high number of concrete types of torts inhere to common law systems but the main principles of both legal institutes are the same – the breach of a duty defined by the objective law, implication of such a breach and the causal connection between previous mentioned two points.</w:t>
      </w:r>
    </w:p>
    <w:p w:rsidR="00E97950" w:rsidRPr="00DE7E31" w:rsidRDefault="00E97950" w:rsidP="00DE7E31">
      <w:pPr>
        <w:pStyle w:val="Bezmezer"/>
        <w:spacing w:line="360" w:lineRule="auto"/>
        <w:ind w:firstLine="708"/>
        <w:jc w:val="both"/>
        <w:rPr>
          <w:rFonts w:ascii="Times New Roman" w:hAnsi="Times New Roman" w:cs="Times New Roman"/>
          <w:sz w:val="24"/>
          <w:szCs w:val="24"/>
          <w:lang w:val="en-GB"/>
        </w:rPr>
      </w:pPr>
    </w:p>
    <w:p w:rsidR="00B1677C" w:rsidRDefault="00D9642F" w:rsidP="00DE7E31">
      <w:pPr>
        <w:pStyle w:val="Bezmeze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3. </w:t>
      </w:r>
      <w:r w:rsidR="00B1677C" w:rsidRPr="00DE7E31">
        <w:rPr>
          <w:rFonts w:ascii="Times New Roman" w:hAnsi="Times New Roman" w:cs="Times New Roman"/>
          <w:b/>
          <w:sz w:val="24"/>
          <w:szCs w:val="24"/>
          <w:lang w:val="en-GB"/>
        </w:rPr>
        <w:t>Czech PIL Act n. 97/1963</w:t>
      </w:r>
    </w:p>
    <w:p w:rsidR="00DE7E31" w:rsidRPr="00DE7E31" w:rsidRDefault="00DE7E31" w:rsidP="00DE7E31">
      <w:pPr>
        <w:pStyle w:val="Bezmezer"/>
        <w:spacing w:line="360" w:lineRule="auto"/>
        <w:jc w:val="both"/>
        <w:rPr>
          <w:rFonts w:ascii="Times New Roman" w:hAnsi="Times New Roman" w:cs="Times New Roman"/>
          <w:b/>
          <w:sz w:val="24"/>
          <w:szCs w:val="24"/>
          <w:lang w:val="en-GB"/>
        </w:rPr>
      </w:pPr>
    </w:p>
    <w:p w:rsidR="00B1677C" w:rsidRPr="00DE7E31" w:rsidRDefault="00C10CB1" w:rsidP="00DE7E31">
      <w:pPr>
        <w:pStyle w:val="Bezmezer"/>
        <w:spacing w:line="360" w:lineRule="auto"/>
        <w:jc w:val="both"/>
        <w:rPr>
          <w:rFonts w:ascii="Times New Roman" w:hAnsi="Times New Roman" w:cs="Times New Roman"/>
          <w:sz w:val="24"/>
          <w:szCs w:val="24"/>
          <w:lang w:val="en-GB"/>
        </w:rPr>
      </w:pPr>
      <w:r w:rsidRPr="00DE7E31">
        <w:rPr>
          <w:rFonts w:ascii="Times New Roman" w:hAnsi="Times New Roman" w:cs="Times New Roman"/>
          <w:sz w:val="24"/>
          <w:szCs w:val="24"/>
          <w:lang w:val="en-GB"/>
        </w:rPr>
        <w:t xml:space="preserve">In the present Czech law there is only one legal provision dealing with non-contractual obligation – section 15 of PIL Act. And even this information is </w:t>
      </w:r>
      <w:r w:rsidR="00187155">
        <w:rPr>
          <w:rFonts w:ascii="Times New Roman" w:hAnsi="Times New Roman" w:cs="Times New Roman"/>
          <w:sz w:val="24"/>
          <w:szCs w:val="24"/>
          <w:lang w:val="en-GB"/>
        </w:rPr>
        <w:t xml:space="preserve">a </w:t>
      </w:r>
      <w:r w:rsidRPr="00DE7E31">
        <w:rPr>
          <w:rFonts w:ascii="Times New Roman" w:hAnsi="Times New Roman" w:cs="Times New Roman"/>
          <w:sz w:val="24"/>
          <w:szCs w:val="24"/>
          <w:lang w:val="en-GB"/>
        </w:rPr>
        <w:t>little bid flaming. This provision concerns not the delicts/torts as such but only the</w:t>
      </w:r>
      <w:r w:rsidR="00187155">
        <w:rPr>
          <w:rFonts w:ascii="Times New Roman" w:hAnsi="Times New Roman" w:cs="Times New Roman"/>
          <w:sz w:val="24"/>
          <w:szCs w:val="24"/>
          <w:lang w:val="en-GB"/>
        </w:rPr>
        <w:t>ir</w:t>
      </w:r>
      <w:r w:rsidRPr="00DE7E31">
        <w:rPr>
          <w:rFonts w:ascii="Times New Roman" w:hAnsi="Times New Roman" w:cs="Times New Roman"/>
          <w:sz w:val="24"/>
          <w:szCs w:val="24"/>
          <w:lang w:val="en-GB"/>
        </w:rPr>
        <w:t xml:space="preserve"> effect – with the liability for damage. It is found insufficient while it doesn’t cover </w:t>
      </w:r>
      <w:r w:rsidR="00651A4B" w:rsidRPr="00DE7E31">
        <w:rPr>
          <w:rFonts w:ascii="Times New Roman" w:hAnsi="Times New Roman" w:cs="Times New Roman"/>
          <w:sz w:val="24"/>
          <w:szCs w:val="24"/>
          <w:lang w:val="en-GB"/>
        </w:rPr>
        <w:t>delicts as such and also doesn’t cover all possible effect only the liability for damage</w:t>
      </w:r>
      <w:r w:rsidR="00651A4B" w:rsidRPr="00DE7E31">
        <w:rPr>
          <w:rStyle w:val="Znakapoznpodarou"/>
          <w:rFonts w:ascii="Times New Roman" w:hAnsi="Times New Roman" w:cs="Times New Roman"/>
          <w:sz w:val="24"/>
          <w:szCs w:val="24"/>
          <w:lang w:val="en-GB"/>
        </w:rPr>
        <w:footnoteReference w:id="3"/>
      </w:r>
      <w:r w:rsidR="00651A4B" w:rsidRPr="00DE7E31">
        <w:rPr>
          <w:rFonts w:ascii="Times New Roman" w:hAnsi="Times New Roman" w:cs="Times New Roman"/>
          <w:sz w:val="24"/>
          <w:szCs w:val="24"/>
          <w:lang w:val="en-GB"/>
        </w:rPr>
        <w:t xml:space="preserve">. On the other hand there </w:t>
      </w:r>
      <w:r w:rsidR="00A460C2">
        <w:rPr>
          <w:rFonts w:ascii="Times New Roman" w:hAnsi="Times New Roman" w:cs="Times New Roman"/>
          <w:sz w:val="24"/>
          <w:szCs w:val="24"/>
          <w:lang w:val="en-GB"/>
        </w:rPr>
        <w:t xml:space="preserve">are </w:t>
      </w:r>
      <w:r w:rsidR="00651A4B" w:rsidRPr="00DE7E31">
        <w:rPr>
          <w:rFonts w:ascii="Times New Roman" w:hAnsi="Times New Roman" w:cs="Times New Roman"/>
          <w:sz w:val="24"/>
          <w:szCs w:val="24"/>
          <w:lang w:val="en-GB"/>
        </w:rPr>
        <w:t xml:space="preserve">delicts where the existence of damage is not the essential presumption of </w:t>
      </w:r>
      <w:r w:rsidR="00187155">
        <w:rPr>
          <w:rFonts w:ascii="Times New Roman" w:hAnsi="Times New Roman" w:cs="Times New Roman"/>
          <w:sz w:val="24"/>
          <w:szCs w:val="24"/>
          <w:lang w:val="en-GB"/>
        </w:rPr>
        <w:t xml:space="preserve">a </w:t>
      </w:r>
      <w:r w:rsidR="00651A4B" w:rsidRPr="00DE7E31">
        <w:rPr>
          <w:rFonts w:ascii="Times New Roman" w:hAnsi="Times New Roman" w:cs="Times New Roman"/>
          <w:sz w:val="24"/>
          <w:szCs w:val="24"/>
          <w:lang w:val="en-GB"/>
        </w:rPr>
        <w:t>delict such as unfair competition where the menace of damage is fully sufficient. The other inadequacy can be found in the lack of the explicit regulation of torts committed abroad but with effect between two Czech citizens</w:t>
      </w:r>
      <w:r w:rsidR="00651A4B" w:rsidRPr="00DE7E31">
        <w:rPr>
          <w:rStyle w:val="Znakapoznpodarou"/>
          <w:rFonts w:ascii="Times New Roman" w:hAnsi="Times New Roman" w:cs="Times New Roman"/>
          <w:sz w:val="24"/>
          <w:szCs w:val="24"/>
          <w:lang w:val="en-GB"/>
        </w:rPr>
        <w:footnoteReference w:id="4"/>
      </w:r>
      <w:r w:rsidR="00651A4B" w:rsidRPr="00DE7E31">
        <w:rPr>
          <w:rFonts w:ascii="Times New Roman" w:hAnsi="Times New Roman" w:cs="Times New Roman"/>
          <w:sz w:val="24"/>
          <w:szCs w:val="24"/>
          <w:lang w:val="en-GB"/>
        </w:rPr>
        <w:t>.</w:t>
      </w:r>
      <w:r w:rsidR="0020315F" w:rsidRPr="00DE7E31">
        <w:rPr>
          <w:rFonts w:ascii="Times New Roman" w:hAnsi="Times New Roman" w:cs="Times New Roman"/>
          <w:sz w:val="24"/>
          <w:szCs w:val="24"/>
          <w:lang w:val="en-GB"/>
        </w:rPr>
        <w:t xml:space="preserve"> </w:t>
      </w:r>
      <w:r w:rsidR="00DA275A" w:rsidRPr="00DE7E31">
        <w:rPr>
          <w:rFonts w:ascii="Times New Roman" w:hAnsi="Times New Roman" w:cs="Times New Roman"/>
          <w:sz w:val="24"/>
          <w:szCs w:val="24"/>
          <w:lang w:val="en-GB"/>
        </w:rPr>
        <w:t>Entirely improper the rule is for other non-contractual obligations than delicts such as negotiorum gestio, unjust enrichment or pre-contractual liability. The creation of the</w:t>
      </w:r>
      <w:r w:rsidR="00187155">
        <w:rPr>
          <w:rFonts w:ascii="Times New Roman" w:hAnsi="Times New Roman" w:cs="Times New Roman"/>
          <w:sz w:val="24"/>
          <w:szCs w:val="24"/>
          <w:lang w:val="en-GB"/>
        </w:rPr>
        <w:t>se</w:t>
      </w:r>
      <w:r w:rsidR="00DA275A" w:rsidRPr="00DE7E31">
        <w:rPr>
          <w:rFonts w:ascii="Times New Roman" w:hAnsi="Times New Roman" w:cs="Times New Roman"/>
          <w:sz w:val="24"/>
          <w:szCs w:val="24"/>
          <w:lang w:val="en-GB"/>
        </w:rPr>
        <w:t xml:space="preserve"> conflict of law rules has stayed on the Czech doctrine of PIL and on the practise of courts. We don’t want to be too rough to the Czech P</w:t>
      </w:r>
      <w:r w:rsidR="00A95789" w:rsidRPr="00DE7E31">
        <w:rPr>
          <w:rFonts w:ascii="Times New Roman" w:hAnsi="Times New Roman" w:cs="Times New Roman"/>
          <w:sz w:val="24"/>
          <w:szCs w:val="24"/>
          <w:lang w:val="en-GB"/>
        </w:rPr>
        <w:t xml:space="preserve">IL. The </w:t>
      </w:r>
      <w:r w:rsidR="00187155">
        <w:rPr>
          <w:rFonts w:ascii="Times New Roman" w:hAnsi="Times New Roman" w:cs="Times New Roman"/>
          <w:sz w:val="24"/>
          <w:szCs w:val="24"/>
          <w:lang w:val="en-GB"/>
        </w:rPr>
        <w:t>truth</w:t>
      </w:r>
      <w:r w:rsidR="00A95789" w:rsidRPr="00DE7E31">
        <w:rPr>
          <w:rFonts w:ascii="Times New Roman" w:hAnsi="Times New Roman" w:cs="Times New Roman"/>
          <w:sz w:val="24"/>
          <w:szCs w:val="24"/>
          <w:lang w:val="en-GB"/>
        </w:rPr>
        <w:t xml:space="preserve"> is that also present Czech doctrine of civil substantive law leaves delicts out and concerns only on their effects. If the delict is dealt with than </w:t>
      </w:r>
      <w:r w:rsidR="006D5DD3">
        <w:rPr>
          <w:rFonts w:ascii="Times New Roman" w:hAnsi="Times New Roman" w:cs="Times New Roman"/>
          <w:sz w:val="24"/>
          <w:szCs w:val="24"/>
          <w:lang w:val="en-GB"/>
        </w:rPr>
        <w:t xml:space="preserve">it </w:t>
      </w:r>
      <w:r w:rsidR="00A95789" w:rsidRPr="00DE7E31">
        <w:rPr>
          <w:rFonts w:ascii="Times New Roman" w:hAnsi="Times New Roman" w:cs="Times New Roman"/>
          <w:sz w:val="24"/>
          <w:szCs w:val="24"/>
          <w:lang w:val="en-GB"/>
        </w:rPr>
        <w:t xml:space="preserve">is mentioned only as one of the causes for rise of the obligation. So </w:t>
      </w:r>
      <w:r w:rsidR="006D5DD3">
        <w:rPr>
          <w:rFonts w:ascii="Times New Roman" w:hAnsi="Times New Roman" w:cs="Times New Roman"/>
          <w:sz w:val="24"/>
          <w:szCs w:val="24"/>
          <w:lang w:val="en-GB"/>
        </w:rPr>
        <w:t xml:space="preserve">both </w:t>
      </w:r>
      <w:r w:rsidR="00A95789" w:rsidRPr="00DE7E31">
        <w:rPr>
          <w:rFonts w:ascii="Times New Roman" w:hAnsi="Times New Roman" w:cs="Times New Roman"/>
          <w:sz w:val="24"/>
          <w:szCs w:val="24"/>
          <w:lang w:val="en-GB"/>
        </w:rPr>
        <w:t xml:space="preserve">doctrines </w:t>
      </w:r>
      <w:r w:rsidR="006D5DD3">
        <w:rPr>
          <w:rFonts w:ascii="Times New Roman" w:hAnsi="Times New Roman" w:cs="Times New Roman"/>
          <w:sz w:val="24"/>
          <w:szCs w:val="24"/>
          <w:lang w:val="en-GB"/>
        </w:rPr>
        <w:t xml:space="preserve">(of substantive law and private international law) </w:t>
      </w:r>
      <w:r w:rsidR="005A1ACF" w:rsidRPr="00DE7E31">
        <w:rPr>
          <w:rFonts w:ascii="Times New Roman" w:hAnsi="Times New Roman" w:cs="Times New Roman"/>
          <w:sz w:val="24"/>
          <w:szCs w:val="24"/>
          <w:lang w:val="en-GB"/>
        </w:rPr>
        <w:t xml:space="preserve">mentioned above </w:t>
      </w:r>
      <w:r w:rsidR="00A95789" w:rsidRPr="00DE7E31">
        <w:rPr>
          <w:rFonts w:ascii="Times New Roman" w:hAnsi="Times New Roman" w:cs="Times New Roman"/>
          <w:sz w:val="24"/>
          <w:szCs w:val="24"/>
          <w:lang w:val="en-GB"/>
        </w:rPr>
        <w:t xml:space="preserve">have gone hand in hand. </w:t>
      </w:r>
      <w:r w:rsidR="00D0776F" w:rsidRPr="00DE7E31">
        <w:rPr>
          <w:rFonts w:ascii="Times New Roman" w:hAnsi="Times New Roman" w:cs="Times New Roman"/>
          <w:sz w:val="24"/>
          <w:szCs w:val="24"/>
          <w:lang w:val="en-GB"/>
        </w:rPr>
        <w:t xml:space="preserve">Usually the legislator tries to cover </w:t>
      </w:r>
      <w:r w:rsidR="006D5DD3" w:rsidRPr="00DE7E31">
        <w:rPr>
          <w:rFonts w:ascii="Times New Roman" w:hAnsi="Times New Roman" w:cs="Times New Roman"/>
          <w:sz w:val="24"/>
          <w:szCs w:val="24"/>
          <w:lang w:val="en-GB"/>
        </w:rPr>
        <w:t xml:space="preserve">by the conflict of law rules </w:t>
      </w:r>
      <w:r w:rsidR="00D0776F" w:rsidRPr="00DE7E31">
        <w:rPr>
          <w:rFonts w:ascii="Times New Roman" w:hAnsi="Times New Roman" w:cs="Times New Roman"/>
          <w:sz w:val="24"/>
          <w:szCs w:val="24"/>
          <w:lang w:val="en-GB"/>
        </w:rPr>
        <w:t xml:space="preserve">all </w:t>
      </w:r>
      <w:r w:rsidR="006D5DD3">
        <w:rPr>
          <w:rFonts w:ascii="Times New Roman" w:hAnsi="Times New Roman" w:cs="Times New Roman"/>
          <w:sz w:val="24"/>
          <w:szCs w:val="24"/>
          <w:lang w:val="en-GB"/>
        </w:rPr>
        <w:t xml:space="preserve">the </w:t>
      </w:r>
      <w:r w:rsidR="00A07568" w:rsidRPr="00DE7E31">
        <w:rPr>
          <w:rFonts w:ascii="Times New Roman" w:hAnsi="Times New Roman" w:cs="Times New Roman"/>
          <w:sz w:val="24"/>
          <w:szCs w:val="24"/>
          <w:lang w:val="en-GB"/>
        </w:rPr>
        <w:t xml:space="preserve">tasks lay out by the substantive law. Where </w:t>
      </w:r>
      <w:r w:rsidR="006D5DD3">
        <w:rPr>
          <w:rFonts w:ascii="Times New Roman" w:hAnsi="Times New Roman" w:cs="Times New Roman"/>
          <w:sz w:val="24"/>
          <w:szCs w:val="24"/>
          <w:lang w:val="en-GB"/>
        </w:rPr>
        <w:t xml:space="preserve">there </w:t>
      </w:r>
      <w:r w:rsidR="00A07568" w:rsidRPr="00DE7E31">
        <w:rPr>
          <w:rFonts w:ascii="Times New Roman" w:hAnsi="Times New Roman" w:cs="Times New Roman"/>
          <w:sz w:val="24"/>
          <w:szCs w:val="24"/>
          <w:lang w:val="en-GB"/>
        </w:rPr>
        <w:t>is none substantive provision there is no need for a conflict of law rule.</w:t>
      </w:r>
    </w:p>
    <w:p w:rsidR="00785440" w:rsidRDefault="00785440" w:rsidP="00DE7E31">
      <w:pPr>
        <w:pStyle w:val="Bezmezer"/>
        <w:spacing w:line="360" w:lineRule="auto"/>
        <w:jc w:val="both"/>
        <w:rPr>
          <w:rFonts w:ascii="Times New Roman" w:hAnsi="Times New Roman" w:cs="Times New Roman"/>
          <w:sz w:val="24"/>
          <w:szCs w:val="24"/>
          <w:lang w:val="en-GB"/>
        </w:rPr>
      </w:pPr>
    </w:p>
    <w:p w:rsidR="00A91F98" w:rsidRPr="00DE7E31" w:rsidRDefault="00A91F98" w:rsidP="00DE7E31">
      <w:pPr>
        <w:pStyle w:val="Bezmezer"/>
        <w:spacing w:line="360" w:lineRule="auto"/>
        <w:jc w:val="both"/>
        <w:rPr>
          <w:rFonts w:ascii="Times New Roman" w:hAnsi="Times New Roman" w:cs="Times New Roman"/>
          <w:sz w:val="24"/>
          <w:szCs w:val="24"/>
          <w:lang w:val="en-GB"/>
        </w:rPr>
      </w:pPr>
      <w:r w:rsidRPr="00DE7E31">
        <w:rPr>
          <w:rFonts w:ascii="Times New Roman" w:hAnsi="Times New Roman" w:cs="Times New Roman"/>
          <w:sz w:val="24"/>
          <w:szCs w:val="24"/>
          <w:lang w:val="en-GB"/>
        </w:rPr>
        <w:t xml:space="preserve">According to the Czech doctrine of PIL sec. 15 covers besides the effect of delicts – liability for damage also premises of inception of damage, substance, range and the ways of compensation, competence to perform delict, circumstances </w:t>
      </w:r>
      <w:r w:rsidR="00CF5643" w:rsidRPr="00DE7E31">
        <w:rPr>
          <w:rFonts w:ascii="Times New Roman" w:hAnsi="Times New Roman" w:cs="Times New Roman"/>
          <w:sz w:val="24"/>
          <w:szCs w:val="24"/>
          <w:lang w:val="en-GB"/>
        </w:rPr>
        <w:t xml:space="preserve">excluding liability, burden of proof and preclusion or expiration of rights for damage. Sec. 15 uses two equal connecting factors which are formulated alternatively to each other. These are </w:t>
      </w:r>
      <w:r w:rsidR="00CF5643" w:rsidRPr="00DE7E31">
        <w:rPr>
          <w:rFonts w:ascii="Times New Roman" w:hAnsi="Times New Roman" w:cs="Times New Roman"/>
          <w:i/>
          <w:sz w:val="24"/>
          <w:szCs w:val="24"/>
          <w:lang w:val="en-GB"/>
        </w:rPr>
        <w:t>lex loci delicti commissi</w:t>
      </w:r>
      <w:r w:rsidR="00CF5643" w:rsidRPr="00DE7E31">
        <w:rPr>
          <w:rFonts w:ascii="Times New Roman" w:hAnsi="Times New Roman" w:cs="Times New Roman"/>
          <w:sz w:val="24"/>
          <w:szCs w:val="24"/>
          <w:lang w:val="en-GB"/>
        </w:rPr>
        <w:t xml:space="preserve"> (the law of the place where the delict was commited – where the wrongfulness arose) and </w:t>
      </w:r>
      <w:r w:rsidR="00CF5643" w:rsidRPr="00DE7E31">
        <w:rPr>
          <w:rFonts w:ascii="Times New Roman" w:hAnsi="Times New Roman" w:cs="Times New Roman"/>
          <w:i/>
          <w:sz w:val="24"/>
          <w:szCs w:val="24"/>
          <w:lang w:val="en-GB"/>
        </w:rPr>
        <w:t>lex loci damni infecti</w:t>
      </w:r>
      <w:r w:rsidR="00CF5643" w:rsidRPr="00DE7E31">
        <w:rPr>
          <w:rFonts w:ascii="Times New Roman" w:hAnsi="Times New Roman" w:cs="Times New Roman"/>
          <w:sz w:val="24"/>
          <w:szCs w:val="24"/>
          <w:lang w:val="en-GB"/>
        </w:rPr>
        <w:t xml:space="preserve"> (the law of the place where the effect of the wrongfulness showed itself). In many cases these two places would be the same (car accident, injury of a skier by another skier) but there are a lot of imaginable situations where these places vary (</w:t>
      </w:r>
      <w:r w:rsidR="007A215C" w:rsidRPr="00DE7E31">
        <w:rPr>
          <w:rFonts w:ascii="Times New Roman" w:hAnsi="Times New Roman" w:cs="Times New Roman"/>
          <w:sz w:val="24"/>
          <w:szCs w:val="24"/>
          <w:lang w:val="en-GB"/>
        </w:rPr>
        <w:t xml:space="preserve">leak of poisonous chemicals in one state and getting through a river to the second state and causing damages, transmission of commercial in TV which is consider to be an unfair competition and receiving </w:t>
      </w:r>
      <w:r w:rsidR="007A215C" w:rsidRPr="00DE7E31">
        <w:rPr>
          <w:rFonts w:ascii="Times New Roman" w:hAnsi="Times New Roman" w:cs="Times New Roman"/>
          <w:sz w:val="24"/>
          <w:szCs w:val="24"/>
          <w:lang w:val="en-GB"/>
        </w:rPr>
        <w:lastRenderedPageBreak/>
        <w:t xml:space="preserve">of this commercial in the neighbouring state </w:t>
      </w:r>
      <w:r w:rsidR="006D5DD3">
        <w:rPr>
          <w:rFonts w:ascii="Times New Roman" w:hAnsi="Times New Roman" w:cs="Times New Roman"/>
          <w:sz w:val="24"/>
          <w:szCs w:val="24"/>
          <w:lang w:val="en-GB"/>
        </w:rPr>
        <w:t>in which</w:t>
      </w:r>
      <w:r w:rsidR="007A215C" w:rsidRPr="00DE7E31">
        <w:rPr>
          <w:rFonts w:ascii="Times New Roman" w:hAnsi="Times New Roman" w:cs="Times New Roman"/>
          <w:sz w:val="24"/>
          <w:szCs w:val="24"/>
          <w:lang w:val="en-GB"/>
        </w:rPr>
        <w:t xml:space="preserve"> the same or very similar language is used). We can put a question whether in such cases the decisive institution or the plaintiff side has a right to make t</w:t>
      </w:r>
      <w:r w:rsidR="006D5DD3">
        <w:rPr>
          <w:rFonts w:ascii="Times New Roman" w:hAnsi="Times New Roman" w:cs="Times New Roman"/>
          <w:sz w:val="24"/>
          <w:szCs w:val="24"/>
          <w:lang w:val="en-GB"/>
        </w:rPr>
        <w:t xml:space="preserve">he choice. Notwithstanding </w:t>
      </w:r>
      <w:r w:rsidR="00403A12">
        <w:rPr>
          <w:rFonts w:ascii="Times New Roman" w:hAnsi="Times New Roman" w:cs="Times New Roman"/>
          <w:sz w:val="24"/>
          <w:szCs w:val="24"/>
          <w:lang w:val="en-GB"/>
        </w:rPr>
        <w:t>opinion</w:t>
      </w:r>
      <w:r w:rsidR="00403A12" w:rsidRPr="00DE7E31">
        <w:rPr>
          <w:rFonts w:ascii="Times New Roman" w:hAnsi="Times New Roman" w:cs="Times New Roman"/>
          <w:sz w:val="24"/>
          <w:szCs w:val="24"/>
          <w:lang w:val="en-GB"/>
        </w:rPr>
        <w:t xml:space="preserve"> </w:t>
      </w:r>
      <w:r w:rsidR="007A215C" w:rsidRPr="00DE7E31">
        <w:rPr>
          <w:rFonts w:ascii="Times New Roman" w:hAnsi="Times New Roman" w:cs="Times New Roman"/>
          <w:sz w:val="24"/>
          <w:szCs w:val="24"/>
          <w:lang w:val="en-GB"/>
        </w:rPr>
        <w:t>appear</w:t>
      </w:r>
      <w:r w:rsidR="006D5DD3">
        <w:rPr>
          <w:rFonts w:ascii="Times New Roman" w:hAnsi="Times New Roman" w:cs="Times New Roman"/>
          <w:sz w:val="24"/>
          <w:szCs w:val="24"/>
          <w:lang w:val="en-GB"/>
        </w:rPr>
        <w:t>e</w:t>
      </w:r>
      <w:r w:rsidR="007A215C" w:rsidRPr="00DE7E31">
        <w:rPr>
          <w:rFonts w:ascii="Times New Roman" w:hAnsi="Times New Roman" w:cs="Times New Roman"/>
          <w:sz w:val="24"/>
          <w:szCs w:val="24"/>
          <w:lang w:val="en-GB"/>
        </w:rPr>
        <w:t>d that both the court and also the plaintiff was allowed to make the choice lead by the stand-point of material justice</w:t>
      </w:r>
      <w:r w:rsidR="007A215C" w:rsidRPr="00DE7E31">
        <w:rPr>
          <w:rStyle w:val="Znakapoznpodarou"/>
          <w:rFonts w:ascii="Times New Roman" w:hAnsi="Times New Roman" w:cs="Times New Roman"/>
          <w:sz w:val="24"/>
          <w:szCs w:val="24"/>
          <w:lang w:val="en-GB"/>
        </w:rPr>
        <w:footnoteReference w:id="5"/>
      </w:r>
      <w:r w:rsidR="007A215C" w:rsidRPr="00DE7E31">
        <w:rPr>
          <w:rFonts w:ascii="Times New Roman" w:hAnsi="Times New Roman" w:cs="Times New Roman"/>
          <w:sz w:val="24"/>
          <w:szCs w:val="24"/>
          <w:lang w:val="en-GB"/>
        </w:rPr>
        <w:t xml:space="preserve"> </w:t>
      </w:r>
      <w:r w:rsidR="00403A12">
        <w:rPr>
          <w:rFonts w:ascii="Times New Roman" w:hAnsi="Times New Roman" w:cs="Times New Roman"/>
          <w:sz w:val="24"/>
          <w:szCs w:val="24"/>
          <w:lang w:val="en-GB"/>
        </w:rPr>
        <w:t xml:space="preserve">it was </w:t>
      </w:r>
      <w:r w:rsidR="007A215C" w:rsidRPr="00DE7E31">
        <w:rPr>
          <w:rFonts w:ascii="Times New Roman" w:hAnsi="Times New Roman" w:cs="Times New Roman"/>
          <w:sz w:val="24"/>
          <w:szCs w:val="24"/>
          <w:lang w:val="en-GB"/>
        </w:rPr>
        <w:t xml:space="preserve">overrun by the opinion that the right to choose belong only to the court </w:t>
      </w:r>
      <w:r w:rsidR="00F2208F" w:rsidRPr="00DE7E31">
        <w:rPr>
          <w:rFonts w:ascii="Times New Roman" w:hAnsi="Times New Roman" w:cs="Times New Roman"/>
          <w:sz w:val="24"/>
          <w:szCs w:val="24"/>
          <w:lang w:val="en-GB"/>
        </w:rPr>
        <w:t>which should follow the collision justice</w:t>
      </w:r>
      <w:r w:rsidR="00F2208F" w:rsidRPr="00DE7E31">
        <w:rPr>
          <w:rStyle w:val="Znakapoznpodarou"/>
          <w:rFonts w:ascii="Times New Roman" w:hAnsi="Times New Roman" w:cs="Times New Roman"/>
          <w:sz w:val="24"/>
          <w:szCs w:val="24"/>
          <w:lang w:val="en-GB"/>
        </w:rPr>
        <w:footnoteReference w:id="6"/>
      </w:r>
      <w:r w:rsidR="00F2208F" w:rsidRPr="00DE7E31">
        <w:rPr>
          <w:rFonts w:ascii="Times New Roman" w:hAnsi="Times New Roman" w:cs="Times New Roman"/>
          <w:sz w:val="24"/>
          <w:szCs w:val="24"/>
          <w:lang w:val="en-GB"/>
        </w:rPr>
        <w:t>. We lean towards Kucera´s opinion</w:t>
      </w:r>
      <w:r w:rsidR="002A0467" w:rsidRPr="00DE7E31">
        <w:rPr>
          <w:rFonts w:ascii="Times New Roman" w:hAnsi="Times New Roman" w:cs="Times New Roman"/>
          <w:sz w:val="24"/>
          <w:szCs w:val="24"/>
          <w:lang w:val="en-GB"/>
        </w:rPr>
        <w:t xml:space="preserve"> for taking into account the collision justice even though we admit that </w:t>
      </w:r>
      <w:r w:rsidR="00403A12">
        <w:rPr>
          <w:rFonts w:ascii="Times New Roman" w:hAnsi="Times New Roman" w:cs="Times New Roman"/>
          <w:sz w:val="24"/>
          <w:szCs w:val="24"/>
          <w:lang w:val="en-GB"/>
        </w:rPr>
        <w:t>usage of</w:t>
      </w:r>
      <w:r w:rsidR="002A0467" w:rsidRPr="00DE7E31">
        <w:rPr>
          <w:rFonts w:ascii="Times New Roman" w:hAnsi="Times New Roman" w:cs="Times New Roman"/>
          <w:sz w:val="24"/>
          <w:szCs w:val="24"/>
          <w:lang w:val="en-GB"/>
        </w:rPr>
        <w:t xml:space="preserve"> this point of view lowers the plaintiff legal certainty.</w:t>
      </w:r>
    </w:p>
    <w:p w:rsidR="00DE7E31" w:rsidRDefault="002A0467" w:rsidP="00DE7E31">
      <w:pPr>
        <w:pStyle w:val="Bezmezer"/>
        <w:spacing w:line="360" w:lineRule="auto"/>
        <w:jc w:val="both"/>
        <w:rPr>
          <w:rFonts w:ascii="Times New Roman" w:hAnsi="Times New Roman" w:cs="Times New Roman"/>
          <w:sz w:val="24"/>
          <w:szCs w:val="24"/>
          <w:lang w:val="en-GB"/>
        </w:rPr>
      </w:pPr>
      <w:r w:rsidRPr="00DE7E31">
        <w:rPr>
          <w:rFonts w:ascii="Times New Roman" w:hAnsi="Times New Roman" w:cs="Times New Roman"/>
          <w:sz w:val="24"/>
          <w:szCs w:val="24"/>
          <w:lang w:val="en-GB"/>
        </w:rPr>
        <w:tab/>
      </w:r>
    </w:p>
    <w:p w:rsidR="002A0467" w:rsidRDefault="002A0467" w:rsidP="00785440">
      <w:pPr>
        <w:pStyle w:val="Bezmezer"/>
        <w:spacing w:line="360" w:lineRule="auto"/>
        <w:jc w:val="both"/>
        <w:rPr>
          <w:rFonts w:ascii="Times New Roman" w:hAnsi="Times New Roman" w:cs="Times New Roman"/>
          <w:sz w:val="24"/>
          <w:szCs w:val="24"/>
          <w:lang w:val="en-GB"/>
        </w:rPr>
      </w:pPr>
      <w:r w:rsidRPr="00DE7E31">
        <w:rPr>
          <w:rFonts w:ascii="Times New Roman" w:hAnsi="Times New Roman" w:cs="Times New Roman"/>
          <w:sz w:val="24"/>
          <w:szCs w:val="24"/>
          <w:lang w:val="en-GB"/>
        </w:rPr>
        <w:t>The truth is that since 11</w:t>
      </w:r>
      <w:r w:rsidRPr="00DE7E31">
        <w:rPr>
          <w:rFonts w:ascii="Times New Roman" w:hAnsi="Times New Roman" w:cs="Times New Roman"/>
          <w:sz w:val="24"/>
          <w:szCs w:val="24"/>
          <w:vertAlign w:val="superscript"/>
          <w:lang w:val="en-GB"/>
        </w:rPr>
        <w:t>th</w:t>
      </w:r>
      <w:r w:rsidRPr="00DE7E31">
        <w:rPr>
          <w:rFonts w:ascii="Times New Roman" w:hAnsi="Times New Roman" w:cs="Times New Roman"/>
          <w:sz w:val="24"/>
          <w:szCs w:val="24"/>
          <w:lang w:val="en-GB"/>
        </w:rPr>
        <w:t xml:space="preserve"> January 2009 sec. 15 is going to be replaced (but not completely) by the Regulation (EC) n. 864/2007 on the law applicable to non-contractual obligation (Rome II). </w:t>
      </w:r>
    </w:p>
    <w:p w:rsidR="00DE7E31" w:rsidRDefault="00DE7E31" w:rsidP="00DE7E31">
      <w:pPr>
        <w:pStyle w:val="Bezmezer"/>
        <w:spacing w:line="360" w:lineRule="auto"/>
        <w:ind w:firstLine="708"/>
        <w:jc w:val="both"/>
        <w:rPr>
          <w:rFonts w:ascii="Times New Roman" w:hAnsi="Times New Roman" w:cs="Times New Roman"/>
          <w:sz w:val="24"/>
          <w:szCs w:val="24"/>
          <w:lang w:val="en-GB"/>
        </w:rPr>
      </w:pPr>
    </w:p>
    <w:p w:rsidR="00DE7E31" w:rsidRDefault="00D9642F" w:rsidP="00785440">
      <w:pPr>
        <w:pStyle w:val="Bezmeze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4. </w:t>
      </w:r>
      <w:r w:rsidR="00DE7E31">
        <w:rPr>
          <w:rFonts w:ascii="Times New Roman" w:hAnsi="Times New Roman" w:cs="Times New Roman"/>
          <w:b/>
          <w:sz w:val="24"/>
          <w:szCs w:val="24"/>
          <w:lang w:val="en-GB"/>
        </w:rPr>
        <w:t>Regulation (EC) n. 864/2007 on the law applicable to non-contractual obligation (Rome II)</w:t>
      </w:r>
    </w:p>
    <w:p w:rsidR="00DE7E31" w:rsidRDefault="00DE7E31" w:rsidP="00DE7E31">
      <w:pPr>
        <w:pStyle w:val="Bezmezer"/>
        <w:spacing w:line="360" w:lineRule="auto"/>
        <w:ind w:firstLine="708"/>
        <w:jc w:val="both"/>
        <w:rPr>
          <w:rFonts w:ascii="Times New Roman" w:hAnsi="Times New Roman" w:cs="Times New Roman"/>
          <w:sz w:val="24"/>
          <w:szCs w:val="24"/>
          <w:lang w:val="en-GB"/>
        </w:rPr>
      </w:pPr>
    </w:p>
    <w:p w:rsidR="00D9642F" w:rsidRPr="00D9642F" w:rsidRDefault="00D9642F" w:rsidP="00785440">
      <w:pPr>
        <w:pStyle w:val="Bezmeze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4.1 General overview</w:t>
      </w:r>
    </w:p>
    <w:p w:rsidR="00785440" w:rsidRDefault="00785440" w:rsidP="00785440">
      <w:pPr>
        <w:pStyle w:val="Bezmezer"/>
        <w:spacing w:line="360" w:lineRule="auto"/>
        <w:jc w:val="both"/>
        <w:rPr>
          <w:rFonts w:ascii="Times New Roman" w:hAnsi="Times New Roman" w:cs="Times New Roman"/>
          <w:sz w:val="24"/>
          <w:szCs w:val="24"/>
          <w:lang w:val="en-GB"/>
        </w:rPr>
      </w:pPr>
    </w:p>
    <w:p w:rsidR="00856086" w:rsidRDefault="00DE7E31" w:rsidP="00785440">
      <w:pPr>
        <w:pStyle w:val="Bezmeze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Let start a little bit more generally. </w:t>
      </w:r>
      <w:r w:rsidR="00E97783">
        <w:rPr>
          <w:rFonts w:ascii="Times New Roman" w:hAnsi="Times New Roman" w:cs="Times New Roman"/>
          <w:sz w:val="24"/>
          <w:szCs w:val="24"/>
          <w:lang w:val="en-GB"/>
        </w:rPr>
        <w:t>Among the member states of EC</w:t>
      </w:r>
      <w:r>
        <w:rPr>
          <w:rFonts w:ascii="Times New Roman" w:hAnsi="Times New Roman" w:cs="Times New Roman"/>
          <w:sz w:val="24"/>
          <w:szCs w:val="24"/>
          <w:lang w:val="en-GB"/>
        </w:rPr>
        <w:t xml:space="preserve"> the rules to set up the competence of national courts in relation to courts</w:t>
      </w:r>
      <w:r w:rsidR="00BE2CFB">
        <w:rPr>
          <w:rFonts w:ascii="Times New Roman" w:hAnsi="Times New Roman" w:cs="Times New Roman"/>
          <w:sz w:val="24"/>
          <w:szCs w:val="24"/>
          <w:lang w:val="en-GB"/>
        </w:rPr>
        <w:t xml:space="preserve"> of other member state courts</w:t>
      </w:r>
      <w:r>
        <w:rPr>
          <w:rFonts w:ascii="Times New Roman" w:hAnsi="Times New Roman" w:cs="Times New Roman"/>
          <w:sz w:val="24"/>
          <w:szCs w:val="24"/>
          <w:lang w:val="en-GB"/>
        </w:rPr>
        <w:t xml:space="preserve"> </w:t>
      </w:r>
      <w:r w:rsidR="00E97783">
        <w:rPr>
          <w:rFonts w:ascii="Times New Roman" w:hAnsi="Times New Roman" w:cs="Times New Roman"/>
          <w:sz w:val="24"/>
          <w:szCs w:val="24"/>
          <w:lang w:val="en-GB"/>
        </w:rPr>
        <w:t>were</w:t>
      </w:r>
      <w:r>
        <w:rPr>
          <w:rFonts w:ascii="Times New Roman" w:hAnsi="Times New Roman" w:cs="Times New Roman"/>
          <w:sz w:val="24"/>
          <w:szCs w:val="24"/>
          <w:lang w:val="en-GB"/>
        </w:rPr>
        <w:t xml:space="preserve"> </w:t>
      </w:r>
      <w:r w:rsidR="00E97783">
        <w:rPr>
          <w:rFonts w:ascii="Times New Roman" w:hAnsi="Times New Roman" w:cs="Times New Roman"/>
          <w:sz w:val="24"/>
          <w:szCs w:val="24"/>
          <w:lang w:val="en-GB"/>
        </w:rPr>
        <w:t xml:space="preserve">unified (partly) early in Brussels Convention (now Regulations Brussels I and also Brussels II). Nevertheless it wasn’t sufficient while parties have been able to agree on the jurisdiction of particular state courts or even the plaintiff alone has been able according to alternative jurisdiction rules to choose between courts of member states. This is a typical background for </w:t>
      </w:r>
      <w:r w:rsidR="00E97783">
        <w:rPr>
          <w:rFonts w:ascii="Times New Roman" w:hAnsi="Times New Roman" w:cs="Times New Roman"/>
          <w:i/>
          <w:sz w:val="24"/>
          <w:szCs w:val="24"/>
          <w:lang w:val="en-GB"/>
        </w:rPr>
        <w:t>forum shopping</w:t>
      </w:r>
      <w:r w:rsidR="00164973">
        <w:rPr>
          <w:rFonts w:ascii="Times New Roman" w:hAnsi="Times New Roman" w:cs="Times New Roman"/>
          <w:sz w:val="24"/>
          <w:szCs w:val="24"/>
          <w:lang w:val="en-GB"/>
        </w:rPr>
        <w:t xml:space="preserve"> phenomenon which can be avoided by unification of conflict of law rules. First attempt supposed to be a Convention on the law applicable to contractual and non-contractual obligations</w:t>
      </w:r>
      <w:r w:rsidR="00164973">
        <w:rPr>
          <w:rStyle w:val="Znakapoznpodarou"/>
          <w:rFonts w:ascii="Times New Roman" w:hAnsi="Times New Roman" w:cs="Times New Roman"/>
          <w:sz w:val="24"/>
          <w:szCs w:val="24"/>
          <w:lang w:val="en-GB"/>
        </w:rPr>
        <w:footnoteReference w:id="7"/>
      </w:r>
      <w:r w:rsidR="00164973">
        <w:rPr>
          <w:rFonts w:ascii="Times New Roman" w:hAnsi="Times New Roman" w:cs="Times New Roman"/>
          <w:sz w:val="24"/>
          <w:szCs w:val="24"/>
          <w:lang w:val="en-GB"/>
        </w:rPr>
        <w:t xml:space="preserve">. The draft was introduced in 1972 but after accession of UK and Ireland the preparatory works slowed down rapidly and finally in 1978 ECC refrained from reception of the whole project and cut it down only to contractual obligation. The reason embodied in the very dissimilar attitude to non-contractual obligation among member states. Therefore the area of no-contractual obligation stayed untreated on the ECC/EC level. </w:t>
      </w:r>
    </w:p>
    <w:p w:rsidR="00785440" w:rsidRDefault="00785440" w:rsidP="00785440">
      <w:pPr>
        <w:pStyle w:val="Bezmezer"/>
        <w:spacing w:line="360" w:lineRule="auto"/>
        <w:jc w:val="both"/>
        <w:rPr>
          <w:rFonts w:ascii="Times New Roman" w:hAnsi="Times New Roman" w:cs="Times New Roman"/>
          <w:sz w:val="24"/>
          <w:szCs w:val="24"/>
          <w:lang w:val="en-GB"/>
        </w:rPr>
      </w:pPr>
    </w:p>
    <w:p w:rsidR="00164973" w:rsidRDefault="00164973" w:rsidP="00785440">
      <w:pPr>
        <w:pStyle w:val="Bezmeze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After Amsterdam Treaty entered into force </w:t>
      </w:r>
      <w:r w:rsidR="00847F7D">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situation changed </w:t>
      </w:r>
      <w:r w:rsidR="00847F7D">
        <w:rPr>
          <w:rFonts w:ascii="Times New Roman" w:hAnsi="Times New Roman" w:cs="Times New Roman"/>
          <w:sz w:val="24"/>
          <w:szCs w:val="24"/>
          <w:lang w:val="en-GB"/>
        </w:rPr>
        <w:t xml:space="preserve">considerably </w:t>
      </w:r>
      <w:r>
        <w:rPr>
          <w:rFonts w:ascii="Times New Roman" w:hAnsi="Times New Roman" w:cs="Times New Roman"/>
          <w:sz w:val="24"/>
          <w:szCs w:val="24"/>
          <w:lang w:val="en-GB"/>
        </w:rPr>
        <w:t xml:space="preserve">due to </w:t>
      </w:r>
      <w:r w:rsidR="00847F7D">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new </w:t>
      </w:r>
      <w:r w:rsidR="00847F7D">
        <w:rPr>
          <w:rFonts w:ascii="Times New Roman" w:hAnsi="Times New Roman" w:cs="Times New Roman"/>
          <w:sz w:val="24"/>
          <w:szCs w:val="24"/>
          <w:lang w:val="en-GB"/>
        </w:rPr>
        <w:t>competences</w:t>
      </w:r>
      <w:r w:rsidR="00405F20">
        <w:rPr>
          <w:rStyle w:val="Znakapoznpodarou"/>
          <w:rFonts w:ascii="Times New Roman" w:hAnsi="Times New Roman" w:cs="Times New Roman"/>
          <w:sz w:val="24"/>
          <w:szCs w:val="24"/>
          <w:lang w:val="en-GB"/>
        </w:rPr>
        <w:footnoteReference w:id="8"/>
      </w:r>
      <w:r>
        <w:rPr>
          <w:rFonts w:ascii="Times New Roman" w:hAnsi="Times New Roman" w:cs="Times New Roman"/>
          <w:sz w:val="24"/>
          <w:szCs w:val="24"/>
          <w:lang w:val="en-GB"/>
        </w:rPr>
        <w:t xml:space="preserve"> of EC institutions</w:t>
      </w:r>
      <w:r w:rsidR="0076678C">
        <w:rPr>
          <w:rStyle w:val="Znakapoznpodarou"/>
          <w:rFonts w:ascii="Times New Roman" w:hAnsi="Times New Roman" w:cs="Times New Roman"/>
          <w:sz w:val="24"/>
          <w:szCs w:val="24"/>
          <w:lang w:val="en-GB"/>
        </w:rPr>
        <w:footnoteReference w:id="9"/>
      </w:r>
      <w:r>
        <w:rPr>
          <w:rFonts w:ascii="Times New Roman" w:hAnsi="Times New Roman" w:cs="Times New Roman"/>
          <w:sz w:val="24"/>
          <w:szCs w:val="24"/>
          <w:lang w:val="en-GB"/>
        </w:rPr>
        <w:t xml:space="preserve">. </w:t>
      </w:r>
      <w:r w:rsidR="00847F7D">
        <w:rPr>
          <w:rFonts w:ascii="Times New Roman" w:hAnsi="Times New Roman" w:cs="Times New Roman"/>
          <w:sz w:val="24"/>
          <w:szCs w:val="24"/>
          <w:lang w:val="en-GB"/>
        </w:rPr>
        <w:t xml:space="preserve">Passionate discussions about the Rome II draft started in May 2002 in which member states, academics and also private organizations representing contractors or consumers participated. Further development was even more convoluted. </w:t>
      </w:r>
      <w:r w:rsidR="00D9642F">
        <w:rPr>
          <w:rFonts w:ascii="Times New Roman" w:hAnsi="Times New Roman" w:cs="Times New Roman"/>
          <w:sz w:val="24"/>
          <w:szCs w:val="24"/>
          <w:lang w:val="en-GB"/>
        </w:rPr>
        <w:t>Report on proposal for regulation Rome II</w:t>
      </w:r>
      <w:r w:rsidR="00D9642F">
        <w:rPr>
          <w:rStyle w:val="Znakapoznpodarou"/>
          <w:rFonts w:ascii="Times New Roman" w:hAnsi="Times New Roman" w:cs="Times New Roman"/>
          <w:sz w:val="24"/>
          <w:szCs w:val="24"/>
          <w:lang w:val="en-GB"/>
        </w:rPr>
        <w:footnoteReference w:id="10"/>
      </w:r>
      <w:r w:rsidR="00D9642F">
        <w:rPr>
          <w:rFonts w:ascii="Times New Roman" w:hAnsi="Times New Roman" w:cs="Times New Roman"/>
          <w:sz w:val="24"/>
          <w:szCs w:val="24"/>
          <w:lang w:val="en-GB"/>
        </w:rPr>
        <w:t xml:space="preserve"> worked by rapporteur Diana Wallis w</w:t>
      </w:r>
      <w:r w:rsidR="00847F7D">
        <w:rPr>
          <w:rFonts w:ascii="Times New Roman" w:hAnsi="Times New Roman" w:cs="Times New Roman"/>
          <w:sz w:val="24"/>
          <w:szCs w:val="24"/>
          <w:lang w:val="en-GB"/>
        </w:rPr>
        <w:t xml:space="preserve">as of a high impact </w:t>
      </w:r>
      <w:r w:rsidR="00D9642F">
        <w:rPr>
          <w:rFonts w:ascii="Times New Roman" w:hAnsi="Times New Roman" w:cs="Times New Roman"/>
          <w:sz w:val="24"/>
          <w:szCs w:val="24"/>
          <w:lang w:val="en-GB"/>
        </w:rPr>
        <w:t>on the whole process while it represented more likely the common law point of view</w:t>
      </w:r>
      <w:r w:rsidR="00D9642F">
        <w:rPr>
          <w:rStyle w:val="Znakapoznpodarou"/>
          <w:rFonts w:ascii="Times New Roman" w:hAnsi="Times New Roman" w:cs="Times New Roman"/>
          <w:sz w:val="24"/>
          <w:szCs w:val="24"/>
          <w:lang w:val="en-GB"/>
        </w:rPr>
        <w:footnoteReference w:id="11"/>
      </w:r>
      <w:r w:rsidR="00D9642F">
        <w:rPr>
          <w:rFonts w:ascii="Times New Roman" w:hAnsi="Times New Roman" w:cs="Times New Roman"/>
          <w:sz w:val="24"/>
          <w:szCs w:val="24"/>
          <w:lang w:val="en-GB"/>
        </w:rPr>
        <w:t>.</w:t>
      </w:r>
    </w:p>
    <w:p w:rsidR="00785440" w:rsidRDefault="00785440" w:rsidP="00785440">
      <w:pPr>
        <w:pStyle w:val="Bezmezer"/>
        <w:spacing w:line="360" w:lineRule="auto"/>
        <w:jc w:val="both"/>
        <w:rPr>
          <w:rFonts w:ascii="Times New Roman" w:hAnsi="Times New Roman" w:cs="Times New Roman"/>
          <w:sz w:val="24"/>
          <w:szCs w:val="24"/>
          <w:lang w:val="en-GB"/>
        </w:rPr>
      </w:pPr>
    </w:p>
    <w:p w:rsidR="00D9642F" w:rsidRDefault="00D9642F" w:rsidP="00785440">
      <w:pPr>
        <w:pStyle w:val="Bezmeze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4.2. Characteristic and the Scope of Rome II</w:t>
      </w:r>
    </w:p>
    <w:p w:rsidR="00785440" w:rsidRDefault="00785440" w:rsidP="00785440">
      <w:pPr>
        <w:pStyle w:val="Bezmezer"/>
        <w:spacing w:line="360" w:lineRule="auto"/>
        <w:jc w:val="both"/>
        <w:rPr>
          <w:rFonts w:ascii="Times New Roman" w:hAnsi="Times New Roman" w:cs="Times New Roman"/>
          <w:b/>
          <w:sz w:val="24"/>
          <w:szCs w:val="24"/>
          <w:lang w:val="en-GB"/>
        </w:rPr>
      </w:pPr>
    </w:p>
    <w:p w:rsidR="00D9642F" w:rsidRDefault="00D9642F" w:rsidP="00785440">
      <w:pPr>
        <w:pStyle w:val="Bezmeze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According to </w:t>
      </w:r>
      <w:r w:rsidR="002C2E1F">
        <w:rPr>
          <w:rFonts w:ascii="Times New Roman" w:hAnsi="Times New Roman" w:cs="Times New Roman"/>
          <w:sz w:val="24"/>
          <w:szCs w:val="24"/>
          <w:lang w:val="en-GB"/>
        </w:rPr>
        <w:t>art. 6 the Regulation should be the necessary step to improve the predictability of a dispute and thus it is necessary for the proper functioning if an internal market. While it is a Regulation which is directly applicable and has the primacy over the national legal provisions it should be applied whenever a dispute is decided by a court of a member state</w:t>
      </w:r>
      <w:r w:rsidR="002C2E1F">
        <w:rPr>
          <w:rStyle w:val="Znakapoznpodarou"/>
          <w:rFonts w:ascii="Times New Roman" w:hAnsi="Times New Roman" w:cs="Times New Roman"/>
          <w:sz w:val="24"/>
          <w:szCs w:val="24"/>
          <w:lang w:val="en-GB"/>
        </w:rPr>
        <w:footnoteReference w:id="12"/>
      </w:r>
      <w:r w:rsidR="002C2E1F">
        <w:rPr>
          <w:rFonts w:ascii="Times New Roman" w:hAnsi="Times New Roman" w:cs="Times New Roman"/>
          <w:sz w:val="24"/>
          <w:szCs w:val="24"/>
          <w:lang w:val="en-GB"/>
        </w:rPr>
        <w:t xml:space="preserve"> – the Rome II is of universal use (art. 3)</w:t>
      </w:r>
      <w:r w:rsidR="0076678C">
        <w:rPr>
          <w:rStyle w:val="Znakapoznpodarou"/>
          <w:rFonts w:ascii="Times New Roman" w:hAnsi="Times New Roman" w:cs="Times New Roman"/>
          <w:sz w:val="24"/>
          <w:szCs w:val="24"/>
          <w:lang w:val="en-GB"/>
        </w:rPr>
        <w:footnoteReference w:id="13"/>
      </w:r>
      <w:r w:rsidR="002C2E1F">
        <w:rPr>
          <w:rFonts w:ascii="Times New Roman" w:hAnsi="Times New Roman" w:cs="Times New Roman"/>
          <w:sz w:val="24"/>
          <w:szCs w:val="24"/>
          <w:lang w:val="en-GB"/>
        </w:rPr>
        <w:t>.</w:t>
      </w:r>
    </w:p>
    <w:p w:rsidR="00785440" w:rsidRDefault="00785440" w:rsidP="00785440">
      <w:pPr>
        <w:pStyle w:val="Bezmezer"/>
        <w:spacing w:line="360" w:lineRule="auto"/>
        <w:jc w:val="both"/>
        <w:rPr>
          <w:rFonts w:ascii="Times New Roman" w:hAnsi="Times New Roman" w:cs="Times New Roman"/>
          <w:sz w:val="24"/>
          <w:szCs w:val="24"/>
          <w:lang w:val="en-GB"/>
        </w:rPr>
      </w:pPr>
    </w:p>
    <w:p w:rsidR="003637CE" w:rsidRDefault="003637CE" w:rsidP="00785440">
      <w:pPr>
        <w:pStyle w:val="Bezmeze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Regulation consists of 7 Chapters:</w:t>
      </w:r>
    </w:p>
    <w:p w:rsidR="003637CE" w:rsidRDefault="00BB4029" w:rsidP="00BB4029">
      <w:pPr>
        <w:pStyle w:val="Bezmezer"/>
        <w:numPr>
          <w:ilvl w:val="0"/>
          <w:numId w:val="6"/>
        </w:numPr>
        <w:spacing w:line="360" w:lineRule="auto"/>
        <w:ind w:left="709"/>
        <w:jc w:val="both"/>
        <w:rPr>
          <w:rFonts w:ascii="Times New Roman" w:hAnsi="Times New Roman" w:cs="Times New Roman"/>
          <w:sz w:val="24"/>
          <w:szCs w:val="24"/>
          <w:lang w:val="en-GB"/>
        </w:rPr>
      </w:pPr>
      <w:r>
        <w:rPr>
          <w:rFonts w:ascii="Times New Roman" w:hAnsi="Times New Roman" w:cs="Times New Roman"/>
          <w:sz w:val="24"/>
          <w:szCs w:val="24"/>
          <w:lang w:val="en-GB"/>
        </w:rPr>
        <w:t>Scope</w:t>
      </w:r>
    </w:p>
    <w:p w:rsidR="00BB4029" w:rsidRDefault="00BB4029" w:rsidP="00BB4029">
      <w:pPr>
        <w:pStyle w:val="Bezmezer"/>
        <w:numPr>
          <w:ilvl w:val="0"/>
          <w:numId w:val="6"/>
        </w:numPr>
        <w:spacing w:line="360" w:lineRule="auto"/>
        <w:ind w:left="709"/>
        <w:jc w:val="both"/>
        <w:rPr>
          <w:rFonts w:ascii="Times New Roman" w:hAnsi="Times New Roman" w:cs="Times New Roman"/>
          <w:sz w:val="24"/>
          <w:szCs w:val="24"/>
          <w:lang w:val="en-GB"/>
        </w:rPr>
      </w:pPr>
      <w:r>
        <w:rPr>
          <w:rFonts w:ascii="Times New Roman" w:hAnsi="Times New Roman" w:cs="Times New Roman"/>
          <w:sz w:val="24"/>
          <w:szCs w:val="24"/>
          <w:lang w:val="en-GB"/>
        </w:rPr>
        <w:t>Torts/Delicts</w:t>
      </w:r>
    </w:p>
    <w:p w:rsidR="00BB4029" w:rsidRPr="00BB4029" w:rsidRDefault="00BB4029" w:rsidP="00BB4029">
      <w:pPr>
        <w:pStyle w:val="Bezmezer"/>
        <w:numPr>
          <w:ilvl w:val="0"/>
          <w:numId w:val="6"/>
        </w:numPr>
        <w:spacing w:line="360" w:lineRule="auto"/>
        <w:ind w:left="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Unjust Enrichment, </w:t>
      </w:r>
      <w:r w:rsidRPr="00BB4029">
        <w:rPr>
          <w:rFonts w:ascii="Times New Roman" w:hAnsi="Times New Roman" w:cs="Times New Roman"/>
          <w:i/>
          <w:sz w:val="24"/>
          <w:szCs w:val="24"/>
          <w:lang w:val="en-GB"/>
        </w:rPr>
        <w:t>Negotiorum Gestio</w:t>
      </w:r>
      <w:r>
        <w:rPr>
          <w:rFonts w:ascii="Times New Roman" w:hAnsi="Times New Roman" w:cs="Times New Roman"/>
          <w:sz w:val="24"/>
          <w:szCs w:val="24"/>
          <w:lang w:val="en-GB"/>
        </w:rPr>
        <w:t xml:space="preserve"> and </w:t>
      </w:r>
      <w:r>
        <w:rPr>
          <w:rFonts w:ascii="Times New Roman" w:hAnsi="Times New Roman" w:cs="Times New Roman"/>
          <w:i/>
          <w:sz w:val="24"/>
          <w:szCs w:val="24"/>
          <w:lang w:val="en-GB"/>
        </w:rPr>
        <w:t>Culpa I</w:t>
      </w:r>
      <w:r w:rsidRPr="00BB4029">
        <w:rPr>
          <w:rFonts w:ascii="Times New Roman" w:hAnsi="Times New Roman" w:cs="Times New Roman"/>
          <w:i/>
          <w:sz w:val="24"/>
          <w:szCs w:val="24"/>
          <w:lang w:val="en-GB"/>
        </w:rPr>
        <w:t>n Contrahendo</w:t>
      </w:r>
    </w:p>
    <w:p w:rsidR="00BB4029" w:rsidRDefault="00BB4029" w:rsidP="00BB4029">
      <w:pPr>
        <w:pStyle w:val="Bezmezer"/>
        <w:numPr>
          <w:ilvl w:val="0"/>
          <w:numId w:val="6"/>
        </w:numPr>
        <w:spacing w:line="360" w:lineRule="auto"/>
        <w:ind w:left="709"/>
        <w:jc w:val="both"/>
        <w:rPr>
          <w:rFonts w:ascii="Times New Roman" w:hAnsi="Times New Roman" w:cs="Times New Roman"/>
          <w:sz w:val="24"/>
          <w:szCs w:val="24"/>
          <w:lang w:val="en-GB"/>
        </w:rPr>
      </w:pPr>
      <w:r>
        <w:rPr>
          <w:rFonts w:ascii="Times New Roman" w:hAnsi="Times New Roman" w:cs="Times New Roman"/>
          <w:sz w:val="24"/>
          <w:szCs w:val="24"/>
          <w:lang w:val="en-GB"/>
        </w:rPr>
        <w:t>Freedom of Choice</w:t>
      </w:r>
    </w:p>
    <w:p w:rsidR="00BB4029" w:rsidRDefault="00BB4029" w:rsidP="00BB4029">
      <w:pPr>
        <w:pStyle w:val="Bezmezer"/>
        <w:numPr>
          <w:ilvl w:val="0"/>
          <w:numId w:val="6"/>
        </w:numPr>
        <w:spacing w:line="360" w:lineRule="auto"/>
        <w:ind w:left="709"/>
        <w:jc w:val="both"/>
        <w:rPr>
          <w:rFonts w:ascii="Times New Roman" w:hAnsi="Times New Roman" w:cs="Times New Roman"/>
          <w:sz w:val="24"/>
          <w:szCs w:val="24"/>
          <w:lang w:val="en-GB"/>
        </w:rPr>
      </w:pPr>
      <w:r>
        <w:rPr>
          <w:rFonts w:ascii="Times New Roman" w:hAnsi="Times New Roman" w:cs="Times New Roman"/>
          <w:sz w:val="24"/>
          <w:szCs w:val="24"/>
          <w:lang w:val="en-GB"/>
        </w:rPr>
        <w:t>Common Rules</w:t>
      </w:r>
    </w:p>
    <w:p w:rsidR="00BB4029" w:rsidRDefault="00BB4029" w:rsidP="00BB4029">
      <w:pPr>
        <w:pStyle w:val="Bezmezer"/>
        <w:numPr>
          <w:ilvl w:val="0"/>
          <w:numId w:val="6"/>
        </w:numPr>
        <w:spacing w:line="360" w:lineRule="auto"/>
        <w:ind w:left="709"/>
        <w:jc w:val="both"/>
        <w:rPr>
          <w:rFonts w:ascii="Times New Roman" w:hAnsi="Times New Roman" w:cs="Times New Roman"/>
          <w:sz w:val="24"/>
          <w:szCs w:val="24"/>
          <w:lang w:val="en-GB"/>
        </w:rPr>
      </w:pPr>
      <w:r>
        <w:rPr>
          <w:rFonts w:ascii="Times New Roman" w:hAnsi="Times New Roman" w:cs="Times New Roman"/>
          <w:sz w:val="24"/>
          <w:szCs w:val="24"/>
          <w:lang w:val="en-GB"/>
        </w:rPr>
        <w:t>Other Provisions</w:t>
      </w:r>
    </w:p>
    <w:p w:rsidR="00BB4029" w:rsidRPr="00D9642F" w:rsidRDefault="00BB4029" w:rsidP="00BB4029">
      <w:pPr>
        <w:pStyle w:val="Bezmezer"/>
        <w:numPr>
          <w:ilvl w:val="0"/>
          <w:numId w:val="6"/>
        </w:numPr>
        <w:spacing w:line="360" w:lineRule="auto"/>
        <w:ind w:left="709"/>
        <w:jc w:val="both"/>
        <w:rPr>
          <w:rFonts w:ascii="Times New Roman" w:hAnsi="Times New Roman" w:cs="Times New Roman"/>
          <w:sz w:val="24"/>
          <w:szCs w:val="24"/>
          <w:lang w:val="en-GB"/>
        </w:rPr>
      </w:pPr>
      <w:r>
        <w:rPr>
          <w:rFonts w:ascii="Times New Roman" w:hAnsi="Times New Roman" w:cs="Times New Roman"/>
          <w:sz w:val="24"/>
          <w:szCs w:val="24"/>
          <w:lang w:val="en-GB"/>
        </w:rPr>
        <w:t>Final Provisions</w:t>
      </w:r>
    </w:p>
    <w:p w:rsidR="00785440" w:rsidRDefault="00785440" w:rsidP="00785440">
      <w:pPr>
        <w:autoSpaceDE w:val="0"/>
        <w:autoSpaceDN w:val="0"/>
        <w:adjustRightInd w:val="0"/>
        <w:spacing w:after="0" w:line="360" w:lineRule="auto"/>
        <w:jc w:val="both"/>
        <w:rPr>
          <w:rFonts w:ascii="Times New Roman" w:hAnsi="Times New Roman" w:cs="Times New Roman"/>
          <w:sz w:val="24"/>
          <w:szCs w:val="24"/>
          <w:lang w:val="en-GB"/>
        </w:rPr>
      </w:pPr>
    </w:p>
    <w:p w:rsidR="007942FD" w:rsidRDefault="00BB4029" w:rsidP="00785440">
      <w:pPr>
        <w:autoSpaceDE w:val="0"/>
        <w:autoSpaceDN w:val="0"/>
        <w:adjustRightInd w:val="0"/>
        <w:spacing w:after="0" w:line="360" w:lineRule="auto"/>
        <w:jc w:val="both"/>
        <w:rPr>
          <w:rFonts w:ascii="Times New Roman" w:eastAsia="EUAlbertina-Regular-Identity-H" w:hAnsi="Times New Roman" w:cs="Times New Roman"/>
          <w:sz w:val="24"/>
          <w:szCs w:val="24"/>
          <w:lang w:val="en-GB"/>
        </w:rPr>
      </w:pPr>
      <w:r>
        <w:rPr>
          <w:rFonts w:ascii="Times New Roman" w:hAnsi="Times New Roman" w:cs="Times New Roman"/>
          <w:sz w:val="24"/>
          <w:szCs w:val="24"/>
          <w:lang w:val="en-GB"/>
        </w:rPr>
        <w:lastRenderedPageBreak/>
        <w:t>Some non-contractual obligations are excluded</w:t>
      </w:r>
      <w:r w:rsidRPr="00BB4029">
        <w:rPr>
          <w:rFonts w:ascii="Times New Roman" w:hAnsi="Times New Roman" w:cs="Times New Roman"/>
          <w:sz w:val="24"/>
          <w:szCs w:val="24"/>
          <w:lang w:val="en-GB"/>
        </w:rPr>
        <w:t xml:space="preserve"> </w:t>
      </w:r>
      <w:r w:rsidR="00BE2CFB">
        <w:rPr>
          <w:rFonts w:ascii="Times New Roman" w:hAnsi="Times New Roman" w:cs="Times New Roman"/>
          <w:sz w:val="24"/>
          <w:szCs w:val="24"/>
          <w:lang w:val="en-GB"/>
        </w:rPr>
        <w:t>f</w:t>
      </w:r>
      <w:r>
        <w:rPr>
          <w:rFonts w:ascii="Times New Roman" w:hAnsi="Times New Roman" w:cs="Times New Roman"/>
          <w:sz w:val="24"/>
          <w:szCs w:val="24"/>
          <w:lang w:val="en-GB"/>
        </w:rPr>
        <w:t xml:space="preserve">rom the Scope of the Regulation, i.e. those </w:t>
      </w:r>
      <w:r w:rsidRPr="008355D8">
        <w:rPr>
          <w:rFonts w:ascii="Times New Roman" w:hAnsi="Times New Roman" w:cs="Times New Roman"/>
          <w:sz w:val="24"/>
          <w:szCs w:val="24"/>
          <w:lang w:val="en-GB"/>
        </w:rPr>
        <w:t xml:space="preserve">which are arising </w:t>
      </w:r>
      <w:r w:rsidR="00A271BD" w:rsidRPr="008355D8">
        <w:rPr>
          <w:rFonts w:ascii="Times New Roman" w:hAnsi="Times New Roman" w:cs="Times New Roman"/>
          <w:sz w:val="24"/>
          <w:szCs w:val="24"/>
          <w:lang w:val="en-GB"/>
        </w:rPr>
        <w:t>out of family relationships and relati</w:t>
      </w:r>
      <w:r w:rsidR="008355D8" w:rsidRPr="008355D8">
        <w:rPr>
          <w:rFonts w:ascii="Times New Roman" w:hAnsi="Times New Roman" w:cs="Times New Roman"/>
          <w:sz w:val="24"/>
          <w:szCs w:val="24"/>
          <w:lang w:val="en-GB"/>
        </w:rPr>
        <w:t>onships with comparable effects;</w:t>
      </w:r>
      <w:r w:rsidR="00A271BD" w:rsidRPr="008355D8">
        <w:rPr>
          <w:rFonts w:ascii="Times New Roman" w:hAnsi="Times New Roman" w:cs="Times New Roman"/>
          <w:sz w:val="24"/>
          <w:szCs w:val="24"/>
          <w:lang w:val="en-GB"/>
        </w:rPr>
        <w:t xml:space="preserve"> </w:t>
      </w:r>
      <w:r w:rsidR="008355D8" w:rsidRPr="008355D8">
        <w:rPr>
          <w:rFonts w:ascii="Times New Roman" w:hAnsi="Times New Roman" w:cs="Times New Roman"/>
          <w:sz w:val="24"/>
          <w:szCs w:val="24"/>
          <w:lang w:val="en-GB"/>
        </w:rPr>
        <w:t>of matrimonial property regimes;</w:t>
      </w:r>
      <w:r w:rsidR="00A271BD" w:rsidRPr="008355D8">
        <w:rPr>
          <w:rFonts w:ascii="Times New Roman" w:hAnsi="Times New Roman" w:cs="Times New Roman"/>
          <w:sz w:val="24"/>
          <w:szCs w:val="24"/>
          <w:lang w:val="en-GB"/>
        </w:rPr>
        <w:t xml:space="preserve"> arising under bills of exchange, cheques and </w:t>
      </w:r>
      <w:r w:rsidR="00A271BD" w:rsidRPr="008355D8">
        <w:rPr>
          <w:rFonts w:ascii="Times New Roman" w:eastAsia="EUAlbertina-Regular-Identity-H" w:hAnsi="Times New Roman" w:cs="Times New Roman"/>
          <w:sz w:val="24"/>
          <w:szCs w:val="24"/>
          <w:lang w:val="en-GB"/>
        </w:rPr>
        <w:t xml:space="preserve">other negotiable instruments to the extent that the obligations under such other negotiable instruments arise out of their negotiable </w:t>
      </w:r>
      <w:r w:rsidR="008355D8">
        <w:rPr>
          <w:rFonts w:ascii="Times New Roman" w:eastAsia="EUAlbertina-Regular-Identity-H" w:hAnsi="Times New Roman" w:cs="Times New Roman"/>
          <w:sz w:val="24"/>
          <w:szCs w:val="24"/>
          <w:lang w:val="en-GB"/>
        </w:rPr>
        <w:t>charac</w:t>
      </w:r>
      <w:r w:rsidR="008355D8" w:rsidRPr="008355D8">
        <w:rPr>
          <w:rFonts w:ascii="Times New Roman" w:eastAsia="EUAlbertina-Regular-Identity-H" w:hAnsi="Times New Roman" w:cs="Times New Roman"/>
          <w:sz w:val="24"/>
          <w:szCs w:val="24"/>
          <w:lang w:val="en-GB"/>
        </w:rPr>
        <w:t>ter; non-contractual obligations arising out of nuclear damage; non-contractual obligations arising out of violations of privacy and rights relating to personality, including defamation</w:t>
      </w:r>
      <w:r w:rsidR="008355D8" w:rsidRPr="008355D8">
        <w:rPr>
          <w:rStyle w:val="Znakapoznpodarou"/>
          <w:rFonts w:ascii="Times New Roman" w:eastAsia="EUAlbertina-Regular-Identity-H" w:hAnsi="Times New Roman" w:cs="Times New Roman"/>
          <w:sz w:val="24"/>
          <w:szCs w:val="24"/>
          <w:lang w:val="en-GB"/>
        </w:rPr>
        <w:footnoteReference w:id="14"/>
      </w:r>
      <w:r w:rsidR="008355D8" w:rsidRPr="008355D8">
        <w:rPr>
          <w:rFonts w:ascii="Times New Roman" w:eastAsia="EUAlbertina-Regular-Identity-H" w:hAnsi="Times New Roman" w:cs="Times New Roman"/>
          <w:sz w:val="24"/>
          <w:szCs w:val="24"/>
          <w:lang w:val="en-GB"/>
        </w:rPr>
        <w:t xml:space="preserve"> and others (art. 1(2))</w:t>
      </w:r>
      <w:r w:rsidR="008355D8">
        <w:rPr>
          <w:rFonts w:ascii="Times New Roman" w:eastAsia="EUAlbertina-Regular-Identity-H" w:hAnsi="Times New Roman" w:cs="Times New Roman"/>
          <w:sz w:val="24"/>
          <w:szCs w:val="24"/>
          <w:lang w:val="en-GB"/>
        </w:rPr>
        <w:t>.</w:t>
      </w:r>
      <w:r w:rsidR="007942FD">
        <w:rPr>
          <w:rFonts w:ascii="Times New Roman" w:eastAsia="EUAlbertina-Regular-Identity-H" w:hAnsi="Times New Roman" w:cs="Times New Roman"/>
          <w:sz w:val="24"/>
          <w:szCs w:val="24"/>
          <w:lang w:val="en-GB"/>
        </w:rPr>
        <w:t xml:space="preserve"> </w:t>
      </w:r>
      <w:r w:rsidR="007942FD" w:rsidRPr="007942FD">
        <w:rPr>
          <w:rFonts w:ascii="Times New Roman" w:eastAsia="EUAlbertina-Regular-Identity-H" w:hAnsi="Times New Roman" w:cs="Times New Roman"/>
          <w:sz w:val="24"/>
          <w:szCs w:val="24"/>
          <w:lang w:val="en-GB"/>
        </w:rPr>
        <w:t>Regulation shall not apply to revenue, customs or administrative matters or to the liability of the State for acts and omissions in the exercise of State authority (</w:t>
      </w:r>
      <w:r w:rsidR="007942FD" w:rsidRPr="007942FD">
        <w:rPr>
          <w:rFonts w:ascii="Times New Roman" w:eastAsia="EUAlbertina-Italic-Identity-H" w:hAnsi="Times New Roman" w:cs="Times New Roman"/>
          <w:i/>
          <w:iCs/>
          <w:sz w:val="24"/>
          <w:szCs w:val="24"/>
          <w:lang w:val="en-GB"/>
        </w:rPr>
        <w:t>acta iure imperii</w:t>
      </w:r>
      <w:r w:rsidR="007942FD">
        <w:rPr>
          <w:rStyle w:val="Znakapoznpodarou"/>
          <w:rFonts w:ascii="Times New Roman" w:eastAsia="EUAlbertina-Italic-Identity-H" w:hAnsi="Times New Roman" w:cs="Times New Roman"/>
          <w:i/>
          <w:iCs/>
          <w:sz w:val="24"/>
          <w:szCs w:val="24"/>
          <w:lang w:val="en-GB"/>
        </w:rPr>
        <w:footnoteReference w:id="15"/>
      </w:r>
      <w:r w:rsidR="007942FD" w:rsidRPr="007942FD">
        <w:rPr>
          <w:rFonts w:ascii="Times New Roman" w:eastAsia="EUAlbertina-Italic-Identity-H" w:hAnsi="Times New Roman" w:cs="Times New Roman"/>
          <w:i/>
          <w:iCs/>
          <w:sz w:val="24"/>
          <w:szCs w:val="24"/>
          <w:lang w:val="en-GB"/>
        </w:rPr>
        <w:t>)</w:t>
      </w:r>
      <w:r w:rsidR="007942FD" w:rsidRPr="007942FD">
        <w:rPr>
          <w:rFonts w:ascii="Times New Roman" w:eastAsia="EUAlbertina-Italic-Identity-H" w:hAnsi="Times New Roman" w:cs="Times New Roman"/>
          <w:iCs/>
          <w:sz w:val="24"/>
          <w:szCs w:val="24"/>
          <w:lang w:val="en-GB"/>
        </w:rPr>
        <w:t xml:space="preserve"> and </w:t>
      </w:r>
      <w:r w:rsidR="007942FD" w:rsidRPr="007942FD">
        <w:rPr>
          <w:rFonts w:ascii="Times New Roman" w:eastAsia="EUAlbertina-Regular-Identity-H" w:hAnsi="Times New Roman" w:cs="Times New Roman"/>
          <w:sz w:val="24"/>
          <w:szCs w:val="24"/>
          <w:lang w:val="en-GB"/>
        </w:rPr>
        <w:t>to evidence and procedure</w:t>
      </w:r>
      <w:r w:rsidR="007942FD">
        <w:rPr>
          <w:rFonts w:ascii="Times New Roman" w:eastAsia="EUAlbertina-Regular-Identity-H" w:hAnsi="Times New Roman" w:cs="Times New Roman"/>
          <w:sz w:val="24"/>
          <w:szCs w:val="24"/>
          <w:lang w:val="en-GB"/>
        </w:rPr>
        <w:t>.</w:t>
      </w:r>
    </w:p>
    <w:p w:rsidR="00785440" w:rsidRDefault="00785440" w:rsidP="00785440">
      <w:pPr>
        <w:autoSpaceDE w:val="0"/>
        <w:autoSpaceDN w:val="0"/>
        <w:adjustRightInd w:val="0"/>
        <w:spacing w:after="0" w:line="240" w:lineRule="auto"/>
        <w:jc w:val="both"/>
        <w:rPr>
          <w:rFonts w:ascii="Times New Roman" w:eastAsia="EUAlbertina-Regular-Identity-H" w:hAnsi="Times New Roman" w:cs="Times New Roman"/>
          <w:sz w:val="24"/>
          <w:szCs w:val="24"/>
          <w:lang w:val="en-GB"/>
        </w:rPr>
      </w:pPr>
    </w:p>
    <w:p w:rsidR="007942FD" w:rsidRDefault="007942FD" w:rsidP="00785440">
      <w:pPr>
        <w:autoSpaceDE w:val="0"/>
        <w:autoSpaceDN w:val="0"/>
        <w:adjustRightInd w:val="0"/>
        <w:spacing w:after="0" w:line="240" w:lineRule="auto"/>
        <w:jc w:val="both"/>
        <w:rPr>
          <w:rFonts w:ascii="Times New Roman" w:eastAsia="EUAlbertina-Regular-Identity-H" w:hAnsi="Times New Roman" w:cs="Times New Roman"/>
          <w:sz w:val="24"/>
          <w:szCs w:val="24"/>
          <w:lang w:val="en-GB"/>
        </w:rPr>
      </w:pPr>
      <w:r>
        <w:rPr>
          <w:rFonts w:ascii="Times New Roman" w:eastAsia="EUAlbertina-Regular-Identity-H" w:hAnsi="Times New Roman" w:cs="Times New Roman"/>
          <w:sz w:val="24"/>
          <w:szCs w:val="24"/>
          <w:lang w:val="en-GB"/>
        </w:rPr>
        <w:t>Tort/Delict status</w:t>
      </w:r>
      <w:r w:rsidR="001118B5">
        <w:rPr>
          <w:rFonts w:ascii="Times New Roman" w:eastAsia="EUAlbertina-Regular-Identity-H" w:hAnsi="Times New Roman" w:cs="Times New Roman"/>
          <w:sz w:val="24"/>
          <w:szCs w:val="24"/>
          <w:lang w:val="en-GB"/>
        </w:rPr>
        <w:t xml:space="preserve"> (the law applicable in accordance with the conflict of law rules) include above all (art. 14):</w:t>
      </w:r>
    </w:p>
    <w:p w:rsidR="001118B5" w:rsidRDefault="001118B5" w:rsidP="001118B5">
      <w:pPr>
        <w:autoSpaceDE w:val="0"/>
        <w:autoSpaceDN w:val="0"/>
        <w:adjustRightInd w:val="0"/>
        <w:spacing w:after="0" w:line="240" w:lineRule="auto"/>
        <w:ind w:firstLine="708"/>
        <w:jc w:val="both"/>
        <w:rPr>
          <w:rFonts w:ascii="Times New Roman" w:eastAsia="EUAlbertina-Regular-Identity-H" w:hAnsi="Times New Roman" w:cs="Times New Roman"/>
          <w:sz w:val="24"/>
          <w:szCs w:val="24"/>
          <w:lang w:val="en-GB"/>
        </w:rPr>
      </w:pPr>
    </w:p>
    <w:p w:rsidR="007942FD" w:rsidRPr="001118B5" w:rsidRDefault="007942FD" w:rsidP="001118B5">
      <w:pPr>
        <w:autoSpaceDE w:val="0"/>
        <w:autoSpaceDN w:val="0"/>
        <w:adjustRightInd w:val="0"/>
        <w:spacing w:after="0" w:line="360" w:lineRule="auto"/>
        <w:jc w:val="both"/>
        <w:rPr>
          <w:rFonts w:ascii="Times New Roman" w:eastAsia="EUAlbertina-Regular-Identity-H" w:hAnsi="Times New Roman" w:cs="Times New Roman"/>
          <w:sz w:val="24"/>
          <w:szCs w:val="24"/>
          <w:lang w:val="en-GB"/>
        </w:rPr>
      </w:pPr>
      <w:r w:rsidRPr="001118B5">
        <w:rPr>
          <w:rFonts w:ascii="Times New Roman" w:eastAsia="EUAlbertina-Regular-Identity-H" w:hAnsi="Times New Roman" w:cs="Times New Roman"/>
          <w:sz w:val="24"/>
          <w:szCs w:val="24"/>
          <w:lang w:val="en-GB"/>
        </w:rPr>
        <w:t>(a) the basis and extent of liability, including the determination of persons who may be held liable for acts performed by them;</w:t>
      </w:r>
    </w:p>
    <w:p w:rsidR="007942FD" w:rsidRPr="001118B5" w:rsidRDefault="007942FD" w:rsidP="001118B5">
      <w:pPr>
        <w:autoSpaceDE w:val="0"/>
        <w:autoSpaceDN w:val="0"/>
        <w:adjustRightInd w:val="0"/>
        <w:spacing w:after="0" w:line="360" w:lineRule="auto"/>
        <w:jc w:val="both"/>
        <w:rPr>
          <w:rFonts w:ascii="Times New Roman" w:eastAsia="EUAlbertina-Regular-Identity-H" w:hAnsi="Times New Roman" w:cs="Times New Roman"/>
          <w:sz w:val="24"/>
          <w:szCs w:val="24"/>
          <w:lang w:val="en-GB"/>
        </w:rPr>
      </w:pPr>
      <w:r w:rsidRPr="001118B5">
        <w:rPr>
          <w:rFonts w:ascii="Times New Roman" w:eastAsia="EUAlbertina-Regular-Identity-H" w:hAnsi="Times New Roman" w:cs="Times New Roman"/>
          <w:sz w:val="24"/>
          <w:szCs w:val="24"/>
          <w:lang w:val="en-GB"/>
        </w:rPr>
        <w:t>(b) the grounds for exemption from liability, any limitation of liability and any division of liability;</w:t>
      </w:r>
    </w:p>
    <w:p w:rsidR="007942FD" w:rsidRPr="001118B5" w:rsidRDefault="007942FD" w:rsidP="001118B5">
      <w:pPr>
        <w:autoSpaceDE w:val="0"/>
        <w:autoSpaceDN w:val="0"/>
        <w:adjustRightInd w:val="0"/>
        <w:spacing w:after="0" w:line="360" w:lineRule="auto"/>
        <w:jc w:val="both"/>
        <w:rPr>
          <w:rFonts w:ascii="Times New Roman" w:eastAsia="EUAlbertina-Regular-Identity-H" w:hAnsi="Times New Roman" w:cs="Times New Roman"/>
          <w:sz w:val="24"/>
          <w:szCs w:val="24"/>
          <w:lang w:val="en-GB"/>
        </w:rPr>
      </w:pPr>
      <w:r w:rsidRPr="001118B5">
        <w:rPr>
          <w:rFonts w:ascii="Times New Roman" w:eastAsia="EUAlbertina-Regular-Identity-H" w:hAnsi="Times New Roman" w:cs="Times New Roman"/>
          <w:sz w:val="24"/>
          <w:szCs w:val="24"/>
          <w:lang w:val="en-GB"/>
        </w:rPr>
        <w:t>(c) the existence, the nature and the assessment of damage or the remedy claimed;</w:t>
      </w:r>
    </w:p>
    <w:p w:rsidR="007942FD" w:rsidRPr="001118B5" w:rsidRDefault="007942FD" w:rsidP="001118B5">
      <w:pPr>
        <w:autoSpaceDE w:val="0"/>
        <w:autoSpaceDN w:val="0"/>
        <w:adjustRightInd w:val="0"/>
        <w:spacing w:after="0" w:line="360" w:lineRule="auto"/>
        <w:jc w:val="both"/>
        <w:rPr>
          <w:rFonts w:ascii="Times New Roman" w:eastAsia="EUAlbertina-Regular-Identity-H" w:hAnsi="Times New Roman" w:cs="Times New Roman"/>
          <w:sz w:val="24"/>
          <w:szCs w:val="24"/>
          <w:lang w:val="en-GB"/>
        </w:rPr>
      </w:pPr>
      <w:r w:rsidRPr="001118B5">
        <w:rPr>
          <w:rFonts w:ascii="Times New Roman" w:eastAsia="EUAlbertina-Regular-Identity-H" w:hAnsi="Times New Roman" w:cs="Times New Roman"/>
          <w:sz w:val="24"/>
          <w:szCs w:val="24"/>
          <w:lang w:val="en-GB"/>
        </w:rPr>
        <w:t>(d) within the limits of powers conferred on the court by its procedural law, the measures which a court may take to prevent or terminate injury or damage or to ensure the provision</w:t>
      </w:r>
    </w:p>
    <w:p w:rsidR="007942FD" w:rsidRPr="001118B5" w:rsidRDefault="007942FD" w:rsidP="001118B5">
      <w:pPr>
        <w:autoSpaceDE w:val="0"/>
        <w:autoSpaceDN w:val="0"/>
        <w:adjustRightInd w:val="0"/>
        <w:spacing w:after="0" w:line="360" w:lineRule="auto"/>
        <w:jc w:val="both"/>
        <w:rPr>
          <w:rFonts w:ascii="Times New Roman" w:eastAsia="EUAlbertina-Regular-Identity-H" w:hAnsi="Times New Roman" w:cs="Times New Roman"/>
          <w:sz w:val="24"/>
          <w:szCs w:val="24"/>
          <w:lang w:val="en-GB"/>
        </w:rPr>
      </w:pPr>
      <w:r w:rsidRPr="001118B5">
        <w:rPr>
          <w:rFonts w:ascii="Times New Roman" w:eastAsia="EUAlbertina-Regular-Identity-H" w:hAnsi="Times New Roman" w:cs="Times New Roman"/>
          <w:sz w:val="24"/>
          <w:szCs w:val="24"/>
          <w:lang w:val="en-GB"/>
        </w:rPr>
        <w:t>of compensation;</w:t>
      </w:r>
    </w:p>
    <w:p w:rsidR="007942FD" w:rsidRPr="001118B5" w:rsidRDefault="007942FD" w:rsidP="001118B5">
      <w:pPr>
        <w:autoSpaceDE w:val="0"/>
        <w:autoSpaceDN w:val="0"/>
        <w:adjustRightInd w:val="0"/>
        <w:spacing w:after="0" w:line="360" w:lineRule="auto"/>
        <w:jc w:val="both"/>
        <w:rPr>
          <w:rFonts w:ascii="Times New Roman" w:eastAsia="EUAlbertina-Regular-Identity-H" w:hAnsi="Times New Roman" w:cs="Times New Roman"/>
          <w:sz w:val="24"/>
          <w:szCs w:val="24"/>
          <w:lang w:val="en-GB"/>
        </w:rPr>
      </w:pPr>
      <w:r w:rsidRPr="001118B5">
        <w:rPr>
          <w:rFonts w:ascii="Times New Roman" w:eastAsia="EUAlbertina-Regular-Identity-H" w:hAnsi="Times New Roman" w:cs="Times New Roman"/>
          <w:sz w:val="24"/>
          <w:szCs w:val="24"/>
          <w:lang w:val="en-GB"/>
        </w:rPr>
        <w:t>(e) the question whether a right to claim damages or a remedy may be transferred, including by inheritance;</w:t>
      </w:r>
    </w:p>
    <w:p w:rsidR="007942FD" w:rsidRPr="001118B5" w:rsidRDefault="007942FD" w:rsidP="001118B5">
      <w:pPr>
        <w:autoSpaceDE w:val="0"/>
        <w:autoSpaceDN w:val="0"/>
        <w:adjustRightInd w:val="0"/>
        <w:spacing w:after="0" w:line="360" w:lineRule="auto"/>
        <w:jc w:val="both"/>
        <w:rPr>
          <w:rFonts w:ascii="Times New Roman" w:eastAsia="EUAlbertina-Regular-Identity-H" w:hAnsi="Times New Roman" w:cs="Times New Roman"/>
          <w:sz w:val="24"/>
          <w:szCs w:val="24"/>
          <w:lang w:val="en-GB"/>
        </w:rPr>
      </w:pPr>
      <w:r w:rsidRPr="001118B5">
        <w:rPr>
          <w:rFonts w:ascii="Times New Roman" w:eastAsia="EUAlbertina-Regular-Identity-H" w:hAnsi="Times New Roman" w:cs="Times New Roman"/>
          <w:sz w:val="24"/>
          <w:szCs w:val="24"/>
          <w:lang w:val="en-GB"/>
        </w:rPr>
        <w:t>(f) persons entitled to compensation for damage sustained personally;</w:t>
      </w:r>
    </w:p>
    <w:p w:rsidR="007942FD" w:rsidRPr="001118B5" w:rsidRDefault="007942FD" w:rsidP="001118B5">
      <w:pPr>
        <w:autoSpaceDE w:val="0"/>
        <w:autoSpaceDN w:val="0"/>
        <w:adjustRightInd w:val="0"/>
        <w:spacing w:after="0" w:line="360" w:lineRule="auto"/>
        <w:jc w:val="both"/>
        <w:rPr>
          <w:rFonts w:ascii="Times New Roman" w:eastAsia="EUAlbertina-Regular-Identity-H" w:hAnsi="Times New Roman" w:cs="Times New Roman"/>
          <w:sz w:val="24"/>
          <w:szCs w:val="24"/>
          <w:lang w:val="en-GB"/>
        </w:rPr>
      </w:pPr>
      <w:r w:rsidRPr="001118B5">
        <w:rPr>
          <w:rFonts w:ascii="Times New Roman" w:eastAsia="EUAlbertina-Regular-Identity-H" w:hAnsi="Times New Roman" w:cs="Times New Roman"/>
          <w:sz w:val="24"/>
          <w:szCs w:val="24"/>
          <w:lang w:val="en-GB"/>
        </w:rPr>
        <w:t>(g) liability for the acts of another person;</w:t>
      </w:r>
    </w:p>
    <w:p w:rsidR="00785440" w:rsidRDefault="007942FD" w:rsidP="001118B5">
      <w:pPr>
        <w:autoSpaceDE w:val="0"/>
        <w:autoSpaceDN w:val="0"/>
        <w:adjustRightInd w:val="0"/>
        <w:spacing w:after="0" w:line="360" w:lineRule="auto"/>
        <w:jc w:val="both"/>
        <w:rPr>
          <w:rFonts w:ascii="Times New Roman" w:eastAsia="EUAlbertina-Regular-Identity-H" w:hAnsi="Times New Roman" w:cs="Times New Roman"/>
          <w:sz w:val="24"/>
          <w:szCs w:val="24"/>
          <w:lang w:val="en-GB"/>
        </w:rPr>
      </w:pPr>
      <w:r w:rsidRPr="001118B5">
        <w:rPr>
          <w:rFonts w:ascii="Times New Roman" w:eastAsia="EUAlbertina-Regular-Identity-H" w:hAnsi="Times New Roman" w:cs="Times New Roman"/>
          <w:sz w:val="24"/>
          <w:szCs w:val="24"/>
          <w:lang w:val="en-GB"/>
        </w:rPr>
        <w:t>(h) the manner in which an obligation may be extinguished and</w:t>
      </w:r>
      <w:r w:rsidR="001118B5" w:rsidRPr="001118B5">
        <w:rPr>
          <w:rFonts w:ascii="Times New Roman" w:eastAsia="EUAlbertina-Regular-Identity-H" w:hAnsi="Times New Roman" w:cs="Times New Roman"/>
          <w:sz w:val="24"/>
          <w:szCs w:val="24"/>
          <w:lang w:val="en-GB"/>
        </w:rPr>
        <w:t xml:space="preserve"> </w:t>
      </w:r>
      <w:r w:rsidRPr="001118B5">
        <w:rPr>
          <w:rFonts w:ascii="Times New Roman" w:eastAsia="EUAlbertina-Regular-Identity-H" w:hAnsi="Times New Roman" w:cs="Times New Roman"/>
          <w:sz w:val="24"/>
          <w:szCs w:val="24"/>
          <w:lang w:val="en-GB"/>
        </w:rPr>
        <w:t xml:space="preserve">rules of prescription and </w:t>
      </w:r>
      <w:r w:rsidR="001118B5" w:rsidRPr="001118B5">
        <w:rPr>
          <w:rFonts w:ascii="Times New Roman" w:eastAsia="EUAlbertina-Regular-Identity-H" w:hAnsi="Times New Roman" w:cs="Times New Roman"/>
          <w:sz w:val="24"/>
          <w:szCs w:val="24"/>
          <w:lang w:val="en-GB"/>
        </w:rPr>
        <w:t>l</w:t>
      </w:r>
      <w:r w:rsidRPr="001118B5">
        <w:rPr>
          <w:rFonts w:ascii="Times New Roman" w:eastAsia="EUAlbertina-Regular-Identity-H" w:hAnsi="Times New Roman" w:cs="Times New Roman"/>
          <w:sz w:val="24"/>
          <w:szCs w:val="24"/>
          <w:lang w:val="en-GB"/>
        </w:rPr>
        <w:t xml:space="preserve">imitation, including rules </w:t>
      </w:r>
      <w:r w:rsidR="001118B5" w:rsidRPr="001118B5">
        <w:rPr>
          <w:rFonts w:ascii="Times New Roman" w:eastAsia="EUAlbertina-Regular-Identity-H" w:hAnsi="Times New Roman" w:cs="Times New Roman"/>
          <w:sz w:val="24"/>
          <w:szCs w:val="24"/>
          <w:lang w:val="en-GB"/>
        </w:rPr>
        <w:t xml:space="preserve">relation </w:t>
      </w:r>
      <w:r w:rsidRPr="001118B5">
        <w:rPr>
          <w:rFonts w:ascii="Times New Roman" w:eastAsia="EUAlbertina-Regular-Identity-H" w:hAnsi="Times New Roman" w:cs="Times New Roman"/>
          <w:sz w:val="24"/>
          <w:szCs w:val="24"/>
          <w:lang w:val="en-GB"/>
        </w:rPr>
        <w:t>to the commencement, interruption and suspension of a</w:t>
      </w:r>
      <w:r w:rsidR="001118B5" w:rsidRPr="001118B5">
        <w:rPr>
          <w:rFonts w:ascii="Times New Roman" w:eastAsia="EUAlbertina-Regular-Identity-H" w:hAnsi="Times New Roman" w:cs="Times New Roman"/>
          <w:sz w:val="24"/>
          <w:szCs w:val="24"/>
          <w:lang w:val="en-GB"/>
        </w:rPr>
        <w:t xml:space="preserve"> </w:t>
      </w:r>
      <w:r w:rsidRPr="001118B5">
        <w:rPr>
          <w:rFonts w:ascii="Times New Roman" w:eastAsia="EUAlbertina-Regular-Identity-H" w:hAnsi="Times New Roman" w:cs="Times New Roman"/>
          <w:sz w:val="24"/>
          <w:szCs w:val="24"/>
          <w:lang w:val="en-GB"/>
        </w:rPr>
        <w:t>period of prescription or limitation.</w:t>
      </w:r>
    </w:p>
    <w:p w:rsidR="00785440" w:rsidRDefault="00785440" w:rsidP="001118B5">
      <w:pPr>
        <w:autoSpaceDE w:val="0"/>
        <w:autoSpaceDN w:val="0"/>
        <w:adjustRightInd w:val="0"/>
        <w:spacing w:after="0" w:line="360" w:lineRule="auto"/>
        <w:jc w:val="both"/>
        <w:rPr>
          <w:rFonts w:ascii="Times New Roman" w:eastAsia="EUAlbertina-Regular-Identity-H" w:hAnsi="Times New Roman" w:cs="Times New Roman"/>
          <w:b/>
          <w:sz w:val="24"/>
          <w:szCs w:val="24"/>
          <w:lang w:val="en-GB"/>
        </w:rPr>
      </w:pPr>
    </w:p>
    <w:p w:rsidR="00490F5B" w:rsidRPr="00785440" w:rsidRDefault="00490F5B" w:rsidP="001118B5">
      <w:pPr>
        <w:autoSpaceDE w:val="0"/>
        <w:autoSpaceDN w:val="0"/>
        <w:adjustRightInd w:val="0"/>
        <w:spacing w:after="0" w:line="360" w:lineRule="auto"/>
        <w:jc w:val="both"/>
        <w:rPr>
          <w:rFonts w:ascii="Times New Roman" w:eastAsia="EUAlbertina-Regular-Identity-H" w:hAnsi="Times New Roman" w:cs="Times New Roman"/>
          <w:sz w:val="24"/>
          <w:szCs w:val="24"/>
          <w:lang w:val="en-GB"/>
        </w:rPr>
      </w:pPr>
      <w:r>
        <w:rPr>
          <w:rFonts w:ascii="Times New Roman" w:eastAsia="EUAlbertina-Regular-Identity-H" w:hAnsi="Times New Roman" w:cs="Times New Roman"/>
          <w:b/>
          <w:sz w:val="24"/>
          <w:szCs w:val="24"/>
          <w:lang w:val="en-GB"/>
        </w:rPr>
        <w:t>4.3 Hierarchy of the choice of law rules in Rome II</w:t>
      </w:r>
    </w:p>
    <w:p w:rsidR="00490F5B" w:rsidRDefault="00490F5B" w:rsidP="001118B5">
      <w:pPr>
        <w:autoSpaceDE w:val="0"/>
        <w:autoSpaceDN w:val="0"/>
        <w:adjustRightInd w:val="0"/>
        <w:spacing w:after="0" w:line="360" w:lineRule="auto"/>
        <w:jc w:val="both"/>
        <w:rPr>
          <w:rFonts w:ascii="Times New Roman" w:eastAsia="EUAlbertina-Regular-Identity-H" w:hAnsi="Times New Roman" w:cs="Times New Roman"/>
          <w:b/>
          <w:sz w:val="24"/>
          <w:szCs w:val="24"/>
          <w:lang w:val="en-GB"/>
        </w:rPr>
      </w:pPr>
    </w:p>
    <w:p w:rsidR="00490F5B" w:rsidRDefault="00490F5B" w:rsidP="00AC642D">
      <w:pPr>
        <w:autoSpaceDE w:val="0"/>
        <w:autoSpaceDN w:val="0"/>
        <w:adjustRightInd w:val="0"/>
        <w:spacing w:after="0" w:line="360" w:lineRule="auto"/>
        <w:jc w:val="both"/>
        <w:rPr>
          <w:rFonts w:ascii="Times New Roman" w:eastAsia="EUAlbertina-Regular-Identity-H" w:hAnsi="Times New Roman" w:cs="Times New Roman"/>
          <w:sz w:val="24"/>
          <w:szCs w:val="24"/>
          <w:lang w:val="en-GB"/>
        </w:rPr>
      </w:pPr>
      <w:r>
        <w:rPr>
          <w:rFonts w:ascii="Times New Roman" w:eastAsia="EUAlbertina-Regular-Identity-H" w:hAnsi="Times New Roman" w:cs="Times New Roman"/>
          <w:sz w:val="24"/>
          <w:szCs w:val="24"/>
          <w:lang w:val="en-GB"/>
        </w:rPr>
        <w:t>Rome II follows out trends of the last decades in PIL and put</w:t>
      </w:r>
      <w:r w:rsidR="00BD57F1">
        <w:rPr>
          <w:rFonts w:ascii="Times New Roman" w:eastAsia="EUAlbertina-Regular-Identity-H" w:hAnsi="Times New Roman" w:cs="Times New Roman"/>
          <w:sz w:val="24"/>
          <w:szCs w:val="24"/>
          <w:lang w:val="en-GB"/>
        </w:rPr>
        <w:t>s</w:t>
      </w:r>
      <w:r>
        <w:rPr>
          <w:rFonts w:ascii="Times New Roman" w:eastAsia="EUAlbertina-Regular-Identity-H" w:hAnsi="Times New Roman" w:cs="Times New Roman"/>
          <w:sz w:val="24"/>
          <w:szCs w:val="24"/>
          <w:lang w:val="en-GB"/>
        </w:rPr>
        <w:t xml:space="preserve"> stress on the principle of autonomy and introduces to the Czech legal system connecting factor for delicts </w:t>
      </w:r>
      <w:r w:rsidR="001B577C">
        <w:rPr>
          <w:rFonts w:ascii="Times New Roman" w:eastAsia="EUAlbertina-Regular-Identity-H" w:hAnsi="Times New Roman" w:cs="Times New Roman"/>
          <w:sz w:val="24"/>
          <w:szCs w:val="24"/>
          <w:lang w:val="en-GB"/>
        </w:rPr>
        <w:t xml:space="preserve">which was unknown </w:t>
      </w:r>
      <w:r>
        <w:rPr>
          <w:rFonts w:ascii="Times New Roman" w:eastAsia="EUAlbertina-Regular-Identity-H" w:hAnsi="Times New Roman" w:cs="Times New Roman"/>
          <w:sz w:val="24"/>
          <w:szCs w:val="24"/>
          <w:lang w:val="en-GB"/>
        </w:rPr>
        <w:t xml:space="preserve">– </w:t>
      </w:r>
      <w:r>
        <w:rPr>
          <w:rFonts w:ascii="Times New Roman" w:eastAsia="EUAlbertina-Regular-Identity-H" w:hAnsi="Times New Roman" w:cs="Times New Roman"/>
          <w:i/>
          <w:sz w:val="24"/>
          <w:szCs w:val="24"/>
          <w:lang w:val="en-GB"/>
        </w:rPr>
        <w:t>lex electa</w:t>
      </w:r>
      <w:r w:rsidR="004706C1">
        <w:rPr>
          <w:rFonts w:ascii="Times New Roman" w:eastAsia="EUAlbertina-Regular-Identity-H" w:hAnsi="Times New Roman" w:cs="Times New Roman"/>
          <w:i/>
          <w:sz w:val="24"/>
          <w:szCs w:val="24"/>
          <w:lang w:val="en-GB"/>
        </w:rPr>
        <w:t xml:space="preserve"> </w:t>
      </w:r>
      <w:r w:rsidR="004706C1">
        <w:rPr>
          <w:rFonts w:ascii="Times New Roman" w:eastAsia="EUAlbertina-Regular-Identity-H" w:hAnsi="Times New Roman" w:cs="Times New Roman"/>
          <w:sz w:val="24"/>
          <w:szCs w:val="24"/>
          <w:lang w:val="en-GB"/>
        </w:rPr>
        <w:t>(art. 14)</w:t>
      </w:r>
      <w:r>
        <w:rPr>
          <w:rFonts w:ascii="Times New Roman" w:eastAsia="EUAlbertina-Regular-Identity-H" w:hAnsi="Times New Roman" w:cs="Times New Roman"/>
          <w:sz w:val="24"/>
          <w:szCs w:val="24"/>
          <w:lang w:val="en-GB"/>
        </w:rPr>
        <w:t>. Even though this possibility is substantially limited it stands for a huge innovation. Law elected by the parties represents the primary rule which can be used for both delicts and quasi-delicts.</w:t>
      </w:r>
      <w:r w:rsidR="001C15B2">
        <w:rPr>
          <w:rFonts w:ascii="Times New Roman" w:eastAsia="EUAlbertina-Regular-Identity-H" w:hAnsi="Times New Roman" w:cs="Times New Roman"/>
          <w:sz w:val="24"/>
          <w:szCs w:val="24"/>
          <w:lang w:val="en-GB"/>
        </w:rPr>
        <w:t xml:space="preserve"> Choice can be performed both </w:t>
      </w:r>
      <w:r w:rsidR="001C15B2" w:rsidRPr="00235D94">
        <w:rPr>
          <w:rFonts w:ascii="Times New Roman" w:eastAsia="EUAlbertina-Regular-Identity-H" w:hAnsi="Times New Roman" w:cs="Times New Roman"/>
          <w:i/>
          <w:sz w:val="24"/>
          <w:szCs w:val="24"/>
          <w:lang w:val="en-GB"/>
        </w:rPr>
        <w:t>ex ante</w:t>
      </w:r>
      <w:r w:rsidR="001C15B2" w:rsidRPr="00AC642D">
        <w:rPr>
          <w:rFonts w:ascii="Times New Roman" w:eastAsia="EUAlbertina-Regular-Identity-H" w:hAnsi="Times New Roman" w:cs="Times New Roman"/>
          <w:sz w:val="24"/>
          <w:szCs w:val="24"/>
          <w:lang w:val="en-GB"/>
        </w:rPr>
        <w:t xml:space="preserve"> </w:t>
      </w:r>
      <w:r w:rsidR="001C15B2">
        <w:rPr>
          <w:rFonts w:ascii="Times New Roman" w:eastAsia="EUAlbertina-Regular-Identity-H" w:hAnsi="Times New Roman" w:cs="Times New Roman"/>
          <w:sz w:val="24"/>
          <w:szCs w:val="24"/>
          <w:lang w:val="en-GB"/>
        </w:rPr>
        <w:t xml:space="preserve">and </w:t>
      </w:r>
      <w:r w:rsidR="001C15B2" w:rsidRPr="00235D94">
        <w:rPr>
          <w:rFonts w:ascii="Times New Roman" w:eastAsia="EUAlbertina-Regular-Identity-H" w:hAnsi="Times New Roman" w:cs="Times New Roman"/>
          <w:i/>
          <w:sz w:val="24"/>
          <w:szCs w:val="24"/>
          <w:lang w:val="en-GB"/>
        </w:rPr>
        <w:t>ex post</w:t>
      </w:r>
      <w:r w:rsidR="001C15B2" w:rsidRPr="00A460C2">
        <w:rPr>
          <w:vertAlign w:val="superscript"/>
        </w:rPr>
        <w:footnoteReference w:id="16"/>
      </w:r>
      <w:r w:rsidR="001C15B2">
        <w:rPr>
          <w:rFonts w:ascii="Times New Roman" w:eastAsia="EUAlbertina-Regular-Identity-H" w:hAnsi="Times New Roman" w:cs="Times New Roman"/>
          <w:sz w:val="24"/>
          <w:szCs w:val="24"/>
          <w:lang w:val="en-GB"/>
        </w:rPr>
        <w:t xml:space="preserve"> in relation to the wrongdoing with the condition that </w:t>
      </w:r>
      <w:r w:rsidR="001C15B2" w:rsidRPr="00AC642D">
        <w:rPr>
          <w:rFonts w:ascii="Times New Roman" w:eastAsia="EUAlbertina-Regular-Identity-H" w:hAnsi="Times New Roman" w:cs="Times New Roman"/>
          <w:sz w:val="24"/>
          <w:szCs w:val="24"/>
          <w:lang w:val="en-GB"/>
        </w:rPr>
        <w:t xml:space="preserve">ex ante </w:t>
      </w:r>
      <w:r w:rsidR="001C15B2">
        <w:rPr>
          <w:rFonts w:ascii="Times New Roman" w:eastAsia="EUAlbertina-Regular-Identity-H" w:hAnsi="Times New Roman" w:cs="Times New Roman"/>
          <w:sz w:val="24"/>
          <w:szCs w:val="24"/>
          <w:lang w:val="en-GB"/>
        </w:rPr>
        <w:t xml:space="preserve">can be performed only between professionals. Settlement shall be expressed or demonstrated with reasonable certainty by the circumstances of the case. The choice doesn’t affect the rights of third parties. Additional restrictions result from art. 14(2) and 14(3) according to which the choice shall not prejudice the application of rules </w:t>
      </w:r>
      <w:r w:rsidR="001C15B2" w:rsidRPr="00AC642D">
        <w:rPr>
          <w:rFonts w:ascii="Times New Roman" w:eastAsia="EUAlbertina-Regular-Identity-H" w:hAnsi="Times New Roman" w:cs="Times New Roman"/>
          <w:sz w:val="24"/>
          <w:szCs w:val="24"/>
          <w:lang w:val="en-GB"/>
        </w:rPr>
        <w:t xml:space="preserve">of country which cannot be derogated from by </w:t>
      </w:r>
      <w:r w:rsidR="00AC642D" w:rsidRPr="00AC642D">
        <w:rPr>
          <w:rFonts w:ascii="Times New Roman" w:eastAsia="EUAlbertina-Regular-Identity-H" w:hAnsi="Times New Roman" w:cs="Times New Roman"/>
          <w:sz w:val="24"/>
          <w:szCs w:val="24"/>
          <w:lang w:val="en-GB"/>
        </w:rPr>
        <w:t xml:space="preserve">agreement if all elements relevant to the situation are located in this country. </w:t>
      </w:r>
      <w:r w:rsidR="00AC642D">
        <w:rPr>
          <w:rFonts w:ascii="Times New Roman" w:eastAsia="EUAlbertina-Regular-Identity-H" w:hAnsi="Times New Roman" w:cs="Times New Roman"/>
          <w:sz w:val="24"/>
          <w:szCs w:val="24"/>
          <w:lang w:val="en-GB"/>
        </w:rPr>
        <w:t xml:space="preserve"> </w:t>
      </w:r>
      <w:r w:rsidR="00AC642D" w:rsidRPr="00AC642D">
        <w:rPr>
          <w:rFonts w:ascii="Times New Roman" w:eastAsia="EUAlbertina-Regular-Identity-H" w:hAnsi="Times New Roman" w:cs="Times New Roman"/>
          <w:sz w:val="24"/>
          <w:szCs w:val="24"/>
          <w:lang w:val="en-GB"/>
        </w:rPr>
        <w:t>EC law if all elements relevant to the situation are located in EC state is treated likewise when the law on non-member state is chosen.</w:t>
      </w:r>
      <w:r w:rsidR="00240440">
        <w:rPr>
          <w:rFonts w:ascii="Times New Roman" w:eastAsia="EUAlbertina-Regular-Identity-H" w:hAnsi="Times New Roman" w:cs="Times New Roman"/>
          <w:sz w:val="24"/>
          <w:szCs w:val="24"/>
          <w:lang w:val="en-GB"/>
        </w:rPr>
        <w:t xml:space="preserve"> Certain conflict rules which are mandatory can’t be excluded by the choice made by the parties – unfair competition and acts restricting free competition and infringement of intellectual property rights.</w:t>
      </w:r>
    </w:p>
    <w:p w:rsidR="00240440" w:rsidRDefault="00240440" w:rsidP="00AC642D">
      <w:pPr>
        <w:autoSpaceDE w:val="0"/>
        <w:autoSpaceDN w:val="0"/>
        <w:adjustRightInd w:val="0"/>
        <w:spacing w:after="0" w:line="360" w:lineRule="auto"/>
        <w:jc w:val="both"/>
        <w:rPr>
          <w:rFonts w:ascii="Times New Roman" w:eastAsia="EUAlbertina-Regular-Identity-H" w:hAnsi="Times New Roman" w:cs="Times New Roman"/>
          <w:sz w:val="24"/>
          <w:szCs w:val="24"/>
          <w:lang w:val="en-GB"/>
        </w:rPr>
      </w:pPr>
    </w:p>
    <w:p w:rsidR="00240440" w:rsidRDefault="00240440" w:rsidP="00AD3D3E">
      <w:pPr>
        <w:autoSpaceDE w:val="0"/>
        <w:autoSpaceDN w:val="0"/>
        <w:adjustRightInd w:val="0"/>
        <w:spacing w:after="0" w:line="360" w:lineRule="auto"/>
        <w:jc w:val="both"/>
        <w:rPr>
          <w:rFonts w:ascii="Times New Roman" w:eastAsia="EUAlbertina-Regular-Identity-H" w:hAnsi="Times New Roman" w:cs="Times New Roman"/>
          <w:sz w:val="24"/>
          <w:szCs w:val="24"/>
          <w:lang w:val="en-GB"/>
        </w:rPr>
      </w:pPr>
      <w:r>
        <w:rPr>
          <w:rFonts w:ascii="Times New Roman" w:eastAsia="EUAlbertina-Regular-Identity-H" w:hAnsi="Times New Roman" w:cs="Times New Roman"/>
          <w:sz w:val="24"/>
          <w:szCs w:val="24"/>
          <w:lang w:val="en-GB"/>
        </w:rPr>
        <w:t xml:space="preserve">Choice of law is succeeded by the general conflict rule which </w:t>
      </w:r>
      <w:r w:rsidR="001B577C">
        <w:rPr>
          <w:rFonts w:ascii="Times New Roman" w:eastAsia="EUAlbertina-Regular-Identity-H" w:hAnsi="Times New Roman" w:cs="Times New Roman"/>
          <w:sz w:val="24"/>
          <w:szCs w:val="24"/>
          <w:lang w:val="en-GB"/>
        </w:rPr>
        <w:t>is choosing</w:t>
      </w:r>
      <w:r>
        <w:rPr>
          <w:rFonts w:ascii="Times New Roman" w:eastAsia="EUAlbertina-Regular-Identity-H" w:hAnsi="Times New Roman" w:cs="Times New Roman"/>
          <w:sz w:val="24"/>
          <w:szCs w:val="24"/>
          <w:lang w:val="en-GB"/>
        </w:rPr>
        <w:t xml:space="preserve"> between </w:t>
      </w:r>
      <w:r>
        <w:rPr>
          <w:rFonts w:ascii="Times New Roman" w:eastAsia="EUAlbertina-Regular-Identity-H" w:hAnsi="Times New Roman" w:cs="Times New Roman"/>
          <w:i/>
          <w:sz w:val="24"/>
          <w:szCs w:val="24"/>
          <w:lang w:val="en-GB"/>
        </w:rPr>
        <w:t xml:space="preserve">lex loci delicti commisi </w:t>
      </w:r>
      <w:r>
        <w:rPr>
          <w:rFonts w:ascii="Times New Roman" w:eastAsia="EUAlbertina-Regular-Identity-H" w:hAnsi="Times New Roman" w:cs="Times New Roman"/>
          <w:sz w:val="24"/>
          <w:szCs w:val="24"/>
          <w:lang w:val="en-GB"/>
        </w:rPr>
        <w:t xml:space="preserve">and </w:t>
      </w:r>
      <w:r>
        <w:rPr>
          <w:rFonts w:ascii="Times New Roman" w:eastAsia="EUAlbertina-Regular-Identity-H" w:hAnsi="Times New Roman" w:cs="Times New Roman"/>
          <w:i/>
          <w:sz w:val="24"/>
          <w:szCs w:val="24"/>
          <w:lang w:val="en-GB"/>
        </w:rPr>
        <w:t xml:space="preserve">lex loci damni infecti </w:t>
      </w:r>
      <w:r>
        <w:rPr>
          <w:rFonts w:ascii="Times New Roman" w:eastAsia="EUAlbertina-Regular-Identity-H" w:hAnsi="Times New Roman" w:cs="Times New Roman"/>
          <w:sz w:val="24"/>
          <w:szCs w:val="24"/>
          <w:lang w:val="en-GB"/>
        </w:rPr>
        <w:t xml:space="preserve">for the benefit of </w:t>
      </w:r>
      <w:r>
        <w:rPr>
          <w:rFonts w:ascii="Times New Roman" w:eastAsia="EUAlbertina-Regular-Identity-H" w:hAnsi="Times New Roman" w:cs="Times New Roman"/>
          <w:i/>
          <w:sz w:val="24"/>
          <w:szCs w:val="24"/>
          <w:lang w:val="en-GB"/>
        </w:rPr>
        <w:t>lex loci damni infecti.</w:t>
      </w:r>
      <w:r>
        <w:rPr>
          <w:rFonts w:ascii="Times New Roman" w:eastAsia="EUAlbertina-Regular-Identity-H" w:hAnsi="Times New Roman" w:cs="Times New Roman"/>
          <w:sz w:val="24"/>
          <w:szCs w:val="24"/>
          <w:lang w:val="en-GB"/>
        </w:rPr>
        <w:t xml:space="preserve"> </w:t>
      </w:r>
      <w:r w:rsidR="00BE2CFB">
        <w:rPr>
          <w:rFonts w:ascii="Times New Roman" w:eastAsia="EUAlbertina-Regular-Identity-H" w:hAnsi="Times New Roman" w:cs="Times New Roman"/>
          <w:sz w:val="24"/>
          <w:szCs w:val="24"/>
          <w:lang w:val="en-GB"/>
        </w:rPr>
        <w:t>Again i</w:t>
      </w:r>
      <w:r>
        <w:rPr>
          <w:rFonts w:ascii="Times New Roman" w:eastAsia="EUAlbertina-Regular-Identity-H" w:hAnsi="Times New Roman" w:cs="Times New Roman"/>
          <w:sz w:val="24"/>
          <w:szCs w:val="24"/>
          <w:lang w:val="en-GB"/>
        </w:rPr>
        <w:t xml:space="preserve">t is the illustration of accent of modern trends in PIL when the scope has shifted from choosing of law </w:t>
      </w:r>
      <w:r w:rsidRPr="00AD3D3E">
        <w:rPr>
          <w:rFonts w:ascii="Times New Roman" w:eastAsia="EUAlbertina-Regular-Identity-H" w:hAnsi="Times New Roman" w:cs="Times New Roman"/>
          <w:sz w:val="24"/>
          <w:szCs w:val="24"/>
          <w:lang w:val="en-GB"/>
        </w:rPr>
        <w:t>optimal for sanction of the malefactor to the law optimal for indemnity of sufferer</w:t>
      </w:r>
      <w:r w:rsidRPr="00AD3D3E">
        <w:rPr>
          <w:rStyle w:val="Znakapoznpodarou"/>
          <w:rFonts w:ascii="Times New Roman" w:eastAsia="EUAlbertina-Regular-Identity-H" w:hAnsi="Times New Roman" w:cs="Times New Roman"/>
          <w:sz w:val="24"/>
          <w:szCs w:val="24"/>
          <w:lang w:val="en-GB"/>
        </w:rPr>
        <w:footnoteReference w:id="17"/>
      </w:r>
      <w:r w:rsidRPr="00AD3D3E">
        <w:rPr>
          <w:rFonts w:ascii="Times New Roman" w:eastAsia="EUAlbertina-Regular-Identity-H" w:hAnsi="Times New Roman" w:cs="Times New Roman"/>
          <w:sz w:val="24"/>
          <w:szCs w:val="24"/>
          <w:lang w:val="en-GB"/>
        </w:rPr>
        <w:t>.</w:t>
      </w:r>
      <w:r w:rsidR="00AD3D3E" w:rsidRPr="00AD3D3E">
        <w:rPr>
          <w:rFonts w:ascii="Times New Roman" w:eastAsia="EUAlbertina-Regular-Identity-H" w:hAnsi="Times New Roman" w:cs="Times New Roman"/>
          <w:sz w:val="24"/>
          <w:szCs w:val="24"/>
          <w:lang w:val="en-GB"/>
        </w:rPr>
        <w:t xml:space="preserve"> </w:t>
      </w:r>
      <w:r w:rsidR="00A12121">
        <w:rPr>
          <w:rFonts w:ascii="Times New Roman" w:eastAsia="EUAlbertina-Regular-Identity-H" w:hAnsi="Times New Roman" w:cs="Times New Roman"/>
          <w:sz w:val="24"/>
          <w:szCs w:val="24"/>
          <w:lang w:val="en-GB"/>
        </w:rPr>
        <w:t>If we talk about damage than only direct damage is considered</w:t>
      </w:r>
      <w:r w:rsidR="00AD3D3E" w:rsidRPr="00AD3D3E">
        <w:rPr>
          <w:rFonts w:ascii="Times New Roman" w:eastAsia="EUAlbertina-Regular-Identity-H" w:hAnsi="Times New Roman" w:cs="Times New Roman"/>
          <w:sz w:val="24"/>
          <w:szCs w:val="24"/>
          <w:lang w:val="en-GB"/>
        </w:rPr>
        <w:t>. In the preamble there is said explicitly that for example in cases of personal injury or damage to property, the country in which the damage occurs should be the country where the injury was sustained or the property</w:t>
      </w:r>
      <w:r w:rsidR="00785440">
        <w:rPr>
          <w:rFonts w:ascii="Times New Roman" w:eastAsia="EUAlbertina-Regular-Identity-H" w:hAnsi="Times New Roman" w:cs="Times New Roman"/>
          <w:sz w:val="24"/>
          <w:szCs w:val="24"/>
          <w:lang w:val="en-GB"/>
        </w:rPr>
        <w:t xml:space="preserve"> </w:t>
      </w:r>
      <w:r w:rsidR="00AD3D3E" w:rsidRPr="00AD3D3E">
        <w:rPr>
          <w:rFonts w:ascii="Times New Roman" w:eastAsia="EUAlbertina-Regular-Identity-H" w:hAnsi="Times New Roman" w:cs="Times New Roman"/>
          <w:sz w:val="24"/>
          <w:szCs w:val="24"/>
          <w:lang w:val="en-GB"/>
        </w:rPr>
        <w:t>was damaged respectively</w:t>
      </w:r>
      <w:r w:rsidR="00AD3D3E">
        <w:rPr>
          <w:rStyle w:val="Znakapoznpodarou"/>
          <w:rFonts w:ascii="Times New Roman" w:eastAsia="EUAlbertina-Regular-Identity-H" w:hAnsi="Times New Roman" w:cs="Times New Roman"/>
          <w:sz w:val="24"/>
          <w:szCs w:val="24"/>
          <w:lang w:val="en-GB"/>
        </w:rPr>
        <w:footnoteReference w:id="18"/>
      </w:r>
      <w:r w:rsidR="00AD3D3E" w:rsidRPr="00AD3D3E">
        <w:rPr>
          <w:rFonts w:ascii="Times New Roman" w:eastAsia="EUAlbertina-Regular-Identity-H" w:hAnsi="Times New Roman" w:cs="Times New Roman"/>
          <w:sz w:val="24"/>
          <w:szCs w:val="24"/>
          <w:lang w:val="en-GB"/>
        </w:rPr>
        <w:t>.</w:t>
      </w:r>
      <w:r w:rsidR="00AD3D3E">
        <w:rPr>
          <w:rFonts w:ascii="Times New Roman" w:eastAsia="EUAlbertina-Regular-Identity-H" w:hAnsi="Times New Roman" w:cs="Times New Roman"/>
          <w:sz w:val="24"/>
          <w:szCs w:val="24"/>
          <w:lang w:val="en-GB"/>
        </w:rPr>
        <w:t xml:space="preserve"> The general rule shall be used for all torts/delicts with exclusion of those for which the special rules have been formulated. Following two subsections formulates the </w:t>
      </w:r>
      <w:r w:rsidR="00AD3D3E">
        <w:rPr>
          <w:rFonts w:ascii="Times New Roman" w:eastAsia="EUAlbertina-Regular-Identity-H" w:hAnsi="Times New Roman" w:cs="Times New Roman"/>
          <w:i/>
          <w:sz w:val="24"/>
          <w:szCs w:val="24"/>
          <w:lang w:val="en-GB"/>
        </w:rPr>
        <w:t>lex communis</w:t>
      </w:r>
      <w:r w:rsidR="00AD3D3E">
        <w:rPr>
          <w:rFonts w:ascii="Times New Roman" w:eastAsia="EUAlbertina-Regular-Identity-H" w:hAnsi="Times New Roman" w:cs="Times New Roman"/>
          <w:sz w:val="24"/>
          <w:szCs w:val="24"/>
          <w:lang w:val="en-GB"/>
        </w:rPr>
        <w:t xml:space="preserve"> rule for situation when the malefactor and sufferer have their habitual residence in the same country</w:t>
      </w:r>
      <w:r w:rsidR="00721E79">
        <w:rPr>
          <w:rFonts w:ascii="Times New Roman" w:eastAsia="EUAlbertina-Regular-Identity-H" w:hAnsi="Times New Roman" w:cs="Times New Roman"/>
          <w:sz w:val="24"/>
          <w:szCs w:val="24"/>
          <w:lang w:val="en-GB"/>
        </w:rPr>
        <w:t xml:space="preserve"> or the escape clause for situations where circumstances of the case are closely connected with country other than previous mentioned.</w:t>
      </w:r>
    </w:p>
    <w:p w:rsidR="00721E79" w:rsidRDefault="00721E79" w:rsidP="00AD3D3E">
      <w:pPr>
        <w:autoSpaceDE w:val="0"/>
        <w:autoSpaceDN w:val="0"/>
        <w:adjustRightInd w:val="0"/>
        <w:spacing w:after="0" w:line="360" w:lineRule="auto"/>
        <w:jc w:val="both"/>
        <w:rPr>
          <w:rFonts w:ascii="Times New Roman" w:eastAsia="EUAlbertina-Regular-Identity-H" w:hAnsi="Times New Roman" w:cs="Times New Roman"/>
          <w:sz w:val="24"/>
          <w:szCs w:val="24"/>
          <w:lang w:val="en-GB"/>
        </w:rPr>
      </w:pPr>
    </w:p>
    <w:p w:rsidR="00721E79" w:rsidRDefault="00721E79" w:rsidP="00AD3D3E">
      <w:pPr>
        <w:autoSpaceDE w:val="0"/>
        <w:autoSpaceDN w:val="0"/>
        <w:adjustRightInd w:val="0"/>
        <w:spacing w:after="0" w:line="360" w:lineRule="auto"/>
        <w:jc w:val="both"/>
        <w:rPr>
          <w:rFonts w:ascii="Times New Roman" w:eastAsia="EUAlbertina-Regular-Identity-H" w:hAnsi="Times New Roman" w:cs="Times New Roman"/>
          <w:sz w:val="24"/>
          <w:szCs w:val="24"/>
          <w:lang w:val="en-GB"/>
        </w:rPr>
      </w:pPr>
      <w:r>
        <w:rPr>
          <w:rFonts w:ascii="Times New Roman" w:eastAsia="EUAlbertina-Regular-Identity-H" w:hAnsi="Times New Roman" w:cs="Times New Roman"/>
          <w:sz w:val="24"/>
          <w:szCs w:val="24"/>
          <w:lang w:val="en-GB"/>
        </w:rPr>
        <w:lastRenderedPageBreak/>
        <w:tab/>
      </w:r>
      <w:r w:rsidR="00882B2C">
        <w:rPr>
          <w:rFonts w:ascii="Times New Roman" w:eastAsia="EUAlbertina-Regular-Identity-H" w:hAnsi="Times New Roman" w:cs="Times New Roman"/>
          <w:sz w:val="24"/>
          <w:szCs w:val="24"/>
          <w:lang w:val="en-GB"/>
        </w:rPr>
        <w:t>As we mentioned hereinbefore special conflict rules are formulated for certain delicts</w:t>
      </w:r>
      <w:r w:rsidR="0076678C">
        <w:rPr>
          <w:rStyle w:val="Znakapoznpodarou"/>
          <w:rFonts w:ascii="Times New Roman" w:eastAsia="EUAlbertina-Regular-Identity-H" w:hAnsi="Times New Roman" w:cs="Times New Roman"/>
          <w:sz w:val="24"/>
          <w:szCs w:val="24"/>
          <w:lang w:val="en-GB"/>
        </w:rPr>
        <w:footnoteReference w:id="19"/>
      </w:r>
      <w:r w:rsidR="00882B2C">
        <w:rPr>
          <w:rFonts w:ascii="Times New Roman" w:eastAsia="EUAlbertina-Regular-Identity-H" w:hAnsi="Times New Roman" w:cs="Times New Roman"/>
          <w:sz w:val="24"/>
          <w:szCs w:val="24"/>
          <w:lang w:val="en-GB"/>
        </w:rPr>
        <w:t>:</w:t>
      </w:r>
    </w:p>
    <w:p w:rsidR="00882B2C" w:rsidRDefault="00882B2C" w:rsidP="00882B2C">
      <w:pPr>
        <w:pStyle w:val="Odstavecseseznamem"/>
        <w:numPr>
          <w:ilvl w:val="0"/>
          <w:numId w:val="7"/>
        </w:numPr>
        <w:autoSpaceDE w:val="0"/>
        <w:autoSpaceDN w:val="0"/>
        <w:adjustRightInd w:val="0"/>
        <w:spacing w:after="0" w:line="360" w:lineRule="auto"/>
        <w:jc w:val="both"/>
        <w:rPr>
          <w:rFonts w:ascii="Times New Roman" w:eastAsia="EUAlbertina-Regular-Identity-H" w:hAnsi="Times New Roman" w:cs="Times New Roman"/>
          <w:sz w:val="24"/>
          <w:szCs w:val="24"/>
          <w:lang w:val="en-GB"/>
        </w:rPr>
      </w:pPr>
      <w:r>
        <w:rPr>
          <w:rFonts w:ascii="Times New Roman" w:eastAsia="EUAlbertina-Regular-Identity-H" w:hAnsi="Times New Roman" w:cs="Times New Roman"/>
          <w:sz w:val="24"/>
          <w:szCs w:val="24"/>
          <w:lang w:val="en-GB"/>
        </w:rPr>
        <w:t>Product liability (art. 5)</w:t>
      </w:r>
    </w:p>
    <w:p w:rsidR="00882B2C" w:rsidRDefault="00785440" w:rsidP="00882B2C">
      <w:pPr>
        <w:pStyle w:val="Odstavecseseznamem"/>
        <w:numPr>
          <w:ilvl w:val="0"/>
          <w:numId w:val="7"/>
        </w:numPr>
        <w:autoSpaceDE w:val="0"/>
        <w:autoSpaceDN w:val="0"/>
        <w:adjustRightInd w:val="0"/>
        <w:spacing w:after="0" w:line="360" w:lineRule="auto"/>
        <w:jc w:val="both"/>
        <w:rPr>
          <w:rFonts w:ascii="Times New Roman" w:eastAsia="EUAlbertina-Regular-Identity-H" w:hAnsi="Times New Roman" w:cs="Times New Roman"/>
          <w:sz w:val="24"/>
          <w:szCs w:val="24"/>
          <w:lang w:val="en-GB"/>
        </w:rPr>
      </w:pPr>
      <w:r>
        <w:rPr>
          <w:rFonts w:ascii="Times New Roman" w:eastAsia="EUAlbertina-Regular-Identity-H" w:hAnsi="Times New Roman" w:cs="Times New Roman"/>
          <w:sz w:val="24"/>
          <w:szCs w:val="24"/>
          <w:lang w:val="en-GB"/>
        </w:rPr>
        <w:t>Unfair competition</w:t>
      </w:r>
      <w:r w:rsidR="00882B2C">
        <w:rPr>
          <w:rFonts w:ascii="Times New Roman" w:eastAsia="EUAlbertina-Regular-Identity-H" w:hAnsi="Times New Roman" w:cs="Times New Roman"/>
          <w:sz w:val="24"/>
          <w:szCs w:val="24"/>
          <w:lang w:val="en-GB"/>
        </w:rPr>
        <w:t xml:space="preserve"> and acts restricting free competition</w:t>
      </w:r>
      <w:r w:rsidR="004706C1">
        <w:rPr>
          <w:rFonts w:ascii="Times New Roman" w:eastAsia="EUAlbertina-Regular-Identity-H" w:hAnsi="Times New Roman" w:cs="Times New Roman"/>
          <w:sz w:val="24"/>
          <w:szCs w:val="24"/>
          <w:lang w:val="en-GB"/>
        </w:rPr>
        <w:t xml:space="preserve"> (art. 6)</w:t>
      </w:r>
    </w:p>
    <w:p w:rsidR="00882B2C" w:rsidRDefault="00882B2C" w:rsidP="00882B2C">
      <w:pPr>
        <w:pStyle w:val="Odstavecseseznamem"/>
        <w:numPr>
          <w:ilvl w:val="0"/>
          <w:numId w:val="7"/>
        </w:numPr>
        <w:autoSpaceDE w:val="0"/>
        <w:autoSpaceDN w:val="0"/>
        <w:adjustRightInd w:val="0"/>
        <w:spacing w:after="0" w:line="360" w:lineRule="auto"/>
        <w:jc w:val="both"/>
        <w:rPr>
          <w:rFonts w:ascii="Times New Roman" w:eastAsia="EUAlbertina-Regular-Identity-H" w:hAnsi="Times New Roman" w:cs="Times New Roman"/>
          <w:sz w:val="24"/>
          <w:szCs w:val="24"/>
          <w:lang w:val="en-GB"/>
        </w:rPr>
      </w:pPr>
      <w:r>
        <w:rPr>
          <w:rFonts w:ascii="Times New Roman" w:eastAsia="EUAlbertina-Regular-Identity-H" w:hAnsi="Times New Roman" w:cs="Times New Roman"/>
          <w:sz w:val="24"/>
          <w:szCs w:val="24"/>
          <w:lang w:val="en-GB"/>
        </w:rPr>
        <w:t>Environmental damage</w:t>
      </w:r>
      <w:r w:rsidR="004706C1">
        <w:rPr>
          <w:rFonts w:ascii="Times New Roman" w:eastAsia="EUAlbertina-Regular-Identity-H" w:hAnsi="Times New Roman" w:cs="Times New Roman"/>
          <w:sz w:val="24"/>
          <w:szCs w:val="24"/>
          <w:lang w:val="en-GB"/>
        </w:rPr>
        <w:t xml:space="preserve"> (art. 7)</w:t>
      </w:r>
    </w:p>
    <w:p w:rsidR="00882B2C" w:rsidRDefault="00882B2C" w:rsidP="00882B2C">
      <w:pPr>
        <w:pStyle w:val="Odstavecseseznamem"/>
        <w:numPr>
          <w:ilvl w:val="0"/>
          <w:numId w:val="7"/>
        </w:numPr>
        <w:autoSpaceDE w:val="0"/>
        <w:autoSpaceDN w:val="0"/>
        <w:adjustRightInd w:val="0"/>
        <w:spacing w:after="0" w:line="360" w:lineRule="auto"/>
        <w:jc w:val="both"/>
        <w:rPr>
          <w:rFonts w:ascii="Times New Roman" w:eastAsia="EUAlbertina-Regular-Identity-H" w:hAnsi="Times New Roman" w:cs="Times New Roman"/>
          <w:sz w:val="24"/>
          <w:szCs w:val="24"/>
          <w:lang w:val="en-GB"/>
        </w:rPr>
      </w:pPr>
      <w:r>
        <w:rPr>
          <w:rFonts w:ascii="Times New Roman" w:eastAsia="EUAlbertina-Regular-Identity-H" w:hAnsi="Times New Roman" w:cs="Times New Roman"/>
          <w:sz w:val="24"/>
          <w:szCs w:val="24"/>
          <w:lang w:val="en-GB"/>
        </w:rPr>
        <w:t>Infringement of intellectual property rights</w:t>
      </w:r>
      <w:r w:rsidR="004706C1">
        <w:rPr>
          <w:rFonts w:ascii="Times New Roman" w:eastAsia="EUAlbertina-Regular-Identity-H" w:hAnsi="Times New Roman" w:cs="Times New Roman"/>
          <w:sz w:val="24"/>
          <w:szCs w:val="24"/>
          <w:lang w:val="en-GB"/>
        </w:rPr>
        <w:t xml:space="preserve"> (art. 8)</w:t>
      </w:r>
    </w:p>
    <w:p w:rsidR="00882B2C" w:rsidRDefault="00882B2C" w:rsidP="00882B2C">
      <w:pPr>
        <w:pStyle w:val="Odstavecseseznamem"/>
        <w:numPr>
          <w:ilvl w:val="0"/>
          <w:numId w:val="7"/>
        </w:numPr>
        <w:autoSpaceDE w:val="0"/>
        <w:autoSpaceDN w:val="0"/>
        <w:adjustRightInd w:val="0"/>
        <w:spacing w:after="0" w:line="360" w:lineRule="auto"/>
        <w:jc w:val="both"/>
        <w:rPr>
          <w:rFonts w:ascii="Times New Roman" w:eastAsia="EUAlbertina-Regular-Identity-H" w:hAnsi="Times New Roman" w:cs="Times New Roman"/>
          <w:sz w:val="24"/>
          <w:szCs w:val="24"/>
          <w:lang w:val="en-GB"/>
        </w:rPr>
      </w:pPr>
      <w:r>
        <w:rPr>
          <w:rFonts w:ascii="Times New Roman" w:eastAsia="EUAlbertina-Regular-Identity-H" w:hAnsi="Times New Roman" w:cs="Times New Roman"/>
          <w:sz w:val="24"/>
          <w:szCs w:val="24"/>
          <w:lang w:val="en-GB"/>
        </w:rPr>
        <w:t>Industrial action</w:t>
      </w:r>
      <w:r w:rsidR="004706C1">
        <w:rPr>
          <w:rFonts w:ascii="Times New Roman" w:eastAsia="EUAlbertina-Regular-Identity-H" w:hAnsi="Times New Roman" w:cs="Times New Roman"/>
          <w:sz w:val="24"/>
          <w:szCs w:val="24"/>
          <w:lang w:val="en-GB"/>
        </w:rPr>
        <w:t xml:space="preserve"> (art. 9)</w:t>
      </w:r>
    </w:p>
    <w:p w:rsidR="00882B2C" w:rsidRDefault="00882B2C" w:rsidP="00882B2C">
      <w:pPr>
        <w:autoSpaceDE w:val="0"/>
        <w:autoSpaceDN w:val="0"/>
        <w:adjustRightInd w:val="0"/>
        <w:spacing w:after="0" w:line="360" w:lineRule="auto"/>
        <w:ind w:left="708"/>
        <w:jc w:val="both"/>
        <w:rPr>
          <w:rFonts w:ascii="Times New Roman" w:eastAsia="EUAlbertina-Regular-Identity-H" w:hAnsi="Times New Roman" w:cs="Times New Roman"/>
          <w:sz w:val="24"/>
          <w:szCs w:val="24"/>
          <w:lang w:val="en-GB"/>
        </w:rPr>
      </w:pPr>
    </w:p>
    <w:p w:rsidR="00882B2C" w:rsidRDefault="00882B2C" w:rsidP="00785440">
      <w:pPr>
        <w:autoSpaceDE w:val="0"/>
        <w:autoSpaceDN w:val="0"/>
        <w:adjustRightInd w:val="0"/>
        <w:spacing w:after="0" w:line="360" w:lineRule="auto"/>
        <w:jc w:val="both"/>
        <w:rPr>
          <w:rFonts w:ascii="Times New Roman" w:eastAsia="EUAlbertina-Regular-Identity-H" w:hAnsi="Times New Roman" w:cs="Times New Roman"/>
          <w:sz w:val="24"/>
          <w:szCs w:val="24"/>
          <w:lang w:val="en-GB"/>
        </w:rPr>
      </w:pPr>
      <w:r>
        <w:rPr>
          <w:rFonts w:ascii="Times New Roman" w:eastAsia="EUAlbertina-Regular-Identity-H" w:hAnsi="Times New Roman" w:cs="Times New Roman"/>
          <w:sz w:val="24"/>
          <w:szCs w:val="24"/>
          <w:lang w:val="en-GB"/>
        </w:rPr>
        <w:t>Legislators consider these torts to be specific in such a degree it is impropriate to use the general rule. European Parliament and the r</w:t>
      </w:r>
      <w:r w:rsidR="004706C1">
        <w:rPr>
          <w:rFonts w:ascii="Times New Roman" w:eastAsia="EUAlbertina-Regular-Identity-H" w:hAnsi="Times New Roman" w:cs="Times New Roman"/>
          <w:sz w:val="24"/>
          <w:szCs w:val="24"/>
          <w:lang w:val="en-GB"/>
        </w:rPr>
        <w:t>appo</w:t>
      </w:r>
      <w:r>
        <w:rPr>
          <w:rFonts w:ascii="Times New Roman" w:eastAsia="EUAlbertina-Regular-Identity-H" w:hAnsi="Times New Roman" w:cs="Times New Roman"/>
          <w:sz w:val="24"/>
          <w:szCs w:val="24"/>
          <w:lang w:val="en-GB"/>
        </w:rPr>
        <w:t>rteur Diana Wallis above all strongly disagreed and tried to redu</w:t>
      </w:r>
      <w:r w:rsidR="004706C1">
        <w:rPr>
          <w:rFonts w:ascii="Times New Roman" w:eastAsia="EUAlbertina-Regular-Identity-H" w:hAnsi="Times New Roman" w:cs="Times New Roman"/>
          <w:sz w:val="24"/>
          <w:szCs w:val="24"/>
          <w:lang w:val="en-GB"/>
        </w:rPr>
        <w:t>ce this number but were not successful.</w:t>
      </w:r>
    </w:p>
    <w:p w:rsidR="004706C1" w:rsidRDefault="004706C1" w:rsidP="00882B2C">
      <w:pPr>
        <w:autoSpaceDE w:val="0"/>
        <w:autoSpaceDN w:val="0"/>
        <w:adjustRightInd w:val="0"/>
        <w:spacing w:after="0" w:line="360" w:lineRule="auto"/>
        <w:ind w:firstLine="708"/>
        <w:jc w:val="both"/>
        <w:rPr>
          <w:rFonts w:ascii="Times New Roman" w:eastAsia="EUAlbertina-Regular-Identity-H" w:hAnsi="Times New Roman" w:cs="Times New Roman"/>
          <w:sz w:val="24"/>
          <w:szCs w:val="24"/>
          <w:lang w:val="en-GB"/>
        </w:rPr>
      </w:pPr>
    </w:p>
    <w:p w:rsidR="004706C1" w:rsidRDefault="004706C1" w:rsidP="00785440">
      <w:pPr>
        <w:autoSpaceDE w:val="0"/>
        <w:autoSpaceDN w:val="0"/>
        <w:adjustRightInd w:val="0"/>
        <w:spacing w:after="0" w:line="360" w:lineRule="auto"/>
        <w:jc w:val="both"/>
        <w:rPr>
          <w:rFonts w:ascii="Times New Roman" w:eastAsia="EUAlbertina-Regular-Identity-H" w:hAnsi="Times New Roman" w:cs="Times New Roman"/>
          <w:sz w:val="24"/>
          <w:szCs w:val="24"/>
          <w:lang w:val="en-GB"/>
        </w:rPr>
      </w:pPr>
      <w:r>
        <w:rPr>
          <w:rFonts w:ascii="Times New Roman" w:eastAsia="EUAlbertina-Regular-Identity-H" w:hAnsi="Times New Roman" w:cs="Times New Roman"/>
          <w:sz w:val="24"/>
          <w:szCs w:val="24"/>
          <w:lang w:val="en-GB"/>
        </w:rPr>
        <w:t xml:space="preserve">Compared to the former Commission draft in the final text there is no general rule for quasi-delicts and explicit conflict rules for 3 particular delicts have been submitted – for unjust enrichment (art. 10), </w:t>
      </w:r>
      <w:r w:rsidRPr="004706C1">
        <w:rPr>
          <w:rFonts w:ascii="Times New Roman" w:eastAsia="EUAlbertina-Regular-Identity-H" w:hAnsi="Times New Roman" w:cs="Times New Roman"/>
          <w:i/>
          <w:sz w:val="24"/>
          <w:szCs w:val="24"/>
          <w:lang w:val="en-GB"/>
        </w:rPr>
        <w:t>negotiorum gestio</w:t>
      </w:r>
      <w:r>
        <w:rPr>
          <w:rFonts w:ascii="Times New Roman" w:eastAsia="EUAlbertina-Regular-Identity-H" w:hAnsi="Times New Roman" w:cs="Times New Roman"/>
          <w:sz w:val="24"/>
          <w:szCs w:val="24"/>
          <w:lang w:val="en-GB"/>
        </w:rPr>
        <w:t xml:space="preserve"> (art. 11) and </w:t>
      </w:r>
      <w:r w:rsidRPr="004706C1">
        <w:rPr>
          <w:rFonts w:ascii="Times New Roman" w:eastAsia="EUAlbertina-Regular-Identity-H" w:hAnsi="Times New Roman" w:cs="Times New Roman"/>
          <w:i/>
          <w:sz w:val="24"/>
          <w:szCs w:val="24"/>
          <w:lang w:val="en-GB"/>
        </w:rPr>
        <w:t>cupla in contrahendo</w:t>
      </w:r>
      <w:r>
        <w:rPr>
          <w:rFonts w:ascii="Times New Roman" w:eastAsia="EUAlbertina-Regular-Identity-H" w:hAnsi="Times New Roman" w:cs="Times New Roman"/>
          <w:sz w:val="24"/>
          <w:szCs w:val="24"/>
          <w:lang w:val="en-GB"/>
        </w:rPr>
        <w:t xml:space="preserve"> (art. 12).  First two have very similar conception </w:t>
      </w:r>
    </w:p>
    <w:p w:rsidR="004706C1" w:rsidRDefault="004706C1" w:rsidP="004706C1">
      <w:pPr>
        <w:autoSpaceDE w:val="0"/>
        <w:autoSpaceDN w:val="0"/>
        <w:adjustRightInd w:val="0"/>
        <w:spacing w:after="0" w:line="360" w:lineRule="auto"/>
        <w:ind w:firstLine="708"/>
        <w:jc w:val="both"/>
        <w:rPr>
          <w:rFonts w:ascii="Times New Roman" w:eastAsia="EUAlbertina-Regular-Identity-H" w:hAnsi="Times New Roman" w:cs="Times New Roman"/>
          <w:sz w:val="24"/>
          <w:szCs w:val="24"/>
          <w:lang w:val="en-GB"/>
        </w:rPr>
      </w:pPr>
      <w:r>
        <w:rPr>
          <w:rFonts w:ascii="Times New Roman" w:eastAsia="EUAlbertina-Regular-Identity-H" w:hAnsi="Times New Roman" w:cs="Times New Roman"/>
          <w:sz w:val="24"/>
          <w:szCs w:val="24"/>
          <w:lang w:val="en-GB"/>
        </w:rPr>
        <w:t xml:space="preserve">– </w:t>
      </w:r>
      <w:r>
        <w:rPr>
          <w:rFonts w:ascii="Times New Roman" w:eastAsia="EUAlbertina-Regular-Identity-H" w:hAnsi="Times New Roman" w:cs="Times New Roman"/>
          <w:i/>
          <w:sz w:val="24"/>
          <w:szCs w:val="24"/>
          <w:lang w:val="en-GB"/>
        </w:rPr>
        <w:t>lex causae</w:t>
      </w:r>
      <w:r>
        <w:rPr>
          <w:rFonts w:ascii="Times New Roman" w:eastAsia="EUAlbertina-Regular-Identity-H" w:hAnsi="Times New Roman" w:cs="Times New Roman"/>
          <w:sz w:val="24"/>
          <w:szCs w:val="24"/>
          <w:lang w:val="en-GB"/>
        </w:rPr>
        <w:t xml:space="preserve"> if quasi-delict is connected with the relationship previously existed between the parties, </w:t>
      </w:r>
    </w:p>
    <w:p w:rsidR="004706C1" w:rsidRDefault="004706C1" w:rsidP="004706C1">
      <w:pPr>
        <w:autoSpaceDE w:val="0"/>
        <w:autoSpaceDN w:val="0"/>
        <w:adjustRightInd w:val="0"/>
        <w:spacing w:after="0" w:line="360" w:lineRule="auto"/>
        <w:ind w:firstLine="708"/>
        <w:jc w:val="both"/>
        <w:rPr>
          <w:rFonts w:ascii="Times New Roman" w:eastAsia="EUAlbertina-Regular-Identity-H" w:hAnsi="Times New Roman" w:cs="Times New Roman"/>
          <w:sz w:val="24"/>
          <w:szCs w:val="24"/>
          <w:lang w:val="en-GB"/>
        </w:rPr>
      </w:pPr>
      <w:r>
        <w:rPr>
          <w:rFonts w:ascii="Times New Roman" w:eastAsia="EUAlbertina-Regular-Identity-H" w:hAnsi="Times New Roman" w:cs="Times New Roman"/>
          <w:sz w:val="24"/>
          <w:szCs w:val="24"/>
          <w:lang w:val="en-GB"/>
        </w:rPr>
        <w:t xml:space="preserve">– </w:t>
      </w:r>
      <w:r>
        <w:rPr>
          <w:rFonts w:ascii="Times New Roman" w:eastAsia="EUAlbertina-Regular-Identity-H" w:hAnsi="Times New Roman" w:cs="Times New Roman"/>
          <w:i/>
          <w:sz w:val="24"/>
          <w:szCs w:val="24"/>
          <w:lang w:val="en-GB"/>
        </w:rPr>
        <w:t xml:space="preserve">lex communis </w:t>
      </w:r>
      <w:r>
        <w:rPr>
          <w:rFonts w:ascii="Times New Roman" w:eastAsia="EUAlbertina-Regular-Identity-H" w:hAnsi="Times New Roman" w:cs="Times New Roman"/>
          <w:sz w:val="24"/>
          <w:szCs w:val="24"/>
          <w:lang w:val="en-GB"/>
        </w:rPr>
        <w:t>where the parties have their habitual residence in the same country</w:t>
      </w:r>
    </w:p>
    <w:p w:rsidR="004706C1" w:rsidRDefault="004706C1" w:rsidP="00023107">
      <w:pPr>
        <w:autoSpaceDE w:val="0"/>
        <w:autoSpaceDN w:val="0"/>
        <w:adjustRightInd w:val="0"/>
        <w:spacing w:after="0" w:line="360" w:lineRule="auto"/>
        <w:ind w:firstLine="708"/>
        <w:jc w:val="both"/>
        <w:rPr>
          <w:rFonts w:ascii="Times New Roman" w:eastAsia="EUAlbertina-Regular-Identity-H" w:hAnsi="Times New Roman" w:cs="Times New Roman"/>
          <w:sz w:val="24"/>
          <w:szCs w:val="24"/>
          <w:lang w:val="en-GB"/>
        </w:rPr>
      </w:pPr>
      <w:r w:rsidRPr="00023107">
        <w:rPr>
          <w:rFonts w:ascii="Times New Roman" w:eastAsia="EUAlbertina-Regular-Identity-H" w:hAnsi="Times New Roman" w:cs="Times New Roman"/>
          <w:sz w:val="24"/>
          <w:szCs w:val="24"/>
          <w:lang w:val="en-GB"/>
        </w:rPr>
        <w:t xml:space="preserve">– </w:t>
      </w:r>
      <w:r w:rsidR="00023107">
        <w:rPr>
          <w:rFonts w:ascii="Times New Roman" w:eastAsia="EUAlbertina-Regular-Identity-H" w:hAnsi="Times New Roman" w:cs="Times New Roman"/>
          <w:sz w:val="24"/>
          <w:szCs w:val="24"/>
          <w:lang w:val="en-GB"/>
        </w:rPr>
        <w:t xml:space="preserve">law of the country in which the quasi-delict took place. </w:t>
      </w:r>
    </w:p>
    <w:p w:rsidR="00023107" w:rsidRDefault="00023107" w:rsidP="00023107">
      <w:pPr>
        <w:autoSpaceDE w:val="0"/>
        <w:autoSpaceDN w:val="0"/>
        <w:adjustRightInd w:val="0"/>
        <w:spacing w:after="0" w:line="360" w:lineRule="auto"/>
        <w:ind w:firstLine="708"/>
        <w:jc w:val="both"/>
        <w:rPr>
          <w:rFonts w:ascii="Times New Roman" w:eastAsia="EUAlbertina-Regular-Identity-H" w:hAnsi="Times New Roman" w:cs="Times New Roman"/>
          <w:sz w:val="24"/>
          <w:szCs w:val="24"/>
          <w:lang w:val="en-GB"/>
        </w:rPr>
      </w:pPr>
    </w:p>
    <w:p w:rsidR="00023107" w:rsidRDefault="00023107" w:rsidP="00785440">
      <w:pPr>
        <w:autoSpaceDE w:val="0"/>
        <w:autoSpaceDN w:val="0"/>
        <w:adjustRightInd w:val="0"/>
        <w:spacing w:after="0" w:line="360" w:lineRule="auto"/>
        <w:jc w:val="both"/>
        <w:rPr>
          <w:rFonts w:ascii="Times New Roman" w:eastAsia="EUAlbertina-Regular-Identity-H" w:hAnsi="Times New Roman" w:cs="Times New Roman"/>
          <w:sz w:val="24"/>
          <w:szCs w:val="24"/>
          <w:lang w:val="en-GB"/>
        </w:rPr>
      </w:pPr>
      <w:r>
        <w:rPr>
          <w:rFonts w:ascii="Times New Roman" w:eastAsia="EUAlbertina-Regular-Identity-H" w:hAnsi="Times New Roman" w:cs="Times New Roman"/>
          <w:i/>
          <w:sz w:val="24"/>
          <w:szCs w:val="24"/>
          <w:lang w:val="en-GB"/>
        </w:rPr>
        <w:t xml:space="preserve">Culpa in contrahendo </w:t>
      </w:r>
      <w:r>
        <w:rPr>
          <w:rFonts w:ascii="Times New Roman" w:eastAsia="EUAlbertina-Regular-Identity-H" w:hAnsi="Times New Roman" w:cs="Times New Roman"/>
          <w:sz w:val="24"/>
          <w:szCs w:val="24"/>
          <w:lang w:val="en-GB"/>
        </w:rPr>
        <w:t xml:space="preserve">differs partly. </w:t>
      </w:r>
      <w:r>
        <w:rPr>
          <w:rFonts w:ascii="Times New Roman" w:eastAsia="EUAlbertina-Regular-Identity-H" w:hAnsi="Times New Roman" w:cs="Times New Roman"/>
          <w:i/>
          <w:sz w:val="24"/>
          <w:szCs w:val="24"/>
          <w:lang w:val="en-GB"/>
        </w:rPr>
        <w:t xml:space="preserve">Lex cauase </w:t>
      </w:r>
      <w:r>
        <w:rPr>
          <w:rFonts w:ascii="Times New Roman" w:eastAsia="EUAlbertina-Regular-Identity-H" w:hAnsi="Times New Roman" w:cs="Times New Roman"/>
          <w:sz w:val="24"/>
          <w:szCs w:val="24"/>
          <w:lang w:val="en-GB"/>
        </w:rPr>
        <w:t xml:space="preserve">stays on the first place and for situations the previous rule can’t be used than </w:t>
      </w:r>
      <w:r>
        <w:rPr>
          <w:rFonts w:ascii="Times New Roman" w:eastAsia="EUAlbertina-Regular-Identity-H" w:hAnsi="Times New Roman" w:cs="Times New Roman"/>
          <w:i/>
          <w:sz w:val="24"/>
          <w:szCs w:val="24"/>
          <w:lang w:val="en-GB"/>
        </w:rPr>
        <w:t>lex loci damni infecti</w:t>
      </w:r>
      <w:r>
        <w:rPr>
          <w:rFonts w:ascii="Times New Roman" w:eastAsia="EUAlbertina-Regular-Identity-H" w:hAnsi="Times New Roman" w:cs="Times New Roman"/>
          <w:sz w:val="24"/>
          <w:szCs w:val="24"/>
          <w:lang w:val="en-GB"/>
        </w:rPr>
        <w:t xml:space="preserve">, </w:t>
      </w:r>
      <w:r>
        <w:rPr>
          <w:rFonts w:ascii="Times New Roman" w:eastAsia="EUAlbertina-Regular-Identity-H" w:hAnsi="Times New Roman" w:cs="Times New Roman"/>
          <w:i/>
          <w:sz w:val="24"/>
          <w:szCs w:val="24"/>
          <w:lang w:val="en-GB"/>
        </w:rPr>
        <w:t>lex communis</w:t>
      </w:r>
      <w:r>
        <w:rPr>
          <w:rFonts w:ascii="Times New Roman" w:eastAsia="EUAlbertina-Regular-Identity-H" w:hAnsi="Times New Roman" w:cs="Times New Roman"/>
          <w:sz w:val="24"/>
          <w:szCs w:val="24"/>
          <w:lang w:val="en-GB"/>
        </w:rPr>
        <w:t xml:space="preserve"> and the escape clause shall be used.</w:t>
      </w:r>
    </w:p>
    <w:p w:rsidR="009A29CC" w:rsidRDefault="009A29CC" w:rsidP="00023107">
      <w:pPr>
        <w:autoSpaceDE w:val="0"/>
        <w:autoSpaceDN w:val="0"/>
        <w:adjustRightInd w:val="0"/>
        <w:spacing w:after="0" w:line="360" w:lineRule="auto"/>
        <w:ind w:firstLine="708"/>
        <w:jc w:val="both"/>
        <w:rPr>
          <w:rFonts w:ascii="Times New Roman" w:eastAsia="EUAlbertina-Regular-Identity-H" w:hAnsi="Times New Roman" w:cs="Times New Roman"/>
          <w:sz w:val="24"/>
          <w:szCs w:val="24"/>
          <w:lang w:val="en-GB"/>
        </w:rPr>
      </w:pPr>
    </w:p>
    <w:p w:rsidR="009A29CC" w:rsidRDefault="009A29CC" w:rsidP="00785440">
      <w:pPr>
        <w:autoSpaceDE w:val="0"/>
        <w:autoSpaceDN w:val="0"/>
        <w:adjustRightInd w:val="0"/>
        <w:spacing w:after="0" w:line="360" w:lineRule="auto"/>
        <w:jc w:val="both"/>
        <w:rPr>
          <w:rFonts w:ascii="Times New Roman" w:eastAsia="EUAlbertina-Regular-Identity-H" w:hAnsi="Times New Roman" w:cs="Times New Roman"/>
          <w:sz w:val="24"/>
          <w:szCs w:val="24"/>
          <w:lang w:val="en-GB"/>
        </w:rPr>
      </w:pPr>
      <w:r>
        <w:rPr>
          <w:rFonts w:ascii="Times New Roman" w:eastAsia="EUAlbertina-Regular-Identity-H" w:hAnsi="Times New Roman" w:cs="Times New Roman"/>
          <w:b/>
          <w:sz w:val="24"/>
          <w:szCs w:val="24"/>
          <w:lang w:val="en-GB"/>
        </w:rPr>
        <w:t>4.4 Other provisions</w:t>
      </w:r>
    </w:p>
    <w:p w:rsidR="009A29CC" w:rsidRDefault="009A29CC" w:rsidP="00023107">
      <w:pPr>
        <w:autoSpaceDE w:val="0"/>
        <w:autoSpaceDN w:val="0"/>
        <w:adjustRightInd w:val="0"/>
        <w:spacing w:after="0" w:line="360" w:lineRule="auto"/>
        <w:ind w:firstLine="708"/>
        <w:jc w:val="both"/>
        <w:rPr>
          <w:rFonts w:ascii="Times New Roman" w:eastAsia="EUAlbertina-Regular-Identity-H" w:hAnsi="Times New Roman" w:cs="Times New Roman"/>
          <w:sz w:val="24"/>
          <w:szCs w:val="24"/>
          <w:lang w:val="en-GB"/>
        </w:rPr>
      </w:pPr>
    </w:p>
    <w:p w:rsidR="009A29CC" w:rsidRDefault="009A29CC" w:rsidP="00785440">
      <w:pPr>
        <w:autoSpaceDE w:val="0"/>
        <w:autoSpaceDN w:val="0"/>
        <w:adjustRightInd w:val="0"/>
        <w:spacing w:after="0" w:line="360" w:lineRule="auto"/>
        <w:jc w:val="both"/>
        <w:rPr>
          <w:rFonts w:ascii="Times New Roman" w:eastAsia="EUAlbertina-Regular-Identity-H" w:hAnsi="Times New Roman" w:cs="Times New Roman"/>
          <w:sz w:val="24"/>
          <w:szCs w:val="24"/>
          <w:lang w:val="en-GB"/>
        </w:rPr>
      </w:pPr>
      <w:r>
        <w:rPr>
          <w:rFonts w:ascii="Times New Roman" w:eastAsia="EUAlbertina-Regular-Identity-H" w:hAnsi="Times New Roman" w:cs="Times New Roman"/>
          <w:sz w:val="24"/>
          <w:szCs w:val="24"/>
          <w:lang w:val="en-GB"/>
        </w:rPr>
        <w:t xml:space="preserve">Similar attention as Rome I does Rome II </w:t>
      </w:r>
      <w:r w:rsidR="004E5037">
        <w:rPr>
          <w:rFonts w:ascii="Times New Roman" w:eastAsia="EUAlbertina-Regular-Identity-H" w:hAnsi="Times New Roman" w:cs="Times New Roman"/>
          <w:sz w:val="24"/>
          <w:szCs w:val="24"/>
          <w:lang w:val="en-GB"/>
        </w:rPr>
        <w:t xml:space="preserve">gives </w:t>
      </w:r>
      <w:r>
        <w:rPr>
          <w:rFonts w:ascii="Times New Roman" w:eastAsia="EUAlbertina-Regular-Identity-H" w:hAnsi="Times New Roman" w:cs="Times New Roman"/>
          <w:sz w:val="24"/>
          <w:szCs w:val="24"/>
          <w:lang w:val="en-GB"/>
        </w:rPr>
        <w:t>to overriding mandatory rules, public policy of the forum or exclusion of renvoi. Due to the range of this contribution we will not deal with these questions.</w:t>
      </w:r>
    </w:p>
    <w:p w:rsidR="009A29CC" w:rsidRDefault="009A29CC" w:rsidP="00023107">
      <w:pPr>
        <w:autoSpaceDE w:val="0"/>
        <w:autoSpaceDN w:val="0"/>
        <w:adjustRightInd w:val="0"/>
        <w:spacing w:after="0" w:line="360" w:lineRule="auto"/>
        <w:ind w:firstLine="708"/>
        <w:jc w:val="both"/>
        <w:rPr>
          <w:rFonts w:ascii="Times New Roman" w:eastAsia="EUAlbertina-Regular-Identity-H" w:hAnsi="Times New Roman" w:cs="Times New Roman"/>
          <w:sz w:val="24"/>
          <w:szCs w:val="24"/>
          <w:lang w:val="en-GB"/>
        </w:rPr>
      </w:pPr>
    </w:p>
    <w:p w:rsidR="009A29CC" w:rsidRDefault="009A29CC" w:rsidP="00CC21DD">
      <w:pPr>
        <w:autoSpaceDE w:val="0"/>
        <w:autoSpaceDN w:val="0"/>
        <w:adjustRightInd w:val="0"/>
        <w:spacing w:after="0" w:line="360" w:lineRule="auto"/>
        <w:jc w:val="both"/>
        <w:rPr>
          <w:rFonts w:ascii="Times New Roman" w:eastAsia="EUAlbertina-Regular-Identity-H" w:hAnsi="Times New Roman" w:cs="Times New Roman"/>
          <w:b/>
          <w:sz w:val="24"/>
          <w:szCs w:val="24"/>
          <w:lang w:val="en-GB"/>
        </w:rPr>
      </w:pPr>
      <w:r>
        <w:rPr>
          <w:rFonts w:ascii="Times New Roman" w:eastAsia="EUAlbertina-Regular-Identity-H" w:hAnsi="Times New Roman" w:cs="Times New Roman"/>
          <w:b/>
          <w:sz w:val="24"/>
          <w:szCs w:val="24"/>
          <w:lang w:val="en-GB"/>
        </w:rPr>
        <w:t>5 Conclusion</w:t>
      </w:r>
    </w:p>
    <w:p w:rsidR="00CC21DD" w:rsidRDefault="00CC21DD" w:rsidP="00CC21DD">
      <w:pPr>
        <w:autoSpaceDE w:val="0"/>
        <w:autoSpaceDN w:val="0"/>
        <w:adjustRightInd w:val="0"/>
        <w:spacing w:after="0" w:line="360" w:lineRule="auto"/>
        <w:jc w:val="both"/>
        <w:rPr>
          <w:rFonts w:ascii="Times New Roman" w:eastAsia="EUAlbertina-Regular-Identity-H" w:hAnsi="Times New Roman" w:cs="Times New Roman"/>
          <w:b/>
          <w:sz w:val="24"/>
          <w:szCs w:val="24"/>
          <w:lang w:val="en-GB"/>
        </w:rPr>
      </w:pPr>
    </w:p>
    <w:p w:rsidR="00CC21DD" w:rsidRDefault="00CC21DD" w:rsidP="00CC21DD">
      <w:pPr>
        <w:autoSpaceDE w:val="0"/>
        <w:autoSpaceDN w:val="0"/>
        <w:adjustRightInd w:val="0"/>
        <w:spacing w:after="0" w:line="360" w:lineRule="auto"/>
        <w:jc w:val="both"/>
        <w:rPr>
          <w:rFonts w:ascii="Times New Roman" w:eastAsia="EUAlbertina-Regular-Identity-H" w:hAnsi="Times New Roman" w:cs="Times New Roman"/>
          <w:sz w:val="24"/>
          <w:szCs w:val="24"/>
          <w:lang w:val="en-GB"/>
        </w:rPr>
      </w:pPr>
      <w:r>
        <w:rPr>
          <w:rFonts w:ascii="Times New Roman" w:eastAsia="EUAlbertina-Regular-Identity-H" w:hAnsi="Times New Roman" w:cs="Times New Roman"/>
          <w:sz w:val="24"/>
          <w:szCs w:val="24"/>
          <w:lang w:val="en-GB"/>
        </w:rPr>
        <w:t xml:space="preserve">Contemporary Czech conflict rule regulation for delicts and quasi-delicts could be hardly described as sufficient or suitable. </w:t>
      </w:r>
      <w:r w:rsidR="0070739C">
        <w:rPr>
          <w:rFonts w:ascii="Times New Roman" w:eastAsia="EUAlbertina-Regular-Identity-H" w:hAnsi="Times New Roman" w:cs="Times New Roman"/>
          <w:sz w:val="24"/>
          <w:szCs w:val="24"/>
          <w:lang w:val="en-GB"/>
        </w:rPr>
        <w:t>Soon it will be replaced by the new, modern legal regulation – Rome II which will constitute a sizable drift. We suppose this drift will lead to the easier application of law and higher certainty of parties concerned.</w:t>
      </w:r>
    </w:p>
    <w:p w:rsidR="0076678C" w:rsidRDefault="0076678C" w:rsidP="00CC21DD">
      <w:pPr>
        <w:autoSpaceDE w:val="0"/>
        <w:autoSpaceDN w:val="0"/>
        <w:adjustRightInd w:val="0"/>
        <w:spacing w:after="0" w:line="360" w:lineRule="auto"/>
        <w:jc w:val="both"/>
        <w:rPr>
          <w:rFonts w:ascii="Times New Roman" w:eastAsia="EUAlbertina-Regular-Identity-H" w:hAnsi="Times New Roman" w:cs="Times New Roman"/>
          <w:sz w:val="24"/>
          <w:szCs w:val="24"/>
          <w:lang w:val="en-GB"/>
        </w:rPr>
      </w:pPr>
    </w:p>
    <w:p w:rsidR="0076678C" w:rsidRDefault="0076678C" w:rsidP="00CC21DD">
      <w:pPr>
        <w:autoSpaceDE w:val="0"/>
        <w:autoSpaceDN w:val="0"/>
        <w:adjustRightInd w:val="0"/>
        <w:spacing w:after="0" w:line="360" w:lineRule="auto"/>
        <w:jc w:val="both"/>
        <w:rPr>
          <w:rFonts w:ascii="Times New Roman" w:eastAsia="EUAlbertina-Regular-Identity-H" w:hAnsi="Times New Roman" w:cs="Times New Roman"/>
          <w:b/>
          <w:sz w:val="24"/>
          <w:szCs w:val="24"/>
          <w:lang w:val="en-GB"/>
        </w:rPr>
      </w:pPr>
      <w:r>
        <w:rPr>
          <w:rFonts w:ascii="Times New Roman" w:eastAsia="EUAlbertina-Regular-Identity-H" w:hAnsi="Times New Roman" w:cs="Times New Roman"/>
          <w:b/>
          <w:sz w:val="24"/>
          <w:szCs w:val="24"/>
          <w:lang w:val="en-GB"/>
        </w:rPr>
        <w:t>Literature</w:t>
      </w:r>
    </w:p>
    <w:p w:rsidR="00405F20" w:rsidRPr="00733055" w:rsidRDefault="00405F20" w:rsidP="00733055">
      <w:pPr>
        <w:pStyle w:val="Textpoznpodarou"/>
        <w:numPr>
          <w:ilvl w:val="0"/>
          <w:numId w:val="9"/>
        </w:numPr>
        <w:spacing w:line="360" w:lineRule="auto"/>
        <w:jc w:val="both"/>
        <w:rPr>
          <w:rFonts w:ascii="Times New Roman" w:hAnsi="Times New Roman" w:cs="Times New Roman"/>
          <w:sz w:val="24"/>
          <w:szCs w:val="24"/>
          <w:lang w:val="en-GB"/>
        </w:rPr>
      </w:pPr>
      <w:r w:rsidRPr="00733055">
        <w:rPr>
          <w:rFonts w:ascii="Times New Roman" w:hAnsi="Times New Roman" w:cs="Times New Roman"/>
          <w:sz w:val="24"/>
          <w:szCs w:val="24"/>
          <w:lang w:val="en-GB"/>
        </w:rPr>
        <w:t xml:space="preserve">Tichý, L. </w:t>
      </w:r>
      <w:r w:rsidRPr="00733055">
        <w:rPr>
          <w:rFonts w:ascii="Times New Roman" w:hAnsi="Times New Roman" w:cs="Times New Roman"/>
          <w:i/>
          <w:sz w:val="24"/>
          <w:szCs w:val="24"/>
          <w:lang w:val="en-GB"/>
        </w:rPr>
        <w:t xml:space="preserve">Náhrada škody při mimosmluvním porušení povinnosti, </w:t>
      </w:r>
      <w:r w:rsidRPr="00733055">
        <w:rPr>
          <w:rFonts w:ascii="Times New Roman" w:hAnsi="Times New Roman" w:cs="Times New Roman"/>
          <w:sz w:val="24"/>
          <w:szCs w:val="24"/>
          <w:lang w:val="en-GB"/>
        </w:rPr>
        <w:t>kand. dis.práce, Praha 1982, příloha IV</w:t>
      </w:r>
    </w:p>
    <w:p w:rsidR="00405F20" w:rsidRPr="00733055" w:rsidRDefault="00405F20" w:rsidP="00733055">
      <w:pPr>
        <w:pStyle w:val="Textpoznpodarou"/>
        <w:numPr>
          <w:ilvl w:val="0"/>
          <w:numId w:val="9"/>
        </w:numPr>
        <w:spacing w:line="360" w:lineRule="auto"/>
        <w:jc w:val="both"/>
        <w:rPr>
          <w:rFonts w:ascii="Times New Roman" w:hAnsi="Times New Roman" w:cs="Times New Roman"/>
          <w:sz w:val="24"/>
          <w:szCs w:val="24"/>
          <w:lang w:val="en-GB"/>
        </w:rPr>
      </w:pPr>
      <w:r w:rsidRPr="00733055">
        <w:rPr>
          <w:rFonts w:ascii="Times New Roman" w:hAnsi="Times New Roman" w:cs="Times New Roman"/>
          <w:sz w:val="24"/>
          <w:szCs w:val="24"/>
          <w:lang w:val="en-GB"/>
        </w:rPr>
        <w:t xml:space="preserve">KUČERA, Z. </w:t>
      </w:r>
      <w:r w:rsidRPr="00733055">
        <w:rPr>
          <w:rFonts w:ascii="Times New Roman" w:hAnsi="Times New Roman" w:cs="Times New Roman"/>
          <w:i/>
          <w:iCs/>
          <w:sz w:val="24"/>
          <w:szCs w:val="24"/>
          <w:lang w:val="en-GB"/>
        </w:rPr>
        <w:t>Mezinárodní právo soukromé.</w:t>
      </w:r>
      <w:r w:rsidRPr="00733055">
        <w:rPr>
          <w:rFonts w:ascii="Times New Roman" w:hAnsi="Times New Roman" w:cs="Times New Roman"/>
          <w:sz w:val="24"/>
          <w:szCs w:val="24"/>
          <w:lang w:val="en-GB"/>
        </w:rPr>
        <w:t xml:space="preserve"> 5. vydání. Brno : Doplněk, 2001. s. 308. ISBN 80-7239-100-3</w:t>
      </w:r>
    </w:p>
    <w:p w:rsidR="00405F20" w:rsidRPr="00733055" w:rsidRDefault="00405F20" w:rsidP="00733055">
      <w:pPr>
        <w:pStyle w:val="Textpoznpodarou"/>
        <w:numPr>
          <w:ilvl w:val="0"/>
          <w:numId w:val="9"/>
        </w:numPr>
        <w:spacing w:line="360" w:lineRule="auto"/>
        <w:jc w:val="both"/>
        <w:rPr>
          <w:rFonts w:ascii="Times New Roman" w:hAnsi="Times New Roman" w:cs="Times New Roman"/>
          <w:sz w:val="24"/>
          <w:szCs w:val="24"/>
          <w:lang w:val="en-GB"/>
        </w:rPr>
      </w:pPr>
      <w:r w:rsidRPr="00733055">
        <w:rPr>
          <w:rFonts w:ascii="Times New Roman" w:hAnsi="Times New Roman" w:cs="Times New Roman"/>
          <w:sz w:val="24"/>
          <w:szCs w:val="24"/>
          <w:lang w:val="en-GB"/>
        </w:rPr>
        <w:t xml:space="preserve">KUČERA, Z., KUNZ, O. Návrh úmluvy států EHS o právu použitelném na smluvní i mimosmluvní závazky. </w:t>
      </w:r>
      <w:r w:rsidRPr="00733055">
        <w:rPr>
          <w:rFonts w:ascii="Times New Roman" w:hAnsi="Times New Roman" w:cs="Times New Roman"/>
          <w:i/>
          <w:iCs/>
          <w:sz w:val="24"/>
          <w:szCs w:val="24"/>
          <w:lang w:val="en-GB"/>
        </w:rPr>
        <w:t>Právník</w:t>
      </w:r>
      <w:r w:rsidRPr="00733055">
        <w:rPr>
          <w:rFonts w:ascii="Times New Roman" w:hAnsi="Times New Roman" w:cs="Times New Roman"/>
          <w:sz w:val="24"/>
          <w:szCs w:val="24"/>
          <w:lang w:val="en-GB"/>
        </w:rPr>
        <w:t>, 1975, s. 891 - 899</w:t>
      </w:r>
    </w:p>
    <w:p w:rsidR="00405F20" w:rsidRPr="00733055" w:rsidRDefault="00405F20" w:rsidP="00733055">
      <w:pPr>
        <w:pStyle w:val="Textpoznpodarou"/>
        <w:numPr>
          <w:ilvl w:val="0"/>
          <w:numId w:val="9"/>
        </w:numPr>
        <w:spacing w:line="360" w:lineRule="auto"/>
        <w:jc w:val="both"/>
        <w:rPr>
          <w:rFonts w:ascii="Times New Roman" w:hAnsi="Times New Roman" w:cs="Times New Roman"/>
          <w:sz w:val="24"/>
          <w:szCs w:val="24"/>
        </w:rPr>
      </w:pPr>
      <w:r w:rsidRPr="00733055">
        <w:rPr>
          <w:rFonts w:ascii="Times New Roman" w:eastAsia="Calibri" w:hAnsi="Times New Roman" w:cs="Times New Roman"/>
          <w:sz w:val="24"/>
          <w:szCs w:val="24"/>
        </w:rPr>
        <w:t xml:space="preserve">ROZEHNALOVÁ, N., TÝČ, V. </w:t>
      </w:r>
      <w:r w:rsidRPr="00733055">
        <w:rPr>
          <w:rFonts w:ascii="Times New Roman" w:eastAsia="Calibri" w:hAnsi="Times New Roman" w:cs="Times New Roman"/>
          <w:i/>
          <w:iCs/>
          <w:sz w:val="24"/>
          <w:szCs w:val="24"/>
        </w:rPr>
        <w:t>Evropský justiční prostor (v civilních otázkách).</w:t>
      </w:r>
      <w:r w:rsidRPr="00733055">
        <w:rPr>
          <w:rFonts w:ascii="Times New Roman" w:eastAsia="Calibri" w:hAnsi="Times New Roman" w:cs="Times New Roman"/>
          <w:sz w:val="24"/>
          <w:szCs w:val="24"/>
        </w:rPr>
        <w:t xml:space="preserve"> Brno : Masarykova univerzita v Brně, 2003. ISBN 80-210-305</w:t>
      </w:r>
      <w:r w:rsidRPr="00733055">
        <w:rPr>
          <w:rFonts w:ascii="Times New Roman" w:hAnsi="Times New Roman" w:cs="Times New Roman"/>
          <w:sz w:val="24"/>
          <w:szCs w:val="24"/>
        </w:rPr>
        <w:t xml:space="preserve">4-2 </w:t>
      </w:r>
    </w:p>
    <w:p w:rsidR="00405F20" w:rsidRPr="00733055" w:rsidRDefault="00405F20" w:rsidP="00733055">
      <w:pPr>
        <w:pStyle w:val="Textpoznpodarou"/>
        <w:numPr>
          <w:ilvl w:val="0"/>
          <w:numId w:val="9"/>
        </w:numPr>
        <w:spacing w:line="360" w:lineRule="auto"/>
        <w:jc w:val="both"/>
        <w:rPr>
          <w:rFonts w:ascii="Times New Roman" w:hAnsi="Times New Roman" w:cs="Times New Roman"/>
          <w:sz w:val="24"/>
          <w:szCs w:val="24"/>
        </w:rPr>
      </w:pPr>
      <w:r w:rsidRPr="00733055">
        <w:rPr>
          <w:rFonts w:ascii="Times New Roman" w:hAnsi="Times New Roman" w:cs="Times New Roman"/>
          <w:sz w:val="24"/>
          <w:szCs w:val="24"/>
        </w:rPr>
        <w:t xml:space="preserve">PAUKNEROVÁ, M. Evropské mezinárodní právo soukromé a procesní - aktuální otázky. </w:t>
      </w:r>
      <w:r w:rsidRPr="00733055">
        <w:rPr>
          <w:rFonts w:ascii="Times New Roman" w:hAnsi="Times New Roman" w:cs="Times New Roman"/>
          <w:i/>
          <w:iCs/>
          <w:sz w:val="24"/>
          <w:szCs w:val="24"/>
        </w:rPr>
        <w:t>Evropské právo</w:t>
      </w:r>
      <w:r w:rsidRPr="00733055">
        <w:rPr>
          <w:rFonts w:ascii="Times New Roman" w:hAnsi="Times New Roman" w:cs="Times New Roman"/>
          <w:sz w:val="24"/>
          <w:szCs w:val="24"/>
        </w:rPr>
        <w:t>, 2003, č. 8</w:t>
      </w:r>
    </w:p>
    <w:p w:rsidR="00405F20" w:rsidRPr="00733055" w:rsidRDefault="00405F20" w:rsidP="00733055">
      <w:pPr>
        <w:pStyle w:val="Textpoznpodarou"/>
        <w:numPr>
          <w:ilvl w:val="0"/>
          <w:numId w:val="9"/>
        </w:numPr>
        <w:spacing w:line="360" w:lineRule="auto"/>
        <w:jc w:val="both"/>
        <w:rPr>
          <w:rFonts w:ascii="Times New Roman" w:hAnsi="Times New Roman" w:cs="Times New Roman"/>
          <w:sz w:val="24"/>
          <w:szCs w:val="24"/>
        </w:rPr>
      </w:pPr>
      <w:r w:rsidRPr="00733055">
        <w:rPr>
          <w:rStyle w:val="TextpoznpodarouChar"/>
          <w:rFonts w:ascii="Times New Roman" w:hAnsi="Times New Roman" w:cs="Times New Roman"/>
          <w:sz w:val="24"/>
          <w:szCs w:val="24"/>
          <w:lang w:eastAsia="cs-CZ"/>
        </w:rPr>
        <w:t>VALDHANS, J. Evropský justič</w:t>
      </w:r>
      <w:r w:rsidRPr="00733055">
        <w:rPr>
          <w:rStyle w:val="TextpoznpodarouChar"/>
          <w:rFonts w:ascii="Times New Roman" w:hAnsi="Times New Roman" w:cs="Times New Roman"/>
          <w:sz w:val="24"/>
          <w:szCs w:val="24"/>
        </w:rPr>
        <w:t>ní prostor ve věcech civilních</w:t>
      </w:r>
      <w:r w:rsidRPr="00733055">
        <w:rPr>
          <w:rStyle w:val="TextpoznpodarouChar"/>
          <w:rFonts w:ascii="Times New Roman" w:hAnsi="Times New Roman" w:cs="Times New Roman"/>
          <w:sz w:val="24"/>
          <w:szCs w:val="24"/>
          <w:lang w:eastAsia="cs-CZ"/>
        </w:rPr>
        <w:t xml:space="preserve">. Část XIII. Návrh nařízení o právu rozhodném pro mimosmluvní závazky. </w:t>
      </w:r>
      <w:r w:rsidRPr="00733055">
        <w:rPr>
          <w:rStyle w:val="TextpoznpodarouChar"/>
          <w:rFonts w:ascii="Times New Roman" w:hAnsi="Times New Roman" w:cs="Times New Roman"/>
          <w:i/>
          <w:sz w:val="24"/>
          <w:szCs w:val="24"/>
          <w:lang w:eastAsia="cs-CZ"/>
        </w:rPr>
        <w:t>Právní fórum</w:t>
      </w:r>
      <w:r w:rsidRPr="00733055">
        <w:rPr>
          <w:rStyle w:val="TextpoznpodarouChar"/>
          <w:rFonts w:ascii="Times New Roman" w:hAnsi="Times New Roman" w:cs="Times New Roman"/>
          <w:sz w:val="24"/>
          <w:szCs w:val="24"/>
          <w:lang w:eastAsia="cs-CZ"/>
        </w:rPr>
        <w:t xml:space="preserve">, 2006, č. </w:t>
      </w:r>
      <w:r w:rsidRPr="00733055">
        <w:rPr>
          <w:rStyle w:val="TextpoznpodarouChar"/>
          <w:rFonts w:ascii="Times New Roman" w:hAnsi="Times New Roman" w:cs="Times New Roman"/>
          <w:sz w:val="24"/>
          <w:szCs w:val="24"/>
        </w:rPr>
        <w:t>2</w:t>
      </w:r>
      <w:r w:rsidRPr="00733055">
        <w:rPr>
          <w:rStyle w:val="TextpoznpodarouChar"/>
          <w:rFonts w:ascii="Times New Roman" w:hAnsi="Times New Roman" w:cs="Times New Roman"/>
          <w:sz w:val="24"/>
          <w:szCs w:val="24"/>
          <w:lang w:eastAsia="cs-CZ"/>
        </w:rPr>
        <w:t>,</w:t>
      </w:r>
    </w:p>
    <w:p w:rsidR="0076678C" w:rsidRPr="00733055" w:rsidRDefault="00405F20" w:rsidP="00733055">
      <w:pPr>
        <w:pStyle w:val="Textpoznpodarou"/>
        <w:numPr>
          <w:ilvl w:val="0"/>
          <w:numId w:val="9"/>
        </w:numPr>
        <w:spacing w:line="360" w:lineRule="auto"/>
        <w:jc w:val="both"/>
        <w:rPr>
          <w:rFonts w:ascii="Times New Roman" w:hAnsi="Times New Roman" w:cs="Times New Roman"/>
          <w:sz w:val="24"/>
          <w:szCs w:val="24"/>
        </w:rPr>
      </w:pPr>
      <w:r w:rsidRPr="00733055">
        <w:rPr>
          <w:rFonts w:ascii="Times New Roman" w:hAnsi="Times New Roman" w:cs="Times New Roman"/>
          <w:sz w:val="24"/>
          <w:szCs w:val="24"/>
        </w:rPr>
        <w:t xml:space="preserve">KRÁL, R. Ke kolizní úpravě občanskoprávní mimosmluvní odpovědnosti. </w:t>
      </w:r>
      <w:r w:rsidRPr="00733055">
        <w:rPr>
          <w:rFonts w:ascii="Times New Roman" w:hAnsi="Times New Roman" w:cs="Times New Roman"/>
          <w:i/>
          <w:sz w:val="24"/>
          <w:szCs w:val="24"/>
        </w:rPr>
        <w:t>Právník</w:t>
      </w:r>
      <w:r w:rsidRPr="00733055">
        <w:rPr>
          <w:rFonts w:ascii="Times New Roman" w:hAnsi="Times New Roman" w:cs="Times New Roman"/>
          <w:sz w:val="24"/>
          <w:szCs w:val="24"/>
        </w:rPr>
        <w:t>, 1989, č. 8, s. 687 – 695.</w:t>
      </w:r>
    </w:p>
    <w:p w:rsidR="00733055" w:rsidRPr="00733055" w:rsidRDefault="00733055" w:rsidP="00733055">
      <w:pPr>
        <w:pStyle w:val="Textpoznpodarou"/>
        <w:numPr>
          <w:ilvl w:val="0"/>
          <w:numId w:val="9"/>
        </w:numPr>
        <w:spacing w:line="360" w:lineRule="auto"/>
        <w:jc w:val="both"/>
        <w:rPr>
          <w:rStyle w:val="TextpoznpodarouChar"/>
          <w:rFonts w:ascii="Times New Roman" w:hAnsi="Times New Roman" w:cs="Times New Roman"/>
          <w:sz w:val="24"/>
          <w:szCs w:val="24"/>
        </w:rPr>
      </w:pPr>
      <w:r w:rsidRPr="00733055">
        <w:rPr>
          <w:rStyle w:val="TextpoznpodarouChar"/>
          <w:rFonts w:ascii="Times New Roman" w:hAnsi="Times New Roman" w:cs="Times New Roman"/>
          <w:sz w:val="24"/>
          <w:szCs w:val="24"/>
          <w:lang w:eastAsia="cs-CZ"/>
        </w:rPr>
        <w:t>BASEDOW, J. The communitarisation of the Conflict of Laws under the Treaty of Amsterdam. Common Market Law Review, 2000, č. 37, s.687 - 708.</w:t>
      </w:r>
    </w:p>
    <w:p w:rsidR="00733055" w:rsidRPr="00733055" w:rsidRDefault="00733055" w:rsidP="00733055">
      <w:pPr>
        <w:pStyle w:val="Textpoznpodarou"/>
        <w:numPr>
          <w:ilvl w:val="0"/>
          <w:numId w:val="9"/>
        </w:numPr>
        <w:spacing w:line="360" w:lineRule="auto"/>
        <w:jc w:val="both"/>
        <w:rPr>
          <w:rStyle w:val="TextpoznpodarouChar"/>
          <w:rFonts w:ascii="Times New Roman" w:hAnsi="Times New Roman" w:cs="Times New Roman"/>
          <w:sz w:val="24"/>
          <w:szCs w:val="24"/>
        </w:rPr>
      </w:pPr>
      <w:r w:rsidRPr="00733055">
        <w:rPr>
          <w:rStyle w:val="TextpoznpodarouChar"/>
          <w:rFonts w:ascii="Times New Roman" w:hAnsi="Times New Roman" w:cs="Times New Roman"/>
          <w:sz w:val="24"/>
          <w:szCs w:val="24"/>
          <w:lang w:eastAsia="cs-CZ"/>
        </w:rPr>
        <w:t xml:space="preserve">HAMBURG GROUP FOR PRIVATE INTERNATIONAL LAW. Comments on the European Commission's Regulation on the Law Applicable to Non-Contractual Obligations. </w:t>
      </w:r>
      <w:r w:rsidRPr="00733055">
        <w:rPr>
          <w:rStyle w:val="TextpoznpodarouChar"/>
          <w:rFonts w:ascii="Times New Roman" w:hAnsi="Times New Roman" w:cs="Times New Roman"/>
          <w:i/>
          <w:sz w:val="24"/>
          <w:szCs w:val="24"/>
          <w:lang w:eastAsia="cs-CZ"/>
        </w:rPr>
        <w:t>Rabels Zeitschrift für ausländisches und internationales Privatrecht</w:t>
      </w:r>
      <w:r w:rsidRPr="00733055">
        <w:rPr>
          <w:rStyle w:val="TextpoznpodarouChar"/>
          <w:rFonts w:ascii="Times New Roman" w:hAnsi="Times New Roman" w:cs="Times New Roman"/>
          <w:sz w:val="24"/>
          <w:szCs w:val="24"/>
          <w:lang w:eastAsia="cs-CZ"/>
        </w:rPr>
        <w:t>, 2003, č. 67, s. 1 - 56. ISSN 0033-7250.</w:t>
      </w:r>
    </w:p>
    <w:p w:rsidR="00733055" w:rsidRPr="00733055" w:rsidRDefault="00733055" w:rsidP="00733055">
      <w:pPr>
        <w:pStyle w:val="Textpoznpodarou"/>
        <w:numPr>
          <w:ilvl w:val="0"/>
          <w:numId w:val="9"/>
        </w:numPr>
        <w:spacing w:line="360" w:lineRule="auto"/>
        <w:jc w:val="both"/>
        <w:rPr>
          <w:rFonts w:ascii="Times New Roman" w:hAnsi="Times New Roman" w:cs="Times New Roman"/>
          <w:sz w:val="24"/>
          <w:szCs w:val="24"/>
        </w:rPr>
      </w:pPr>
      <w:r w:rsidRPr="00733055">
        <w:rPr>
          <w:rStyle w:val="TextpoznpodarouChar"/>
          <w:rFonts w:ascii="Times New Roman" w:hAnsi="Times New Roman" w:cs="Times New Roman"/>
          <w:sz w:val="24"/>
          <w:szCs w:val="24"/>
          <w:lang w:eastAsia="cs-CZ"/>
        </w:rPr>
        <w:t>REMIEN, O. Community law versus conflict of laws. Common Market Law Review, 2001, č. 38, s. 53 - 86.</w:t>
      </w:r>
    </w:p>
    <w:p w:rsidR="0076678C" w:rsidRDefault="0076678C" w:rsidP="0076678C">
      <w:pPr>
        <w:autoSpaceDE w:val="0"/>
        <w:autoSpaceDN w:val="0"/>
        <w:adjustRightInd w:val="0"/>
        <w:spacing w:after="0" w:line="360" w:lineRule="auto"/>
        <w:jc w:val="both"/>
        <w:rPr>
          <w:rFonts w:ascii="Times New Roman" w:eastAsia="EUAlbertina-Regular-Identity-H" w:hAnsi="Times New Roman" w:cs="Times New Roman"/>
          <w:sz w:val="24"/>
          <w:szCs w:val="24"/>
          <w:lang w:val="en-GB"/>
        </w:rPr>
      </w:pPr>
    </w:p>
    <w:p w:rsidR="00150D00" w:rsidRPr="00150D00" w:rsidRDefault="00150D00" w:rsidP="0076678C">
      <w:pPr>
        <w:autoSpaceDE w:val="0"/>
        <w:autoSpaceDN w:val="0"/>
        <w:adjustRightInd w:val="0"/>
        <w:spacing w:after="0" w:line="360" w:lineRule="auto"/>
        <w:jc w:val="both"/>
        <w:rPr>
          <w:rFonts w:ascii="Times New Roman" w:eastAsia="EUAlbertina-Regular-Identity-H" w:hAnsi="Times New Roman" w:cs="Times New Roman"/>
          <w:sz w:val="24"/>
          <w:szCs w:val="24"/>
          <w:lang w:val="en-GB"/>
        </w:rPr>
      </w:pPr>
      <w:r>
        <w:rPr>
          <w:rFonts w:ascii="Times New Roman" w:eastAsia="EUAlbertina-Regular-Identity-H" w:hAnsi="Times New Roman" w:cs="Times New Roman"/>
          <w:b/>
          <w:sz w:val="24"/>
          <w:szCs w:val="24"/>
          <w:lang w:val="en-GB"/>
        </w:rPr>
        <w:t>Contact</w:t>
      </w:r>
      <w:r w:rsidR="00F009E9">
        <w:rPr>
          <w:rFonts w:ascii="Times New Roman" w:eastAsia="EUAlbertina-Regular-Identity-H" w:hAnsi="Times New Roman" w:cs="Times New Roman"/>
          <w:b/>
          <w:sz w:val="24"/>
          <w:szCs w:val="24"/>
          <w:lang w:val="en-GB"/>
        </w:rPr>
        <w:t>- emeil</w:t>
      </w:r>
      <w:r>
        <w:rPr>
          <w:rFonts w:ascii="Times New Roman" w:eastAsia="EUAlbertina-Regular-Identity-H" w:hAnsi="Times New Roman" w:cs="Times New Roman"/>
          <w:b/>
          <w:sz w:val="24"/>
          <w:szCs w:val="24"/>
          <w:lang w:val="en-GB"/>
        </w:rPr>
        <w:t xml:space="preserve">: </w:t>
      </w:r>
      <w:r w:rsidRPr="00150D00">
        <w:rPr>
          <w:rFonts w:ascii="Times New Roman" w:eastAsia="EUAlbertina-Regular-Identity-H" w:hAnsi="Times New Roman" w:cs="Times New Roman"/>
          <w:i/>
          <w:sz w:val="24"/>
          <w:szCs w:val="24"/>
          <w:lang w:val="en-GB"/>
        </w:rPr>
        <w:t>jiri.valdhans@law.muni.cz</w:t>
      </w:r>
    </w:p>
    <w:sectPr w:rsidR="00150D00" w:rsidRPr="00150D00" w:rsidSect="00BA637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376" w:rsidRDefault="00341376" w:rsidP="00651A4B">
      <w:pPr>
        <w:spacing w:after="0" w:line="240" w:lineRule="auto"/>
      </w:pPr>
      <w:r>
        <w:separator/>
      </w:r>
    </w:p>
  </w:endnote>
  <w:endnote w:type="continuationSeparator" w:id="1">
    <w:p w:rsidR="00341376" w:rsidRDefault="00341376" w:rsidP="00651A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EUAlbertina-Italic-Identity-H">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376" w:rsidRDefault="00341376" w:rsidP="00651A4B">
      <w:pPr>
        <w:spacing w:after="0" w:line="240" w:lineRule="auto"/>
      </w:pPr>
      <w:r>
        <w:separator/>
      </w:r>
    </w:p>
  </w:footnote>
  <w:footnote w:type="continuationSeparator" w:id="1">
    <w:p w:rsidR="00341376" w:rsidRDefault="00341376" w:rsidP="00651A4B">
      <w:pPr>
        <w:spacing w:after="0" w:line="240" w:lineRule="auto"/>
      </w:pPr>
      <w:r>
        <w:continuationSeparator/>
      </w:r>
    </w:p>
  </w:footnote>
  <w:footnote w:id="2">
    <w:p w:rsidR="00785440" w:rsidRPr="00733055" w:rsidRDefault="00785440" w:rsidP="00733055">
      <w:pPr>
        <w:pStyle w:val="Textpoznpodarou"/>
        <w:jc w:val="both"/>
        <w:rPr>
          <w:rFonts w:ascii="Times New Roman" w:hAnsi="Times New Roman" w:cs="Times New Roman"/>
          <w:lang w:val="en-GB"/>
        </w:rPr>
      </w:pPr>
      <w:r w:rsidRPr="00733055">
        <w:rPr>
          <w:rStyle w:val="Znakapoznpodarou"/>
          <w:rFonts w:ascii="Times New Roman" w:hAnsi="Times New Roman" w:cs="Times New Roman"/>
          <w:lang w:val="en-GB"/>
        </w:rPr>
        <w:footnoteRef/>
      </w:r>
      <w:r w:rsidRPr="00733055">
        <w:rPr>
          <w:rFonts w:ascii="Times New Roman" w:hAnsi="Times New Roman" w:cs="Times New Roman"/>
          <w:lang w:val="en-GB"/>
        </w:rPr>
        <w:t xml:space="preserve"> This contribution was written within the frame of </w:t>
      </w:r>
      <w:r w:rsidRPr="00733055">
        <w:rPr>
          <w:rFonts w:ascii="Times New Roman" w:eastAsia="Calibri" w:hAnsi="Times New Roman" w:cs="Times New Roman"/>
          <w:lang w:val="en-GB"/>
        </w:rPr>
        <w:t>Postdoctoral Project on Delicts/Torts from the Perspective of the Private International Law granted by the Czech Science Foundation</w:t>
      </w:r>
      <w:r w:rsidRPr="00733055">
        <w:rPr>
          <w:rFonts w:ascii="Times New Roman" w:hAnsi="Times New Roman" w:cs="Times New Roman"/>
          <w:lang w:val="en-GB"/>
        </w:rPr>
        <w:t xml:space="preserve"> n. 407/08/P624</w:t>
      </w:r>
    </w:p>
  </w:footnote>
  <w:footnote w:id="3">
    <w:p w:rsidR="00856086" w:rsidRPr="00733055" w:rsidRDefault="00856086" w:rsidP="00733055">
      <w:pPr>
        <w:pStyle w:val="Textpoznpodarou"/>
        <w:jc w:val="both"/>
        <w:rPr>
          <w:rFonts w:ascii="Times New Roman" w:hAnsi="Times New Roman" w:cs="Times New Roman"/>
          <w:lang w:val="en-GB"/>
        </w:rPr>
      </w:pPr>
      <w:r w:rsidRPr="00733055">
        <w:rPr>
          <w:rStyle w:val="Znakapoznpodarou"/>
          <w:rFonts w:ascii="Times New Roman" w:hAnsi="Times New Roman" w:cs="Times New Roman"/>
          <w:lang w:val="en-GB"/>
        </w:rPr>
        <w:footnoteRef/>
      </w:r>
      <w:r w:rsidRPr="00733055">
        <w:rPr>
          <w:rFonts w:ascii="Times New Roman" w:hAnsi="Times New Roman" w:cs="Times New Roman"/>
          <w:lang w:val="en-GB"/>
        </w:rPr>
        <w:t xml:space="preserve"> Though we agree it would be the most frequent effect.</w:t>
      </w:r>
    </w:p>
  </w:footnote>
  <w:footnote w:id="4">
    <w:p w:rsidR="00856086" w:rsidRPr="00733055" w:rsidRDefault="00856086" w:rsidP="00733055">
      <w:pPr>
        <w:pStyle w:val="Textpoznpodarou"/>
        <w:jc w:val="both"/>
        <w:rPr>
          <w:rFonts w:ascii="Times New Roman" w:hAnsi="Times New Roman" w:cs="Times New Roman"/>
          <w:lang w:val="en-GB"/>
        </w:rPr>
      </w:pPr>
      <w:r w:rsidRPr="00733055">
        <w:rPr>
          <w:rStyle w:val="Znakapoznpodarou"/>
          <w:rFonts w:ascii="Times New Roman" w:hAnsi="Times New Roman" w:cs="Times New Roman"/>
          <w:lang w:val="en-GB"/>
        </w:rPr>
        <w:footnoteRef/>
      </w:r>
      <w:r w:rsidRPr="00733055">
        <w:rPr>
          <w:rFonts w:ascii="Times New Roman" w:hAnsi="Times New Roman" w:cs="Times New Roman"/>
          <w:lang w:val="en-GB"/>
        </w:rPr>
        <w:t xml:space="preserve"> Such a situation is currently solved by the enunciation of absence of relevant international element.  </w:t>
      </w:r>
    </w:p>
  </w:footnote>
  <w:footnote w:id="5">
    <w:p w:rsidR="007A215C" w:rsidRPr="00733055" w:rsidRDefault="007A215C" w:rsidP="00733055">
      <w:pPr>
        <w:pStyle w:val="Textpoznpodarou"/>
        <w:jc w:val="both"/>
        <w:rPr>
          <w:rFonts w:ascii="Times New Roman" w:hAnsi="Times New Roman" w:cs="Times New Roman"/>
          <w:lang w:val="en-GB"/>
        </w:rPr>
      </w:pPr>
      <w:r w:rsidRPr="00733055">
        <w:rPr>
          <w:rStyle w:val="Znakapoznpodarou"/>
          <w:rFonts w:ascii="Times New Roman" w:hAnsi="Times New Roman" w:cs="Times New Roman"/>
          <w:lang w:val="en-GB"/>
        </w:rPr>
        <w:footnoteRef/>
      </w:r>
      <w:r w:rsidRPr="00733055">
        <w:rPr>
          <w:rFonts w:ascii="Times New Roman" w:hAnsi="Times New Roman" w:cs="Times New Roman"/>
          <w:lang w:val="en-GB"/>
        </w:rPr>
        <w:t xml:space="preserve"> </w:t>
      </w:r>
      <w:r w:rsidRPr="00733055">
        <w:rPr>
          <w:rFonts w:ascii="Times New Roman" w:hAnsi="Times New Roman" w:cs="Times New Roman"/>
          <w:szCs w:val="24"/>
          <w:lang w:val="en-GB"/>
        </w:rPr>
        <w:t xml:space="preserve">Tichý, L. </w:t>
      </w:r>
      <w:r w:rsidRPr="00733055">
        <w:rPr>
          <w:rFonts w:ascii="Times New Roman" w:hAnsi="Times New Roman" w:cs="Times New Roman"/>
          <w:i/>
          <w:szCs w:val="24"/>
          <w:lang w:val="en-GB"/>
        </w:rPr>
        <w:t xml:space="preserve">Náhrada škody při mimosmluvním porušení povinnosti, </w:t>
      </w:r>
      <w:r w:rsidRPr="00733055">
        <w:rPr>
          <w:rFonts w:ascii="Times New Roman" w:hAnsi="Times New Roman" w:cs="Times New Roman"/>
          <w:szCs w:val="24"/>
          <w:lang w:val="en-GB"/>
        </w:rPr>
        <w:t>kand. dis.práce, Praha 1982, příloha IV</w:t>
      </w:r>
    </w:p>
  </w:footnote>
  <w:footnote w:id="6">
    <w:p w:rsidR="00F2208F" w:rsidRPr="00733055" w:rsidRDefault="00F2208F" w:rsidP="00733055">
      <w:pPr>
        <w:pStyle w:val="Textpoznpodarou"/>
        <w:jc w:val="both"/>
        <w:rPr>
          <w:rFonts w:ascii="Times New Roman" w:hAnsi="Times New Roman" w:cs="Times New Roman"/>
          <w:lang w:val="en-GB"/>
        </w:rPr>
      </w:pPr>
      <w:r w:rsidRPr="00733055">
        <w:rPr>
          <w:rStyle w:val="Znakapoznpodarou"/>
          <w:rFonts w:ascii="Times New Roman" w:hAnsi="Times New Roman" w:cs="Times New Roman"/>
          <w:lang w:val="en-GB"/>
        </w:rPr>
        <w:footnoteRef/>
      </w:r>
      <w:r w:rsidRPr="00733055">
        <w:rPr>
          <w:rFonts w:ascii="Times New Roman" w:hAnsi="Times New Roman" w:cs="Times New Roman"/>
          <w:lang w:val="en-GB"/>
        </w:rPr>
        <w:t xml:space="preserve"> KUČERA, Z. </w:t>
      </w:r>
      <w:r w:rsidRPr="00733055">
        <w:rPr>
          <w:rFonts w:ascii="Times New Roman" w:hAnsi="Times New Roman" w:cs="Times New Roman"/>
          <w:i/>
          <w:iCs/>
          <w:lang w:val="en-GB"/>
        </w:rPr>
        <w:t>Mezinárodní právo soukromé.</w:t>
      </w:r>
      <w:r w:rsidRPr="00733055">
        <w:rPr>
          <w:rFonts w:ascii="Times New Roman" w:hAnsi="Times New Roman" w:cs="Times New Roman"/>
          <w:lang w:val="en-GB"/>
        </w:rPr>
        <w:t xml:space="preserve"> 5. vydání. Brno : Doplněk, 2001. s. 308. ISBN 80-7239-100-3</w:t>
      </w:r>
    </w:p>
  </w:footnote>
  <w:footnote w:id="7">
    <w:p w:rsidR="00164973" w:rsidRPr="00733055" w:rsidRDefault="00164973" w:rsidP="00733055">
      <w:pPr>
        <w:pStyle w:val="Textpoznpodarou"/>
        <w:jc w:val="both"/>
        <w:rPr>
          <w:rFonts w:ascii="Times New Roman" w:hAnsi="Times New Roman" w:cs="Times New Roman"/>
          <w:lang w:val="en-GB"/>
        </w:rPr>
      </w:pPr>
      <w:r w:rsidRPr="00733055">
        <w:rPr>
          <w:rStyle w:val="Znakapoznpodarou"/>
          <w:rFonts w:ascii="Times New Roman" w:hAnsi="Times New Roman" w:cs="Times New Roman"/>
          <w:lang w:val="en-GB"/>
        </w:rPr>
        <w:footnoteRef/>
      </w:r>
      <w:r w:rsidRPr="00733055">
        <w:rPr>
          <w:rFonts w:ascii="Times New Roman" w:hAnsi="Times New Roman" w:cs="Times New Roman"/>
          <w:lang w:val="en-GB"/>
        </w:rPr>
        <w:t xml:space="preserve"> KUČERA, Z., KUNZ, O. Návrh úmluvy států EHS o právu použitelném na smluvní i mimosmluvní závazky. </w:t>
      </w:r>
      <w:r w:rsidRPr="00733055">
        <w:rPr>
          <w:rFonts w:ascii="Times New Roman" w:hAnsi="Times New Roman" w:cs="Times New Roman"/>
          <w:i/>
          <w:iCs/>
          <w:lang w:val="en-GB"/>
        </w:rPr>
        <w:t>Právník</w:t>
      </w:r>
      <w:r w:rsidRPr="00733055">
        <w:rPr>
          <w:rFonts w:ascii="Times New Roman" w:hAnsi="Times New Roman" w:cs="Times New Roman"/>
          <w:lang w:val="en-GB"/>
        </w:rPr>
        <w:t>, 1975, s. 891 - 899</w:t>
      </w:r>
    </w:p>
  </w:footnote>
  <w:footnote w:id="8">
    <w:p w:rsidR="00405F20" w:rsidRPr="00733055" w:rsidRDefault="00405F20" w:rsidP="00733055">
      <w:pPr>
        <w:pStyle w:val="Textpoznpodarou"/>
        <w:jc w:val="both"/>
        <w:rPr>
          <w:rFonts w:ascii="Times New Roman" w:hAnsi="Times New Roman" w:cs="Times New Roman"/>
          <w:lang w:val="en-US"/>
        </w:rPr>
      </w:pPr>
      <w:r w:rsidRPr="00733055">
        <w:rPr>
          <w:rStyle w:val="Znakapoznpodarou"/>
          <w:rFonts w:ascii="Times New Roman" w:hAnsi="Times New Roman" w:cs="Times New Roman"/>
        </w:rPr>
        <w:footnoteRef/>
      </w:r>
      <w:r w:rsidRPr="00733055">
        <w:rPr>
          <w:rFonts w:ascii="Times New Roman" w:hAnsi="Times New Roman" w:cs="Times New Roman"/>
        </w:rPr>
        <w:t xml:space="preserve"> </w:t>
      </w:r>
      <w:r w:rsidRPr="00733055">
        <w:rPr>
          <w:rFonts w:ascii="Times New Roman" w:hAnsi="Times New Roman" w:cs="Times New Roman"/>
          <w:lang w:val="en-US"/>
        </w:rPr>
        <w:t xml:space="preserve">See also </w:t>
      </w:r>
      <w:r w:rsidRPr="00733055">
        <w:rPr>
          <w:rStyle w:val="TextpoznpodarouChar"/>
          <w:rFonts w:ascii="Times New Roman" w:hAnsi="Times New Roman" w:cs="Times New Roman"/>
          <w:lang w:eastAsia="cs-CZ"/>
        </w:rPr>
        <w:t>BASEDOW, J. The communitarisation of the Conflict of Laws under the Treaty of Amsterdam. Common Market Law Review, 2000, č. 37, s.687 - 708.</w:t>
      </w:r>
      <w:r w:rsidRPr="00733055">
        <w:rPr>
          <w:rStyle w:val="TextpoznpodarouChar"/>
          <w:rFonts w:ascii="Times New Roman" w:hAnsi="Times New Roman" w:cs="Times New Roman"/>
        </w:rPr>
        <w:t xml:space="preserve">, </w:t>
      </w:r>
      <w:r w:rsidRPr="00733055">
        <w:rPr>
          <w:rStyle w:val="TextpoznpodarouChar"/>
          <w:rFonts w:ascii="Times New Roman" w:hAnsi="Times New Roman" w:cs="Times New Roman"/>
          <w:lang w:eastAsia="cs-CZ"/>
        </w:rPr>
        <w:t xml:space="preserve">HAMBURG GROUP FOR PRIVATE INTERNATIONAL LAW. Comments on the European Commission's Regulation on the Law Applicable to Non-Contractual Obligations. </w:t>
      </w:r>
      <w:r w:rsidRPr="00733055">
        <w:rPr>
          <w:rStyle w:val="TextpoznpodarouChar"/>
          <w:rFonts w:ascii="Times New Roman" w:hAnsi="Times New Roman" w:cs="Times New Roman"/>
          <w:i/>
          <w:lang w:eastAsia="cs-CZ"/>
        </w:rPr>
        <w:t>Rabels Zeitschrift für ausländisches und internationales Privatrecht</w:t>
      </w:r>
      <w:r w:rsidRPr="00733055">
        <w:rPr>
          <w:rStyle w:val="TextpoznpodarouChar"/>
          <w:rFonts w:ascii="Times New Roman" w:hAnsi="Times New Roman" w:cs="Times New Roman"/>
          <w:lang w:eastAsia="cs-CZ"/>
        </w:rPr>
        <w:t>, 2003, č. 67, s. 1 - 56. ISSN 0033-7250.</w:t>
      </w:r>
      <w:r w:rsidRPr="00733055">
        <w:rPr>
          <w:rStyle w:val="TextpoznpodarouChar"/>
          <w:rFonts w:ascii="Times New Roman" w:hAnsi="Times New Roman" w:cs="Times New Roman"/>
        </w:rPr>
        <w:t xml:space="preserve">, </w:t>
      </w:r>
      <w:r w:rsidRPr="00733055">
        <w:rPr>
          <w:rStyle w:val="TextpoznpodarouChar"/>
          <w:rFonts w:ascii="Times New Roman" w:hAnsi="Times New Roman" w:cs="Times New Roman"/>
          <w:lang w:eastAsia="cs-CZ"/>
        </w:rPr>
        <w:t>REMIEN, O. Community law versus conflict of laws. Common Market Law Review, 2001, č. 38, s. 53 - 86.</w:t>
      </w:r>
    </w:p>
  </w:footnote>
  <w:footnote w:id="9">
    <w:p w:rsidR="0076678C" w:rsidRPr="00733055" w:rsidRDefault="0076678C" w:rsidP="00733055">
      <w:pPr>
        <w:pStyle w:val="Textpoznpodarou"/>
        <w:jc w:val="both"/>
        <w:rPr>
          <w:rFonts w:ascii="Times New Roman" w:hAnsi="Times New Roman" w:cs="Times New Roman"/>
        </w:rPr>
      </w:pPr>
      <w:r w:rsidRPr="00733055">
        <w:rPr>
          <w:rStyle w:val="Znakapoznpodarou"/>
          <w:rFonts w:ascii="Times New Roman" w:hAnsi="Times New Roman" w:cs="Times New Roman"/>
        </w:rPr>
        <w:footnoteRef/>
      </w:r>
      <w:r w:rsidRPr="00733055">
        <w:rPr>
          <w:rFonts w:ascii="Times New Roman" w:hAnsi="Times New Roman" w:cs="Times New Roman"/>
        </w:rPr>
        <w:t xml:space="preserve"> For closer information see </w:t>
      </w:r>
      <w:r w:rsidRPr="00733055">
        <w:rPr>
          <w:rFonts w:ascii="Times New Roman" w:eastAsia="Calibri" w:hAnsi="Times New Roman" w:cs="Times New Roman"/>
        </w:rPr>
        <w:t xml:space="preserve">ROZEHNALOVÁ, N., TÝČ, V. </w:t>
      </w:r>
      <w:r w:rsidRPr="00733055">
        <w:rPr>
          <w:rFonts w:ascii="Times New Roman" w:eastAsia="Calibri" w:hAnsi="Times New Roman" w:cs="Times New Roman"/>
          <w:i/>
          <w:iCs/>
        </w:rPr>
        <w:t>Evropský justiční prostor (v civilních otázkách).</w:t>
      </w:r>
      <w:r w:rsidRPr="00733055">
        <w:rPr>
          <w:rFonts w:ascii="Times New Roman" w:eastAsia="Calibri" w:hAnsi="Times New Roman" w:cs="Times New Roman"/>
        </w:rPr>
        <w:t xml:space="preserve"> Brno : Masarykova univerzita v Brně, 2003. ISBN 80-210-305</w:t>
      </w:r>
      <w:r w:rsidRPr="00733055">
        <w:rPr>
          <w:rFonts w:ascii="Times New Roman" w:hAnsi="Times New Roman" w:cs="Times New Roman"/>
        </w:rPr>
        <w:t xml:space="preserve">4-2 or PAUKNEROVÁ, M. Evropské mezinárodní právo soukromé a procesní - aktuální otázky. </w:t>
      </w:r>
      <w:r w:rsidRPr="00733055">
        <w:rPr>
          <w:rFonts w:ascii="Times New Roman" w:hAnsi="Times New Roman" w:cs="Times New Roman"/>
          <w:i/>
          <w:iCs/>
        </w:rPr>
        <w:t>Evropské právo</w:t>
      </w:r>
      <w:r w:rsidRPr="00733055">
        <w:rPr>
          <w:rFonts w:ascii="Times New Roman" w:hAnsi="Times New Roman" w:cs="Times New Roman"/>
        </w:rPr>
        <w:t>, 2003, č. 8</w:t>
      </w:r>
    </w:p>
  </w:footnote>
  <w:footnote w:id="10">
    <w:p w:rsidR="00D9642F" w:rsidRPr="00733055" w:rsidRDefault="00D9642F" w:rsidP="00733055">
      <w:pPr>
        <w:pStyle w:val="Textpoznpodarou"/>
        <w:tabs>
          <w:tab w:val="left" w:pos="2731"/>
        </w:tabs>
        <w:jc w:val="both"/>
        <w:rPr>
          <w:rFonts w:ascii="Times New Roman" w:hAnsi="Times New Roman" w:cs="Times New Roman"/>
          <w:lang w:val="en-GB"/>
        </w:rPr>
      </w:pPr>
      <w:r w:rsidRPr="00733055">
        <w:rPr>
          <w:rStyle w:val="Znakapoznpodarou"/>
          <w:rFonts w:ascii="Times New Roman" w:hAnsi="Times New Roman" w:cs="Times New Roman"/>
          <w:lang w:val="en-GB"/>
        </w:rPr>
        <w:footnoteRef/>
      </w:r>
      <w:r w:rsidRPr="00733055">
        <w:rPr>
          <w:rFonts w:ascii="Times New Roman" w:hAnsi="Times New Roman" w:cs="Times New Roman"/>
          <w:lang w:val="en-GB"/>
        </w:rPr>
        <w:t xml:space="preserve"> FINAL  A6-0211/2005</w:t>
      </w:r>
      <w:r w:rsidRPr="00733055">
        <w:rPr>
          <w:rFonts w:ascii="Times New Roman" w:hAnsi="Times New Roman" w:cs="Times New Roman"/>
          <w:lang w:val="en-GB"/>
        </w:rPr>
        <w:tab/>
      </w:r>
    </w:p>
  </w:footnote>
  <w:footnote w:id="11">
    <w:p w:rsidR="00D9642F" w:rsidRPr="00733055" w:rsidRDefault="00D9642F" w:rsidP="00733055">
      <w:pPr>
        <w:pStyle w:val="Textpoznpodarou"/>
        <w:jc w:val="both"/>
        <w:rPr>
          <w:rFonts w:ascii="Times New Roman" w:hAnsi="Times New Roman" w:cs="Times New Roman"/>
          <w:lang w:val="en-GB"/>
        </w:rPr>
      </w:pPr>
      <w:r w:rsidRPr="00733055">
        <w:rPr>
          <w:rStyle w:val="Znakapoznpodarou"/>
          <w:rFonts w:ascii="Times New Roman" w:hAnsi="Times New Roman" w:cs="Times New Roman"/>
          <w:lang w:val="en-GB"/>
        </w:rPr>
        <w:footnoteRef/>
      </w:r>
      <w:r w:rsidRPr="00733055">
        <w:rPr>
          <w:rFonts w:ascii="Times New Roman" w:hAnsi="Times New Roman" w:cs="Times New Roman"/>
          <w:lang w:val="en-GB"/>
        </w:rPr>
        <w:t xml:space="preserve"> Wallis proposed to remove almost all of the special rules – will be mentioned infra.</w:t>
      </w:r>
    </w:p>
  </w:footnote>
  <w:footnote w:id="12">
    <w:p w:rsidR="002C2E1F" w:rsidRPr="00733055" w:rsidRDefault="002C2E1F" w:rsidP="00733055">
      <w:pPr>
        <w:pStyle w:val="Textpoznpodarou"/>
        <w:jc w:val="both"/>
        <w:rPr>
          <w:rFonts w:ascii="Times New Roman" w:hAnsi="Times New Roman" w:cs="Times New Roman"/>
          <w:lang w:val="en-GB"/>
        </w:rPr>
      </w:pPr>
      <w:r w:rsidRPr="00733055">
        <w:rPr>
          <w:rStyle w:val="Znakapoznpodarou"/>
          <w:rFonts w:ascii="Times New Roman" w:hAnsi="Times New Roman" w:cs="Times New Roman"/>
          <w:lang w:val="en-GB"/>
        </w:rPr>
        <w:footnoteRef/>
      </w:r>
      <w:r w:rsidRPr="00733055">
        <w:rPr>
          <w:rFonts w:ascii="Times New Roman" w:hAnsi="Times New Roman" w:cs="Times New Roman"/>
          <w:lang w:val="en-GB"/>
        </w:rPr>
        <w:t xml:space="preserve"> Excemtion is represented by Denmark (art. 1(4))</w:t>
      </w:r>
    </w:p>
  </w:footnote>
  <w:footnote w:id="13">
    <w:p w:rsidR="0076678C" w:rsidRPr="00733055" w:rsidRDefault="0076678C" w:rsidP="00733055">
      <w:pPr>
        <w:pStyle w:val="Textpoznpodarou"/>
        <w:jc w:val="both"/>
        <w:rPr>
          <w:rFonts w:ascii="Times New Roman" w:hAnsi="Times New Roman" w:cs="Times New Roman"/>
        </w:rPr>
      </w:pPr>
      <w:r w:rsidRPr="00733055">
        <w:rPr>
          <w:rStyle w:val="Znakapoznpodarou"/>
          <w:rFonts w:ascii="Times New Roman" w:hAnsi="Times New Roman" w:cs="Times New Roman"/>
        </w:rPr>
        <w:footnoteRef/>
      </w:r>
      <w:r w:rsidRPr="00733055">
        <w:rPr>
          <w:rFonts w:ascii="Times New Roman" w:hAnsi="Times New Roman" w:cs="Times New Roman"/>
        </w:rPr>
        <w:t xml:space="preserve"> See </w:t>
      </w:r>
      <w:r w:rsidRPr="00733055">
        <w:rPr>
          <w:rStyle w:val="TextpoznpodarouChar"/>
          <w:rFonts w:ascii="Times New Roman" w:hAnsi="Times New Roman" w:cs="Times New Roman"/>
          <w:lang w:eastAsia="cs-CZ"/>
        </w:rPr>
        <w:t>VALDHANS, J. Evropský justič</w:t>
      </w:r>
      <w:r w:rsidRPr="00733055">
        <w:rPr>
          <w:rStyle w:val="TextpoznpodarouChar"/>
          <w:rFonts w:ascii="Times New Roman" w:hAnsi="Times New Roman" w:cs="Times New Roman"/>
        </w:rPr>
        <w:t>ní prostor ve věcech civilních</w:t>
      </w:r>
      <w:r w:rsidRPr="00733055">
        <w:rPr>
          <w:rStyle w:val="TextpoznpodarouChar"/>
          <w:rFonts w:ascii="Times New Roman" w:hAnsi="Times New Roman" w:cs="Times New Roman"/>
          <w:lang w:eastAsia="cs-CZ"/>
        </w:rPr>
        <w:t xml:space="preserve">. Část XIII. Návrh nařízení o právu rozhodném pro mimosmluvní závazky. </w:t>
      </w:r>
      <w:r w:rsidRPr="00733055">
        <w:rPr>
          <w:rStyle w:val="TextpoznpodarouChar"/>
          <w:rFonts w:ascii="Times New Roman" w:hAnsi="Times New Roman" w:cs="Times New Roman"/>
          <w:i/>
          <w:lang w:eastAsia="cs-CZ"/>
        </w:rPr>
        <w:t>Právní fórum</w:t>
      </w:r>
      <w:r w:rsidRPr="00733055">
        <w:rPr>
          <w:rStyle w:val="TextpoznpodarouChar"/>
          <w:rFonts w:ascii="Times New Roman" w:hAnsi="Times New Roman" w:cs="Times New Roman"/>
          <w:lang w:eastAsia="cs-CZ"/>
        </w:rPr>
        <w:t xml:space="preserve">, 2006, č. </w:t>
      </w:r>
      <w:r w:rsidRPr="00733055">
        <w:rPr>
          <w:rStyle w:val="TextpoznpodarouChar"/>
          <w:rFonts w:ascii="Times New Roman" w:hAnsi="Times New Roman" w:cs="Times New Roman"/>
        </w:rPr>
        <w:t>2</w:t>
      </w:r>
      <w:r w:rsidRPr="00733055">
        <w:rPr>
          <w:rStyle w:val="TextpoznpodarouChar"/>
          <w:rFonts w:ascii="Times New Roman" w:hAnsi="Times New Roman" w:cs="Times New Roman"/>
          <w:lang w:eastAsia="cs-CZ"/>
        </w:rPr>
        <w:t>,</w:t>
      </w:r>
    </w:p>
  </w:footnote>
  <w:footnote w:id="14">
    <w:p w:rsidR="008355D8" w:rsidRPr="00733055" w:rsidRDefault="008355D8" w:rsidP="00733055">
      <w:pPr>
        <w:pStyle w:val="Textpoznpodarou"/>
        <w:jc w:val="both"/>
        <w:rPr>
          <w:rFonts w:ascii="Times New Roman" w:hAnsi="Times New Roman" w:cs="Times New Roman"/>
          <w:lang w:val="en-GB"/>
        </w:rPr>
      </w:pPr>
      <w:r w:rsidRPr="00733055">
        <w:rPr>
          <w:rStyle w:val="Znakapoznpodarou"/>
          <w:rFonts w:ascii="Times New Roman" w:hAnsi="Times New Roman" w:cs="Times New Roman"/>
          <w:lang w:val="en-GB"/>
        </w:rPr>
        <w:footnoteRef/>
      </w:r>
      <w:r w:rsidRPr="00733055">
        <w:rPr>
          <w:rFonts w:ascii="Times New Roman" w:hAnsi="Times New Roman" w:cs="Times New Roman"/>
          <w:lang w:val="en-GB"/>
        </w:rPr>
        <w:t xml:space="preserve"> Tort/delict of defamation reveals oneself as a very problematic provision. It used to be included in the draft but caused one of the largest protests and malevolence. On the Swedish proposal this tort/delict was after long discussions excluded because it seemed that this one provision alone is able to stop the reception procedure. </w:t>
      </w:r>
      <w:r w:rsidR="007942FD" w:rsidRPr="00733055">
        <w:rPr>
          <w:rFonts w:ascii="Times New Roman" w:hAnsi="Times New Roman" w:cs="Times New Roman"/>
          <w:lang w:val="en-GB"/>
        </w:rPr>
        <w:t>The largest task lay in finding of well-balanced position between the protection of freedom of speech and liberty of press in one hand and protection of privacy and personal rights (among others in face of media attacks) in the other hand.</w:t>
      </w:r>
    </w:p>
  </w:footnote>
  <w:footnote w:id="15">
    <w:p w:rsidR="007942FD" w:rsidRPr="00733055" w:rsidRDefault="007942FD" w:rsidP="00733055">
      <w:pPr>
        <w:pStyle w:val="Textpoznpodarou"/>
        <w:jc w:val="both"/>
        <w:rPr>
          <w:rFonts w:ascii="Times New Roman" w:hAnsi="Times New Roman" w:cs="Times New Roman"/>
        </w:rPr>
      </w:pPr>
      <w:r w:rsidRPr="00733055">
        <w:rPr>
          <w:rStyle w:val="Znakapoznpodarou"/>
          <w:rFonts w:ascii="Times New Roman" w:hAnsi="Times New Roman" w:cs="Times New Roman"/>
        </w:rPr>
        <w:footnoteRef/>
      </w:r>
      <w:r w:rsidRPr="00733055">
        <w:rPr>
          <w:rFonts w:ascii="Times New Roman" w:hAnsi="Times New Roman" w:cs="Times New Roman"/>
        </w:rPr>
        <w:t xml:space="preserve"> </w:t>
      </w:r>
      <w:r w:rsidRPr="00733055">
        <w:rPr>
          <w:rFonts w:ascii="Times New Roman" w:hAnsi="Times New Roman" w:cs="Times New Roman"/>
          <w:i/>
        </w:rPr>
        <w:t>Acta iure imperii</w:t>
      </w:r>
      <w:r w:rsidRPr="00733055">
        <w:rPr>
          <w:rFonts w:ascii="Times New Roman" w:hAnsi="Times New Roman" w:cs="Times New Roman"/>
        </w:rPr>
        <w:t xml:space="preserve"> were</w:t>
      </w:r>
      <w:r w:rsidRPr="00733055">
        <w:rPr>
          <w:rFonts w:ascii="Times New Roman" w:hAnsi="Times New Roman" w:cs="Times New Roman"/>
          <w:lang w:val="en-GB"/>
        </w:rPr>
        <w:t xml:space="preserve"> not mentioned in the primary Commission draft.</w:t>
      </w:r>
    </w:p>
  </w:footnote>
  <w:footnote w:id="16">
    <w:p w:rsidR="001C15B2" w:rsidRPr="00733055" w:rsidRDefault="001C15B2" w:rsidP="00733055">
      <w:pPr>
        <w:pStyle w:val="Textpoznpodarou"/>
        <w:jc w:val="both"/>
        <w:rPr>
          <w:rFonts w:ascii="Times New Roman" w:hAnsi="Times New Roman" w:cs="Times New Roman"/>
        </w:rPr>
      </w:pPr>
      <w:r w:rsidRPr="00733055">
        <w:rPr>
          <w:rStyle w:val="Znakapoznpodarou"/>
          <w:rFonts w:ascii="Times New Roman" w:hAnsi="Times New Roman" w:cs="Times New Roman"/>
        </w:rPr>
        <w:footnoteRef/>
      </w:r>
      <w:r w:rsidRPr="00733055">
        <w:rPr>
          <w:rFonts w:ascii="Times New Roman" w:hAnsi="Times New Roman" w:cs="Times New Roman"/>
        </w:rPr>
        <w:t xml:space="preserve"> </w:t>
      </w:r>
      <w:r w:rsidRPr="00733055">
        <w:rPr>
          <w:rFonts w:ascii="Times New Roman" w:eastAsia="EUAlbertina-Regular-Identity-H" w:hAnsi="Times New Roman" w:cs="Times New Roman"/>
          <w:lang w:val="en-GB"/>
        </w:rPr>
        <w:t>Analogous to Rome I the Regulation tries to protect the position of a weaker party – employee or consumer.</w:t>
      </w:r>
    </w:p>
  </w:footnote>
  <w:footnote w:id="17">
    <w:p w:rsidR="00240440" w:rsidRPr="00733055" w:rsidRDefault="00240440" w:rsidP="00733055">
      <w:pPr>
        <w:pStyle w:val="Textpoznpodarou"/>
        <w:jc w:val="both"/>
        <w:rPr>
          <w:rFonts w:ascii="Times New Roman" w:hAnsi="Times New Roman" w:cs="Times New Roman"/>
        </w:rPr>
      </w:pPr>
      <w:r w:rsidRPr="00733055">
        <w:rPr>
          <w:rStyle w:val="Znakapoznpodarou"/>
          <w:rFonts w:ascii="Times New Roman" w:hAnsi="Times New Roman" w:cs="Times New Roman"/>
        </w:rPr>
        <w:footnoteRef/>
      </w:r>
      <w:r w:rsidRPr="00733055">
        <w:rPr>
          <w:rFonts w:ascii="Times New Roman" w:hAnsi="Times New Roman" w:cs="Times New Roman"/>
        </w:rPr>
        <w:t xml:space="preserve"> KRÁL, R. Ke kolizní úpravě občanskoprávní mimosmluvní odpovědnosti. </w:t>
      </w:r>
      <w:r w:rsidRPr="00733055">
        <w:rPr>
          <w:rFonts w:ascii="Times New Roman" w:hAnsi="Times New Roman" w:cs="Times New Roman"/>
          <w:i/>
        </w:rPr>
        <w:t>Právník</w:t>
      </w:r>
      <w:r w:rsidRPr="00733055">
        <w:rPr>
          <w:rFonts w:ascii="Times New Roman" w:hAnsi="Times New Roman" w:cs="Times New Roman"/>
        </w:rPr>
        <w:t>, 1989, č. 8, s. 687 – 695.</w:t>
      </w:r>
    </w:p>
  </w:footnote>
  <w:footnote w:id="18">
    <w:p w:rsidR="00AD3D3E" w:rsidRPr="00733055" w:rsidRDefault="00AD3D3E" w:rsidP="00733055">
      <w:pPr>
        <w:pStyle w:val="Textpoznpodarou"/>
        <w:jc w:val="both"/>
        <w:rPr>
          <w:rFonts w:ascii="Times New Roman" w:hAnsi="Times New Roman" w:cs="Times New Roman"/>
        </w:rPr>
      </w:pPr>
      <w:r w:rsidRPr="00733055">
        <w:rPr>
          <w:rStyle w:val="Znakapoznpodarou"/>
          <w:rFonts w:ascii="Times New Roman" w:hAnsi="Times New Roman" w:cs="Times New Roman"/>
        </w:rPr>
        <w:footnoteRef/>
      </w:r>
      <w:r w:rsidRPr="00733055">
        <w:rPr>
          <w:rFonts w:ascii="Times New Roman" w:hAnsi="Times New Roman" w:cs="Times New Roman"/>
        </w:rPr>
        <w:t xml:space="preserve"> </w:t>
      </w:r>
      <w:r w:rsidRPr="00733055">
        <w:rPr>
          <w:rFonts w:ascii="Times New Roman" w:hAnsi="Times New Roman" w:cs="Times New Roman"/>
          <w:lang w:val="en-GB"/>
        </w:rPr>
        <w:t>Due to the same terms used both in Rome II and Brussels I it is possible to use the preliminary case sof ESD as C-364/93 Marinari or C-168/02 Kronhofer.</w:t>
      </w:r>
    </w:p>
  </w:footnote>
  <w:footnote w:id="19">
    <w:p w:rsidR="0076678C" w:rsidRPr="00733055" w:rsidRDefault="0076678C" w:rsidP="00733055">
      <w:pPr>
        <w:pStyle w:val="Textpoznpodarou"/>
        <w:jc w:val="both"/>
        <w:rPr>
          <w:rFonts w:ascii="Times New Roman" w:hAnsi="Times New Roman" w:cs="Times New Roman"/>
        </w:rPr>
      </w:pPr>
      <w:r w:rsidRPr="00733055">
        <w:rPr>
          <w:rStyle w:val="Znakapoznpodarou"/>
          <w:rFonts w:ascii="Times New Roman" w:hAnsi="Times New Roman" w:cs="Times New Roman"/>
        </w:rPr>
        <w:footnoteRef/>
      </w:r>
      <w:r w:rsidRPr="00733055">
        <w:rPr>
          <w:rFonts w:ascii="Times New Roman" w:hAnsi="Times New Roman" w:cs="Times New Roman"/>
        </w:rPr>
        <w:t xml:space="preserve"> For closer information see </w:t>
      </w:r>
      <w:r w:rsidRPr="00733055">
        <w:rPr>
          <w:rStyle w:val="TextpoznpodarouChar"/>
          <w:rFonts w:ascii="Times New Roman" w:hAnsi="Times New Roman" w:cs="Times New Roman"/>
          <w:lang w:eastAsia="cs-CZ"/>
        </w:rPr>
        <w:t>VALDHANS, J. Evropský justič</w:t>
      </w:r>
      <w:r w:rsidRPr="00733055">
        <w:rPr>
          <w:rStyle w:val="TextpoznpodarouChar"/>
          <w:rFonts w:ascii="Times New Roman" w:hAnsi="Times New Roman" w:cs="Times New Roman"/>
        </w:rPr>
        <w:t>ní prostor ve věcech civilních</w:t>
      </w:r>
      <w:r w:rsidRPr="00733055">
        <w:rPr>
          <w:rStyle w:val="TextpoznpodarouChar"/>
          <w:rFonts w:ascii="Times New Roman" w:hAnsi="Times New Roman" w:cs="Times New Roman"/>
          <w:lang w:eastAsia="cs-CZ"/>
        </w:rPr>
        <w:t xml:space="preserve">. Část XIII. Návrh nařízení o právu rozhodném pro mimosmluvní závazky. </w:t>
      </w:r>
      <w:r w:rsidRPr="00733055">
        <w:rPr>
          <w:rStyle w:val="TextpoznpodarouChar"/>
          <w:rFonts w:ascii="Times New Roman" w:hAnsi="Times New Roman" w:cs="Times New Roman"/>
          <w:i/>
          <w:lang w:eastAsia="cs-CZ"/>
        </w:rPr>
        <w:t>Právní fórum</w:t>
      </w:r>
      <w:r w:rsidRPr="00733055">
        <w:rPr>
          <w:rStyle w:val="TextpoznpodarouChar"/>
          <w:rFonts w:ascii="Times New Roman" w:hAnsi="Times New Roman" w:cs="Times New Roman"/>
          <w:lang w:eastAsia="cs-CZ"/>
        </w:rPr>
        <w:t xml:space="preserve">, 2006, č. </w:t>
      </w:r>
      <w:r w:rsidRPr="00733055">
        <w:rPr>
          <w:rStyle w:val="TextpoznpodarouChar"/>
          <w:rFonts w:ascii="Times New Roman" w:hAnsi="Times New Roman" w:cs="Times New Roman"/>
        </w:rPr>
        <w:t>2</w:t>
      </w:r>
      <w:r w:rsidRPr="00733055">
        <w:rPr>
          <w:rStyle w:val="TextpoznpodarouChar"/>
          <w:rFonts w:ascii="Times New Roman" w:hAnsi="Times New Roman" w:cs="Times New Roman"/>
          <w:lang w:eastAsia="cs-CZ"/>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76A3E"/>
    <w:multiLevelType w:val="hybridMultilevel"/>
    <w:tmpl w:val="22FEC42E"/>
    <w:lvl w:ilvl="0" w:tplc="8B1E92BC">
      <w:start w:val="1"/>
      <w:numFmt w:val="lowerLetter"/>
      <w:lvlText w:val="%1)"/>
      <w:lvlJc w:val="left"/>
      <w:pPr>
        <w:ind w:left="1774" w:hanging="360"/>
      </w:pPr>
      <w:rPr>
        <w:rFonts w:hint="default"/>
      </w:rPr>
    </w:lvl>
    <w:lvl w:ilvl="1" w:tplc="04050019" w:tentative="1">
      <w:start w:val="1"/>
      <w:numFmt w:val="lowerLetter"/>
      <w:lvlText w:val="%2."/>
      <w:lvlJc w:val="left"/>
      <w:pPr>
        <w:ind w:left="2146" w:hanging="360"/>
      </w:pPr>
    </w:lvl>
    <w:lvl w:ilvl="2" w:tplc="0405001B" w:tentative="1">
      <w:start w:val="1"/>
      <w:numFmt w:val="lowerRoman"/>
      <w:lvlText w:val="%3."/>
      <w:lvlJc w:val="right"/>
      <w:pPr>
        <w:ind w:left="2866" w:hanging="180"/>
      </w:pPr>
    </w:lvl>
    <w:lvl w:ilvl="3" w:tplc="0405000F" w:tentative="1">
      <w:start w:val="1"/>
      <w:numFmt w:val="decimal"/>
      <w:lvlText w:val="%4."/>
      <w:lvlJc w:val="left"/>
      <w:pPr>
        <w:ind w:left="3586" w:hanging="360"/>
      </w:pPr>
    </w:lvl>
    <w:lvl w:ilvl="4" w:tplc="04050019" w:tentative="1">
      <w:start w:val="1"/>
      <w:numFmt w:val="lowerLetter"/>
      <w:lvlText w:val="%5."/>
      <w:lvlJc w:val="left"/>
      <w:pPr>
        <w:ind w:left="4306" w:hanging="360"/>
      </w:pPr>
    </w:lvl>
    <w:lvl w:ilvl="5" w:tplc="0405001B" w:tentative="1">
      <w:start w:val="1"/>
      <w:numFmt w:val="lowerRoman"/>
      <w:lvlText w:val="%6."/>
      <w:lvlJc w:val="right"/>
      <w:pPr>
        <w:ind w:left="5026" w:hanging="180"/>
      </w:pPr>
    </w:lvl>
    <w:lvl w:ilvl="6" w:tplc="0405000F" w:tentative="1">
      <w:start w:val="1"/>
      <w:numFmt w:val="decimal"/>
      <w:lvlText w:val="%7."/>
      <w:lvlJc w:val="left"/>
      <w:pPr>
        <w:ind w:left="5746" w:hanging="360"/>
      </w:pPr>
    </w:lvl>
    <w:lvl w:ilvl="7" w:tplc="04050019" w:tentative="1">
      <w:start w:val="1"/>
      <w:numFmt w:val="lowerLetter"/>
      <w:lvlText w:val="%8."/>
      <w:lvlJc w:val="left"/>
      <w:pPr>
        <w:ind w:left="6466" w:hanging="360"/>
      </w:pPr>
    </w:lvl>
    <w:lvl w:ilvl="8" w:tplc="0405001B" w:tentative="1">
      <w:start w:val="1"/>
      <w:numFmt w:val="lowerRoman"/>
      <w:lvlText w:val="%9."/>
      <w:lvlJc w:val="right"/>
      <w:pPr>
        <w:ind w:left="7186" w:hanging="180"/>
      </w:pPr>
    </w:lvl>
  </w:abstractNum>
  <w:abstractNum w:abstractNumId="1">
    <w:nsid w:val="14D30F32"/>
    <w:multiLevelType w:val="hybridMultilevel"/>
    <w:tmpl w:val="010ECF20"/>
    <w:lvl w:ilvl="0" w:tplc="7C6002F4">
      <w:start w:val="1"/>
      <w:numFmt w:val="decimal"/>
      <w:lvlText w:val="[%1]"/>
      <w:lvlJc w:val="left"/>
      <w:pPr>
        <w:ind w:left="106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4FF3607"/>
    <w:multiLevelType w:val="hybridMultilevel"/>
    <w:tmpl w:val="9A005B54"/>
    <w:lvl w:ilvl="0" w:tplc="8B1E92B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2659509A"/>
    <w:multiLevelType w:val="hybridMultilevel"/>
    <w:tmpl w:val="329A9DDC"/>
    <w:lvl w:ilvl="0" w:tplc="CDC0CD3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428C3EF1"/>
    <w:multiLevelType w:val="hybridMultilevel"/>
    <w:tmpl w:val="6E7AE232"/>
    <w:lvl w:ilvl="0" w:tplc="7908BD3E">
      <w:start w:val="4"/>
      <w:numFmt w:val="bullet"/>
      <w:lvlText w:val="-"/>
      <w:lvlJc w:val="left"/>
      <w:pPr>
        <w:ind w:left="1068" w:hanging="360"/>
      </w:pPr>
      <w:rPr>
        <w:rFonts w:ascii="Times New Roman" w:eastAsia="EUAlbertina-Regular-Identity-H"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nsid w:val="4B036CBD"/>
    <w:multiLevelType w:val="hybridMultilevel"/>
    <w:tmpl w:val="BD48F028"/>
    <w:lvl w:ilvl="0" w:tplc="B00C6BD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50D54853"/>
    <w:multiLevelType w:val="hybridMultilevel"/>
    <w:tmpl w:val="9D623A7E"/>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nsid w:val="63DB25D5"/>
    <w:multiLevelType w:val="hybridMultilevel"/>
    <w:tmpl w:val="31B077E0"/>
    <w:lvl w:ilvl="0" w:tplc="6CCE90B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7E95716F"/>
    <w:multiLevelType w:val="hybridMultilevel"/>
    <w:tmpl w:val="EBDCF65A"/>
    <w:lvl w:ilvl="0" w:tplc="8B1E92BC">
      <w:start w:val="1"/>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7"/>
  </w:num>
  <w:num w:numId="5">
    <w:abstractNumId w:val="2"/>
  </w:num>
  <w:num w:numId="6">
    <w:abstractNumId w:val="0"/>
  </w:num>
  <w:num w:numId="7">
    <w:abstractNumId w:val="8"/>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3245E"/>
    <w:rsid w:val="00023107"/>
    <w:rsid w:val="000465F2"/>
    <w:rsid w:val="000541A5"/>
    <w:rsid w:val="001118B5"/>
    <w:rsid w:val="00150D00"/>
    <w:rsid w:val="001534E6"/>
    <w:rsid w:val="00164973"/>
    <w:rsid w:val="00187155"/>
    <w:rsid w:val="001B577C"/>
    <w:rsid w:val="001C15B2"/>
    <w:rsid w:val="0020315F"/>
    <w:rsid w:val="00235D94"/>
    <w:rsid w:val="00240440"/>
    <w:rsid w:val="00240A93"/>
    <w:rsid w:val="002472BF"/>
    <w:rsid w:val="002547E3"/>
    <w:rsid w:val="002A0467"/>
    <w:rsid w:val="002A39DC"/>
    <w:rsid w:val="002C2E1F"/>
    <w:rsid w:val="002C3E0A"/>
    <w:rsid w:val="00341376"/>
    <w:rsid w:val="0035244F"/>
    <w:rsid w:val="00360774"/>
    <w:rsid w:val="003637CE"/>
    <w:rsid w:val="003F5129"/>
    <w:rsid w:val="00403A12"/>
    <w:rsid w:val="00405F20"/>
    <w:rsid w:val="004672F0"/>
    <w:rsid w:val="004706C1"/>
    <w:rsid w:val="00472DF5"/>
    <w:rsid w:val="00490F5B"/>
    <w:rsid w:val="004E5037"/>
    <w:rsid w:val="005915A0"/>
    <w:rsid w:val="005A1ACF"/>
    <w:rsid w:val="00600D57"/>
    <w:rsid w:val="00611E0D"/>
    <w:rsid w:val="00651A4B"/>
    <w:rsid w:val="00656A54"/>
    <w:rsid w:val="006A10BD"/>
    <w:rsid w:val="006D5DD3"/>
    <w:rsid w:val="00705A9E"/>
    <w:rsid w:val="0070739C"/>
    <w:rsid w:val="00721E79"/>
    <w:rsid w:val="00733055"/>
    <w:rsid w:val="00734B44"/>
    <w:rsid w:val="007400E6"/>
    <w:rsid w:val="0076678C"/>
    <w:rsid w:val="00785440"/>
    <w:rsid w:val="00793622"/>
    <w:rsid w:val="007942FD"/>
    <w:rsid w:val="007A215C"/>
    <w:rsid w:val="008355D8"/>
    <w:rsid w:val="00847F7D"/>
    <w:rsid w:val="00856086"/>
    <w:rsid w:val="00882B2C"/>
    <w:rsid w:val="008953A3"/>
    <w:rsid w:val="00897D27"/>
    <w:rsid w:val="008E4168"/>
    <w:rsid w:val="0093245E"/>
    <w:rsid w:val="00935E6D"/>
    <w:rsid w:val="009A29CC"/>
    <w:rsid w:val="00A02B04"/>
    <w:rsid w:val="00A07568"/>
    <w:rsid w:val="00A12121"/>
    <w:rsid w:val="00A27068"/>
    <w:rsid w:val="00A271BD"/>
    <w:rsid w:val="00A460C2"/>
    <w:rsid w:val="00A91F98"/>
    <w:rsid w:val="00A95789"/>
    <w:rsid w:val="00AC642D"/>
    <w:rsid w:val="00AD3D3E"/>
    <w:rsid w:val="00B1677C"/>
    <w:rsid w:val="00B43055"/>
    <w:rsid w:val="00BA6378"/>
    <w:rsid w:val="00BB4029"/>
    <w:rsid w:val="00BD57F1"/>
    <w:rsid w:val="00BE1E24"/>
    <w:rsid w:val="00BE2CFB"/>
    <w:rsid w:val="00C10CB1"/>
    <w:rsid w:val="00CC21DD"/>
    <w:rsid w:val="00CF5643"/>
    <w:rsid w:val="00D05B63"/>
    <w:rsid w:val="00D0776F"/>
    <w:rsid w:val="00D22013"/>
    <w:rsid w:val="00D9642F"/>
    <w:rsid w:val="00DA275A"/>
    <w:rsid w:val="00DC049F"/>
    <w:rsid w:val="00DC22F1"/>
    <w:rsid w:val="00DC2749"/>
    <w:rsid w:val="00DD53FF"/>
    <w:rsid w:val="00DE7E31"/>
    <w:rsid w:val="00E15840"/>
    <w:rsid w:val="00E97783"/>
    <w:rsid w:val="00E97950"/>
    <w:rsid w:val="00F009E9"/>
    <w:rsid w:val="00F2208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637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3245E"/>
    <w:pPr>
      <w:spacing w:after="0" w:line="240" w:lineRule="auto"/>
    </w:pPr>
  </w:style>
  <w:style w:type="paragraph" w:styleId="Textpoznpodarou">
    <w:name w:val="footnote text"/>
    <w:aliases w:val="Rigo poznámka"/>
    <w:basedOn w:val="Normln"/>
    <w:link w:val="TextpoznpodarouChar"/>
    <w:uiPriority w:val="99"/>
    <w:unhideWhenUsed/>
    <w:qFormat/>
    <w:rsid w:val="00651A4B"/>
    <w:pPr>
      <w:spacing w:after="0" w:line="240" w:lineRule="auto"/>
    </w:pPr>
    <w:rPr>
      <w:sz w:val="20"/>
      <w:szCs w:val="20"/>
    </w:rPr>
  </w:style>
  <w:style w:type="character" w:customStyle="1" w:styleId="TextpoznpodarouChar">
    <w:name w:val="Text pozn. pod čarou Char"/>
    <w:aliases w:val="Rigo poznámka Char"/>
    <w:basedOn w:val="Standardnpsmoodstavce"/>
    <w:link w:val="Textpoznpodarou"/>
    <w:uiPriority w:val="99"/>
    <w:rsid w:val="00651A4B"/>
    <w:rPr>
      <w:sz w:val="20"/>
      <w:szCs w:val="20"/>
    </w:rPr>
  </w:style>
  <w:style w:type="character" w:styleId="Znakapoznpodarou">
    <w:name w:val="footnote reference"/>
    <w:basedOn w:val="Standardnpsmoodstavce"/>
    <w:uiPriority w:val="99"/>
    <w:semiHidden/>
    <w:unhideWhenUsed/>
    <w:rsid w:val="00651A4B"/>
    <w:rPr>
      <w:vertAlign w:val="superscript"/>
    </w:rPr>
  </w:style>
  <w:style w:type="paragraph" w:styleId="Odstavecseseznamem">
    <w:name w:val="List Paragraph"/>
    <w:basedOn w:val="Normln"/>
    <w:uiPriority w:val="34"/>
    <w:qFormat/>
    <w:rsid w:val="00882B2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630AC-36ED-42EB-8A24-4F35CD4D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2530</TotalTime>
  <Pages>9</Pages>
  <Words>2593</Words>
  <Characters>15299</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j</cp:lastModifiedBy>
  <cp:revision>21</cp:revision>
  <dcterms:created xsi:type="dcterms:W3CDTF">2008-06-14T09:07:00Z</dcterms:created>
  <dcterms:modified xsi:type="dcterms:W3CDTF">2008-06-18T07:39:00Z</dcterms:modified>
</cp:coreProperties>
</file>