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9B" w:rsidRDefault="004D619B" w:rsidP="00C4165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Právnick</w:t>
      </w:r>
      <w:r w:rsidR="00C41654">
        <w:rPr>
          <w:rFonts w:ascii="Times New Roman" w:hAnsi="Times New Roman" w:cs="Times New Roman"/>
          <w:b/>
          <w:sz w:val="24"/>
          <w:szCs w:val="24"/>
          <w:lang w:val="cs-CZ"/>
        </w:rPr>
        <w:t>á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fakulta Masarykovy univerzity</w:t>
      </w:r>
    </w:p>
    <w:p w:rsidR="004D619B" w:rsidRDefault="004D619B" w:rsidP="004D619B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Katedra právní teorie</w:t>
      </w:r>
    </w:p>
    <w:p w:rsidR="004D619B" w:rsidRDefault="004D619B" w:rsidP="004D619B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4D619B" w:rsidRDefault="004D619B" w:rsidP="004D619B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Kritická právní teorie</w:t>
      </w:r>
    </w:p>
    <w:p w:rsidR="004D619B" w:rsidRDefault="004D619B" w:rsidP="004D619B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jaro 2011</w:t>
      </w:r>
    </w:p>
    <w:p w:rsidR="004D619B" w:rsidRDefault="004D619B" w:rsidP="004D619B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4D619B" w:rsidRDefault="004D619B" w:rsidP="004D619B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4D619B" w:rsidRDefault="004D619B" w:rsidP="004D619B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4D619B" w:rsidRPr="004D619B" w:rsidRDefault="004D619B" w:rsidP="004D619B">
      <w:pPr>
        <w:pStyle w:val="Bezmezer"/>
        <w:jc w:val="center"/>
        <w:rPr>
          <w:rFonts w:ascii="Times New Roman" w:hAnsi="Times New Roman" w:cs="Times New Roman"/>
          <w:sz w:val="36"/>
          <w:szCs w:val="36"/>
          <w:lang w:val="cs-CZ"/>
        </w:rPr>
      </w:pPr>
      <w:r>
        <w:rPr>
          <w:rFonts w:ascii="Times New Roman" w:hAnsi="Times New Roman" w:cs="Times New Roman"/>
          <w:sz w:val="36"/>
          <w:szCs w:val="36"/>
          <w:lang w:val="cs-CZ"/>
        </w:rPr>
        <w:t>Komentář k soudnímu rozhodnutí NSS o rozpuštění Dělnické strany</w:t>
      </w:r>
    </w:p>
    <w:p w:rsidR="004D619B" w:rsidRPr="00C41654" w:rsidRDefault="004D619B" w:rsidP="004D619B">
      <w:pPr>
        <w:pStyle w:val="Bezmezer"/>
        <w:jc w:val="center"/>
        <w:rPr>
          <w:lang w:val="cs-CZ"/>
        </w:rPr>
      </w:pPr>
    </w:p>
    <w:p w:rsidR="004D619B" w:rsidRPr="00C41654" w:rsidRDefault="004D619B" w:rsidP="004D619B">
      <w:pPr>
        <w:pStyle w:val="Bezmezer"/>
        <w:jc w:val="center"/>
        <w:rPr>
          <w:rFonts w:ascii="Times New Roman" w:hAnsi="Times New Roman" w:cs="Times New Roman"/>
          <w:lang w:val="cs-CZ"/>
        </w:rPr>
      </w:pPr>
      <w:proofErr w:type="spellStart"/>
      <w:r w:rsidRPr="00C41654">
        <w:rPr>
          <w:rFonts w:ascii="Times New Roman" w:hAnsi="Times New Roman" w:cs="Times New Roman"/>
          <w:b/>
          <w:sz w:val="28"/>
          <w:szCs w:val="28"/>
          <w:lang w:val="cs-CZ"/>
        </w:rPr>
        <w:t>Pst</w:t>
      </w:r>
      <w:proofErr w:type="spellEnd"/>
      <w:r w:rsidRPr="00C41654">
        <w:rPr>
          <w:rFonts w:ascii="Times New Roman" w:hAnsi="Times New Roman" w:cs="Times New Roman"/>
          <w:b/>
          <w:sz w:val="28"/>
          <w:szCs w:val="28"/>
          <w:lang w:val="cs-CZ"/>
        </w:rPr>
        <w:t xml:space="preserve"> 1/2008 – 67</w:t>
      </w:r>
      <w:r w:rsidRPr="00C41654">
        <w:rPr>
          <w:rFonts w:ascii="Times New Roman" w:hAnsi="Times New Roman" w:cs="Times New Roman"/>
          <w:lang w:val="cs-CZ"/>
        </w:rPr>
        <w:t xml:space="preserve"> </w:t>
      </w:r>
      <w:r w:rsidRPr="00C41654">
        <w:rPr>
          <w:rFonts w:ascii="Times New Roman" w:hAnsi="Times New Roman" w:cs="Times New Roman"/>
          <w:sz w:val="28"/>
          <w:szCs w:val="28"/>
          <w:lang w:val="cs-CZ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cs-CZ"/>
        </w:rPr>
        <w:t>Pst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1/2009</w:t>
      </w:r>
      <w:r w:rsidRPr="004D619B">
        <w:rPr>
          <w:rFonts w:ascii="Times New Roman" w:hAnsi="Times New Roman" w:cs="Times New Roman"/>
          <w:b/>
          <w:sz w:val="28"/>
          <w:szCs w:val="28"/>
          <w:lang w:val="cs-C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348</w:t>
      </w:r>
    </w:p>
    <w:p w:rsidR="004D619B" w:rsidRDefault="004D619B" w:rsidP="004D619B">
      <w:pPr>
        <w:pStyle w:val="Nadpis2"/>
        <w:jc w:val="center"/>
        <w:rPr>
          <w:b/>
          <w:lang w:val="cs-CZ"/>
        </w:rPr>
      </w:pPr>
    </w:p>
    <w:p w:rsidR="004D619B" w:rsidRDefault="004D619B" w:rsidP="003E4B1C">
      <w:pPr>
        <w:pStyle w:val="Nadpis2"/>
        <w:rPr>
          <w:b/>
          <w:lang w:val="cs-CZ"/>
        </w:rPr>
      </w:pPr>
    </w:p>
    <w:p w:rsidR="00F7461D" w:rsidRPr="003E4B1C" w:rsidRDefault="003E4B1C" w:rsidP="003E4B1C">
      <w:pPr>
        <w:pStyle w:val="Nadpis2"/>
        <w:rPr>
          <w:b/>
          <w:lang w:val="cs-CZ"/>
        </w:rPr>
      </w:pPr>
      <w:r w:rsidRPr="003E4B1C">
        <w:rPr>
          <w:b/>
          <w:lang w:val="cs-CZ"/>
        </w:rPr>
        <w:t>Ú</w:t>
      </w:r>
      <w:r w:rsidR="00F7461D" w:rsidRPr="003E4B1C">
        <w:rPr>
          <w:b/>
          <w:lang w:val="cs-CZ"/>
        </w:rPr>
        <w:t>vod</w:t>
      </w:r>
    </w:p>
    <w:p w:rsidR="00B722AC" w:rsidRPr="00731DA5" w:rsidRDefault="00731DA5" w:rsidP="00B722A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tomto komentáři se budu zabývat soudními rozhodnutím</w:t>
      </w:r>
      <w:r w:rsidR="00FB5134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Nejvyššího správního soudu</w:t>
      </w:r>
      <w:r w:rsidR="00B87652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to rozsudky 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Dělnická strana 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Dělnická strana II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Prvně krátce nastíním skutkový </w:t>
      </w:r>
      <w:r w:rsidR="00B87652">
        <w:rPr>
          <w:rFonts w:ascii="Times New Roman" w:hAnsi="Times New Roman" w:cs="Times New Roman"/>
          <w:sz w:val="24"/>
          <w:szCs w:val="24"/>
          <w:lang w:val="cs-CZ"/>
        </w:rPr>
        <w:t xml:space="preserve">stav </w:t>
      </w:r>
      <w:r>
        <w:rPr>
          <w:rFonts w:ascii="Times New Roman" w:hAnsi="Times New Roman" w:cs="Times New Roman"/>
          <w:sz w:val="24"/>
          <w:szCs w:val="24"/>
          <w:lang w:val="cs-CZ"/>
        </w:rPr>
        <w:t>předcházející rozpuštění Dělnické strany a potom se za</w:t>
      </w:r>
      <w:r w:rsidR="00FB5134">
        <w:rPr>
          <w:rFonts w:ascii="Times New Roman" w:hAnsi="Times New Roman" w:cs="Times New Roman"/>
          <w:sz w:val="24"/>
          <w:szCs w:val="24"/>
          <w:lang w:val="cs-CZ"/>
        </w:rPr>
        <w:t>měřím na jednotlivé argumenty a </w:t>
      </w:r>
      <w:r>
        <w:rPr>
          <w:rFonts w:ascii="Times New Roman" w:hAnsi="Times New Roman" w:cs="Times New Roman"/>
          <w:sz w:val="24"/>
          <w:szCs w:val="24"/>
          <w:lang w:val="cs-CZ"/>
        </w:rPr>
        <w:t>argumentační postupy soudu v obou řízeních. Nakonec se pokusím zaměřit velmi konkrétně na argumentaci NSS při vypořádání se s překážkou věci rozsouzené, kde bych chtěl s argumenty soudu lehce polemizovat. V poslední kap</w:t>
      </w:r>
      <w:r w:rsidR="004D4EA7">
        <w:rPr>
          <w:rFonts w:ascii="Times New Roman" w:hAnsi="Times New Roman" w:cs="Times New Roman"/>
          <w:sz w:val="24"/>
          <w:szCs w:val="24"/>
          <w:lang w:val="cs-CZ"/>
        </w:rPr>
        <w:t>itol</w:t>
      </w:r>
      <w:r w:rsidR="00FB5134">
        <w:rPr>
          <w:rFonts w:ascii="Times New Roman" w:hAnsi="Times New Roman" w:cs="Times New Roman"/>
          <w:sz w:val="24"/>
          <w:szCs w:val="24"/>
          <w:lang w:val="cs-CZ"/>
        </w:rPr>
        <w:t>e už jen shrnu obě kauzy a </w:t>
      </w:r>
      <w:r>
        <w:rPr>
          <w:rFonts w:ascii="Times New Roman" w:hAnsi="Times New Roman" w:cs="Times New Roman"/>
          <w:sz w:val="24"/>
          <w:szCs w:val="24"/>
          <w:lang w:val="cs-CZ"/>
        </w:rPr>
        <w:t>vyjádřím svůj vlastní názor na věc.</w:t>
      </w:r>
    </w:p>
    <w:p w:rsidR="00B722AC" w:rsidRPr="00B722AC" w:rsidRDefault="00B722AC" w:rsidP="00B722AC">
      <w:pPr>
        <w:rPr>
          <w:lang w:val="cs-CZ"/>
        </w:rPr>
      </w:pPr>
    </w:p>
    <w:p w:rsidR="00F85917" w:rsidRPr="003E4B1C" w:rsidRDefault="00F85917" w:rsidP="00F85917">
      <w:pPr>
        <w:pStyle w:val="Nadpis2"/>
        <w:rPr>
          <w:b/>
          <w:lang w:val="cs-CZ"/>
        </w:rPr>
      </w:pPr>
      <w:r w:rsidRPr="003E4B1C">
        <w:rPr>
          <w:b/>
          <w:lang w:val="cs-CZ"/>
        </w:rPr>
        <w:t>Shrnutí skutkového stavu</w:t>
      </w:r>
    </w:p>
    <w:p w:rsidR="00150F0C" w:rsidRPr="0052542D" w:rsidRDefault="00503E6A" w:rsidP="009C350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/>
        </w:rPr>
        <w:t>Vláda České republiky podala 5. 12. 2008 u Nejvyššího správního soudu návrh na rozpuštění politické strany Dělnická strana. Učinila tak podle u</w:t>
      </w:r>
      <w:r w:rsidR="00FB5134">
        <w:rPr>
          <w:rFonts w:ascii="Times New Roman" w:hAnsi="Times New Roman" w:cs="Times New Roman"/>
          <w:sz w:val="24"/>
          <w:szCs w:val="24"/>
          <w:lang w:val="cs-CZ"/>
        </w:rPr>
        <w:t>stanovení § 15 odst. 1 zákona o 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>sdružování v politických stranách a v politických hnutích.</w:t>
      </w:r>
    </w:p>
    <w:p w:rsidR="00503E6A" w:rsidRPr="0052542D" w:rsidRDefault="00503E6A" w:rsidP="009C350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Tato politická strana vznikla </w:t>
      </w:r>
      <w:r w:rsidR="00947A17" w:rsidRPr="00947A17">
        <w:rPr>
          <w:rFonts w:ascii="Times New Roman" w:hAnsi="Times New Roman" w:cs="Times New Roman"/>
          <w:sz w:val="24"/>
          <w:szCs w:val="24"/>
          <w:lang w:val="cs-CZ"/>
        </w:rPr>
        <w:t>dne</w:t>
      </w:r>
      <w:r w:rsidR="00947A17">
        <w:rPr>
          <w:rFonts w:ascii="Times New Roman" w:hAnsi="Times New Roman" w:cs="Times New Roman"/>
          <w:color w:val="C00000"/>
          <w:sz w:val="24"/>
          <w:szCs w:val="24"/>
          <w:lang w:val="cs-CZ"/>
        </w:rPr>
        <w:t xml:space="preserve"> 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20. 12. 2002, kdy ji Ministerstvo vnitra zaregistrovalo tehdy ještě pod názvem Nová síla. Svůj název na </w:t>
      </w:r>
      <w:r w:rsidR="00DC1E26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>Dělnická strana</w:t>
      </w:r>
      <w:r w:rsidR="00DC1E26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změnila spolu se stanovami strany </w:t>
      </w:r>
      <w:r w:rsidR="00947A17" w:rsidRPr="00947A17">
        <w:rPr>
          <w:rFonts w:ascii="Times New Roman" w:hAnsi="Times New Roman" w:cs="Times New Roman"/>
          <w:sz w:val="24"/>
          <w:szCs w:val="24"/>
          <w:lang w:val="cs-CZ"/>
        </w:rPr>
        <w:t>dne</w:t>
      </w:r>
      <w:r w:rsidR="00947A17">
        <w:rPr>
          <w:rFonts w:ascii="Times New Roman" w:hAnsi="Times New Roman" w:cs="Times New Roman"/>
          <w:color w:val="C00000"/>
          <w:sz w:val="24"/>
          <w:szCs w:val="24"/>
          <w:lang w:val="cs-CZ"/>
        </w:rPr>
        <w:t xml:space="preserve"> 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22. 1. 2003. Při registračním řízení u Ministerstva vnitra byly stanovy </w:t>
      </w:r>
      <w:r w:rsidRPr="00375829">
        <w:rPr>
          <w:rFonts w:ascii="Times New Roman" w:hAnsi="Times New Roman" w:cs="Times New Roman"/>
          <w:sz w:val="24"/>
          <w:szCs w:val="24"/>
          <w:lang w:val="cs-CZ"/>
        </w:rPr>
        <w:t>shledány v souladu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s příslušnými zákony České republiky, nebyly v rozporu s Ústavou či s Listinou základních práv a svobod.</w:t>
      </w:r>
    </w:p>
    <w:p w:rsidR="00924EA8" w:rsidRPr="0052542D" w:rsidRDefault="00375829" w:rsidP="009C350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roce 2007 V</w:t>
      </w:r>
      <w:r w:rsidR="00924EA8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láda obdržela první podnět upozorňující na antidemokratické a antisemitské aktivity Dělnické strany, který požadoval její rozpuštění. V následujícím roce potom obdržela další takovýto podnět. Ani jeden z nich nebyl nijak adekvátně doložen. Přesto podle Policie ČR došlo počátkem roku 2008 k výraznému posunu v aktivitách Dělnické strany, která se při </w:t>
      </w:r>
      <w:r w:rsidR="00924EA8" w:rsidRPr="0052542D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spolupráci s neregistrovaným Národním odporem dostávala do pozice blízké ultranacionalistickému uskupení. Tato radikalizace byla znatelná naprosto veřejně a to především </w:t>
      </w:r>
      <w:r w:rsidR="005A5D90" w:rsidRPr="0052542D">
        <w:rPr>
          <w:rFonts w:ascii="Times New Roman" w:hAnsi="Times New Roman" w:cs="Times New Roman"/>
          <w:sz w:val="24"/>
          <w:szCs w:val="24"/>
          <w:lang w:val="cs-CZ"/>
        </w:rPr>
        <w:t>z konání shromáždění v Hradci Králové a v Litvínově.</w:t>
      </w:r>
    </w:p>
    <w:p w:rsidR="00D44C63" w:rsidRPr="0052542D" w:rsidRDefault="00EC7FC0" w:rsidP="009C350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/>
        </w:rPr>
        <w:t>Shromáždění z</w:t>
      </w:r>
      <w:r w:rsidR="00F853DF">
        <w:rPr>
          <w:rFonts w:ascii="Times New Roman" w:hAnsi="Times New Roman" w:cs="Times New Roman"/>
          <w:sz w:val="24"/>
          <w:szCs w:val="24"/>
          <w:lang w:val="cs-CZ"/>
        </w:rPr>
        <w:t>e dne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> 16. 8. 2008 v Hradci Králové bylo jedním z posledních shromáždění této strany před volbami do Poslanecké sněmovny a do Senátu. V průběhu celé předvolební kampaně Dělnická strana postupně přitvrzovala ve svých projevech a sílila také v počtu svých přívrženců, kteří většinou v místě konání shromáždění vyvolávali konflikty s policií, jež se snažila udržet veřejný pořádek.</w:t>
      </w:r>
    </w:p>
    <w:p w:rsidR="00EC7FC0" w:rsidRPr="0052542D" w:rsidRDefault="00EC7FC0" w:rsidP="009C350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Na shromáždění v Litvínově </w:t>
      </w:r>
      <w:r w:rsidR="00F853DF">
        <w:rPr>
          <w:rFonts w:ascii="Times New Roman" w:hAnsi="Times New Roman" w:cs="Times New Roman"/>
          <w:sz w:val="24"/>
          <w:szCs w:val="24"/>
          <w:lang w:val="cs-CZ"/>
        </w:rPr>
        <w:t xml:space="preserve">dne 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>18. 10. 2008 a pozdějších</w:t>
      </w:r>
      <w:r w:rsidR="009C350A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se potom Dělnická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strana </w:t>
      </w:r>
      <w:r w:rsidR="00364E25" w:rsidRPr="0052542D">
        <w:rPr>
          <w:rFonts w:ascii="Times New Roman" w:hAnsi="Times New Roman" w:cs="Times New Roman"/>
          <w:sz w:val="24"/>
          <w:szCs w:val="24"/>
          <w:lang w:val="cs-CZ"/>
        </w:rPr>
        <w:t>vydala na pochod do romského sídliště Janov, kd</w:t>
      </w:r>
      <w:r w:rsidR="00F853DF">
        <w:rPr>
          <w:rFonts w:ascii="Times New Roman" w:hAnsi="Times New Roman" w:cs="Times New Roman"/>
          <w:sz w:val="24"/>
          <w:szCs w:val="24"/>
          <w:lang w:val="cs-CZ"/>
        </w:rPr>
        <w:t>e se několikrát pokusila o střet</w:t>
      </w:r>
      <w:r w:rsidR="00364E25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s místní romskou komunitou. Tento naprosto otevřený útok na národnostní menšinu byl poslední kapkou, kdy </w:t>
      </w:r>
      <w:r w:rsidR="009C350A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podle slov ministra vnitra Ivana Langera </w:t>
      </w:r>
      <w:r w:rsidR="00364E25" w:rsidRPr="0052542D">
        <w:rPr>
          <w:rFonts w:ascii="Times New Roman" w:hAnsi="Times New Roman" w:cs="Times New Roman"/>
          <w:i/>
          <w:sz w:val="24"/>
          <w:szCs w:val="24"/>
          <w:lang w:val="cs-CZ"/>
        </w:rPr>
        <w:t>„(p)</w:t>
      </w:r>
      <w:proofErr w:type="spellStart"/>
      <w:r w:rsidR="009C350A" w:rsidRPr="0052542D">
        <w:rPr>
          <w:rFonts w:ascii="Times New Roman" w:hAnsi="Times New Roman" w:cs="Times New Roman"/>
          <w:i/>
          <w:sz w:val="24"/>
          <w:szCs w:val="24"/>
          <w:lang w:val="cs-CZ"/>
        </w:rPr>
        <w:t>ohár</w:t>
      </w:r>
      <w:proofErr w:type="spellEnd"/>
      <w:r w:rsidR="009C350A" w:rsidRPr="0052542D">
        <w:rPr>
          <w:rFonts w:ascii="Times New Roman" w:hAnsi="Times New Roman" w:cs="Times New Roman"/>
          <w:i/>
          <w:sz w:val="24"/>
          <w:szCs w:val="24"/>
          <w:lang w:val="cs-CZ"/>
        </w:rPr>
        <w:t xml:space="preserve"> trpělivost</w:t>
      </w:r>
      <w:r w:rsidR="00F853DF">
        <w:rPr>
          <w:rFonts w:ascii="Times New Roman" w:hAnsi="Times New Roman" w:cs="Times New Roman"/>
          <w:i/>
          <w:sz w:val="24"/>
          <w:szCs w:val="24"/>
          <w:lang w:val="cs-CZ"/>
        </w:rPr>
        <w:t>i</w:t>
      </w:r>
      <w:r w:rsidR="009C350A" w:rsidRPr="0052542D">
        <w:rPr>
          <w:rFonts w:ascii="Times New Roman" w:hAnsi="Times New Roman" w:cs="Times New Roman"/>
          <w:i/>
          <w:sz w:val="24"/>
          <w:szCs w:val="24"/>
          <w:lang w:val="cs-CZ"/>
        </w:rPr>
        <w:t xml:space="preserve"> s Dělnickou stranou přetekl.“</w:t>
      </w:r>
      <w:r w:rsidR="00364E25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C350A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Vláda </w:t>
      </w:r>
      <w:r w:rsidR="00763EE7">
        <w:rPr>
          <w:rFonts w:ascii="Times New Roman" w:hAnsi="Times New Roman" w:cs="Times New Roman"/>
          <w:sz w:val="24"/>
          <w:szCs w:val="24"/>
          <w:lang w:val="cs-CZ"/>
        </w:rPr>
        <w:t xml:space="preserve">dne </w:t>
      </w:r>
      <w:r w:rsidR="009C350A" w:rsidRPr="0052542D">
        <w:rPr>
          <w:rFonts w:ascii="Times New Roman" w:hAnsi="Times New Roman" w:cs="Times New Roman"/>
          <w:sz w:val="24"/>
          <w:szCs w:val="24"/>
          <w:lang w:val="cs-CZ"/>
        </w:rPr>
        <w:t>24. 11. 2008 požádala Nejvyšší správní soud o rozpuštění DS</w:t>
      </w:r>
      <w:r w:rsidR="00727AD0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pro rozpor s § 4 písm. a) zákona o politických stranách, podle kterého nemohou vyvíjet činnost strany a hnutí, které porušují Ústavu a zákony</w:t>
      </w:r>
      <w:r w:rsidR="00763EE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727AD0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a dále pro rozpor s § 4 písm. d) téhož zákona, podle kterého nemohou vyvíjet činnost strany a hnutí, jejichž program nebo činnost ohrožují mravnost, veřejný pořádek, nebo práva a svobodu občanů. B</w:t>
      </w:r>
      <w:r w:rsidR="009C350A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ylo to poprvé, kdy </w:t>
      </w:r>
      <w:r w:rsidR="00763EE7">
        <w:rPr>
          <w:rFonts w:ascii="Times New Roman" w:hAnsi="Times New Roman" w:cs="Times New Roman"/>
          <w:sz w:val="24"/>
          <w:szCs w:val="24"/>
          <w:lang w:val="cs-CZ"/>
        </w:rPr>
        <w:t>byl podán návrh na </w:t>
      </w:r>
      <w:r w:rsidR="00727AD0" w:rsidRPr="0052542D">
        <w:rPr>
          <w:rFonts w:ascii="Times New Roman" w:hAnsi="Times New Roman" w:cs="Times New Roman"/>
          <w:sz w:val="24"/>
          <w:szCs w:val="24"/>
          <w:lang w:val="cs-CZ"/>
        </w:rPr>
        <w:t>rozpuštění politické strany</w:t>
      </w:r>
      <w:r w:rsidR="009C350A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727AD0" w:rsidRPr="0052542D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9C350A" w:rsidRPr="0052542D">
        <w:rPr>
          <w:rFonts w:ascii="Times New Roman" w:hAnsi="Times New Roman" w:cs="Times New Roman"/>
          <w:sz w:val="24"/>
          <w:szCs w:val="24"/>
          <w:lang w:val="cs-CZ"/>
        </w:rPr>
        <w:t>politických</w:t>
      </w:r>
      <w:r w:rsidR="00727AD0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a ne formálních</w:t>
      </w:r>
      <w:r w:rsidR="009C350A"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 důvodů.</w:t>
      </w:r>
    </w:p>
    <w:p w:rsidR="00727AD0" w:rsidRPr="0052542D" w:rsidRDefault="00727AD0" w:rsidP="009C350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C350A" w:rsidRPr="0052542D" w:rsidRDefault="00727AD0" w:rsidP="00000C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Nejvyšší správní soud tento návrh dne 4. března 2009 zamítl a zúčastněné strany </w:t>
      </w:r>
      <w:r w:rsidR="00C86585">
        <w:rPr>
          <w:rFonts w:ascii="Times New Roman" w:hAnsi="Times New Roman" w:cs="Times New Roman"/>
          <w:sz w:val="24"/>
          <w:szCs w:val="24"/>
          <w:lang w:val="cs-CZ"/>
        </w:rPr>
        <w:t>poučil o 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>nemožnosti podání řádného opravného prostředku. V rozsudku ale několikrát zdůraznil, že vydané rozhodnutí se vztahuje ke stavu v čas rozhodnutí, což v žádném případě nevylučuje možnost podání dalších návrhů někdy v budoucí době. Taktéž soud zdůraznil, že tímto zamítavým rozho</w:t>
      </w:r>
      <w:r w:rsidR="00175D44" w:rsidRPr="0052542D">
        <w:rPr>
          <w:rFonts w:ascii="Times New Roman" w:hAnsi="Times New Roman" w:cs="Times New Roman"/>
          <w:sz w:val="24"/>
          <w:szCs w:val="24"/>
          <w:lang w:val="cs-CZ"/>
        </w:rPr>
        <w:t>dnutím neuděluje Dělnické straně žádný glejt ústavnosti. Návrh byl zamítnut pro neunesení břemene tvrzení a důkazního břemene ze strany vlády.</w:t>
      </w:r>
    </w:p>
    <w:p w:rsidR="000722CE" w:rsidRPr="0052542D" w:rsidRDefault="000722CE" w:rsidP="00000C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Úřednická vláda Jana Fischera proto podala dne 23. 9. 2009 druhý návrh na rozpuštění Dělnické strany k Nejvyššímu správnímu soudu. Tento návrh byl mnohem obsáhlejší než ten předchozí a na jeho základě Nejvyšší správní soud dne 17. 2. 2010 politickou stranu Dělnická strana rozpustil. </w:t>
      </w:r>
    </w:p>
    <w:p w:rsidR="00F85917" w:rsidRPr="0052542D" w:rsidRDefault="000722CE" w:rsidP="00000C89">
      <w:pPr>
        <w:jc w:val="both"/>
        <w:rPr>
          <w:rFonts w:ascii="Garamond" w:eastAsia="Times New Roman" w:hAnsi="Garamond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Dělnická strana podala </w:t>
      </w:r>
      <w:r w:rsidR="00763EE7">
        <w:rPr>
          <w:rFonts w:ascii="Times New Roman" w:hAnsi="Times New Roman" w:cs="Times New Roman"/>
          <w:sz w:val="24"/>
          <w:szCs w:val="24"/>
          <w:lang w:val="cs-CZ"/>
        </w:rPr>
        <w:t xml:space="preserve">dne 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>15. 3. 2010 stížnost k Ústavnímu sou</w:t>
      </w:r>
      <w:r w:rsidR="00C86585">
        <w:rPr>
          <w:rFonts w:ascii="Times New Roman" w:hAnsi="Times New Roman" w:cs="Times New Roman"/>
          <w:sz w:val="24"/>
          <w:szCs w:val="24"/>
          <w:lang w:val="cs-CZ"/>
        </w:rPr>
        <w:t>du, jež měla odkladný účinek ve 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 xml:space="preserve">věci rozpuštění. Ústavní soud </w:t>
      </w:r>
      <w:r w:rsidR="00763EE7">
        <w:rPr>
          <w:rFonts w:ascii="Times New Roman" w:hAnsi="Times New Roman" w:cs="Times New Roman"/>
          <w:sz w:val="24"/>
          <w:szCs w:val="24"/>
          <w:lang w:val="cs-CZ"/>
        </w:rPr>
        <w:t xml:space="preserve">dne </w:t>
      </w:r>
      <w:r w:rsidRPr="0052542D">
        <w:rPr>
          <w:rFonts w:ascii="Times New Roman" w:hAnsi="Times New Roman" w:cs="Times New Roman"/>
          <w:sz w:val="24"/>
          <w:szCs w:val="24"/>
          <w:lang w:val="cs-CZ"/>
        </w:rPr>
        <w:t>27. 5. 2010 potvrdil oprávněnost rozsudku NSS.</w:t>
      </w:r>
      <w:r w:rsidR="00A740F6" w:rsidRPr="0052542D">
        <w:rPr>
          <w:rFonts w:ascii="Garamond" w:eastAsia="Times New Roman" w:hAnsi="Garamond" w:cs="Times New Roman"/>
          <w:sz w:val="24"/>
          <w:szCs w:val="24"/>
          <w:lang w:val="cs-CZ" w:eastAsia="cs-CZ"/>
        </w:rPr>
        <w:t xml:space="preserve"> </w:t>
      </w:r>
    </w:p>
    <w:p w:rsidR="00A740F6" w:rsidRPr="003E4B1C" w:rsidRDefault="00F85917" w:rsidP="00F85917">
      <w:pPr>
        <w:pStyle w:val="Nadpis2"/>
        <w:rPr>
          <w:rFonts w:eastAsia="Times New Roman"/>
          <w:b/>
          <w:lang w:val="cs-CZ" w:eastAsia="cs-CZ"/>
        </w:rPr>
      </w:pPr>
      <w:r w:rsidRPr="003E4B1C">
        <w:rPr>
          <w:rFonts w:eastAsia="Times New Roman"/>
          <w:b/>
          <w:lang w:val="cs-CZ" w:eastAsia="cs-CZ"/>
        </w:rPr>
        <w:t>Analýza argumentů soudu</w:t>
      </w:r>
      <w:r w:rsidR="00A740F6" w:rsidRPr="003E4B1C">
        <w:rPr>
          <w:rFonts w:eastAsia="Times New Roman"/>
          <w:b/>
          <w:lang w:val="cs-CZ" w:eastAsia="cs-CZ"/>
        </w:rPr>
        <w:t> </w:t>
      </w:r>
    </w:p>
    <w:p w:rsidR="00F85917" w:rsidRPr="0052542D" w:rsidRDefault="00F85917" w:rsidP="00756282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V prvním řízení se soud prvně vyrovnal s tzv. ochrannou lhůtou, kdy zákon o politických stranách říká, že politickou stranu nelze rozpustit v době ode dne vyhlášení celostátních voleb do desátého dne po posledním dni konání těchto voleb. Tato och</w:t>
      </w:r>
      <w:r w:rsidR="00642B14">
        <w:rPr>
          <w:rFonts w:ascii="Times New Roman" w:hAnsi="Times New Roman" w:cs="Times New Roman"/>
          <w:sz w:val="24"/>
          <w:szCs w:val="24"/>
          <w:lang w:val="cs-CZ" w:eastAsia="cs-CZ"/>
        </w:rPr>
        <w:t>ranná lhůta ovšem neplatí pro 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rozpor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politické strany</w:t>
      </w:r>
      <w:r w:rsidR="00000C89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 ustanovením </w:t>
      </w:r>
      <w:r w:rsidR="00375829">
        <w:rPr>
          <w:rFonts w:ascii="Times New Roman" w:hAnsi="Times New Roman" w:cs="Times New Roman"/>
          <w:sz w:val="24"/>
          <w:szCs w:val="24"/>
          <w:lang w:val="cs-CZ" w:eastAsia="cs-CZ"/>
        </w:rPr>
        <w:t>§ 4 tohoto zákona. Jelikož V</w:t>
      </w:r>
      <w:r w:rsidR="00000C89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láda navrhla rozpuštění </w:t>
      </w:r>
      <w:r w:rsidR="00000C89" w:rsidRPr="0052542D">
        <w:rPr>
          <w:rFonts w:ascii="Times New Roman" w:hAnsi="Times New Roman" w:cs="Times New Roman"/>
          <w:sz w:val="24"/>
          <w:szCs w:val="24"/>
          <w:lang w:val="cs-CZ" w:eastAsia="cs-CZ"/>
        </w:rPr>
        <w:lastRenderedPageBreak/>
        <w:t xml:space="preserve">DS právě z důvodu jejího 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rozporu s § 4, nelze pro tento případ aplikovat zmíněnou ochrannou lhůtu.</w:t>
      </w:r>
    </w:p>
    <w:p w:rsidR="00A740F6" w:rsidRPr="0052542D" w:rsidRDefault="00000C89" w:rsidP="008D3490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V tomto řízení N</w:t>
      </w:r>
      <w:r w:rsid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ejvyšší správní 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soud provedl v</w:t>
      </w:r>
      <w:r w:rsidR="00166E6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šechny stranami navržené důkazy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.</w:t>
      </w:r>
      <w:r w:rsidR="00C30AFE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Předtím než se Soud vyja</w:t>
      </w:r>
      <w:r w:rsidR="0052542D">
        <w:rPr>
          <w:rFonts w:ascii="Times New Roman" w:hAnsi="Times New Roman" w:cs="Times New Roman"/>
          <w:sz w:val="24"/>
          <w:szCs w:val="24"/>
          <w:lang w:val="cs-CZ" w:eastAsia="cs-CZ"/>
        </w:rPr>
        <w:t>dřuje</w:t>
      </w:r>
      <w:r w:rsidR="00166E6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k jednotlivým důkazům, popisuje ústavněprávní postavení politické strany v demokratické zemi.</w:t>
      </w:r>
      <w:r w:rsidR="008D3490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Argumentace vychází z čl. 2 odst. 1 Ústavy, který říká, že zdrojem veškeré státní moci, vykonávané prostřednictvím org</w:t>
      </w:r>
      <w:r w:rsidR="00642B14">
        <w:rPr>
          <w:rFonts w:ascii="Times New Roman" w:hAnsi="Times New Roman" w:cs="Times New Roman"/>
          <w:sz w:val="24"/>
          <w:szCs w:val="24"/>
          <w:lang w:val="cs-CZ" w:eastAsia="cs-CZ"/>
        </w:rPr>
        <w:t>ánu moci zákonodárné, výkonné a </w:t>
      </w:r>
      <w:r w:rsidR="008D3490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soudní, je lid, kdy účast občanů na politickém životě společnosti je zajištěna především prostřednictvím politických stran a hnutí (čl. 5 Ústavy a články 20, 22 Listiny). Vzniku demokratických státních orgánů musí předcházet volná soutěž na státu nezávislých politických stran a teprve ve výsledcích této soutěže se utvářejí politické obrysy a proporce státu. NSS nabízí pro srovnání 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konkrétní </w:t>
      </w:r>
      <w:r w:rsidR="008D3490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nálezy Ústavního soudu. Ústava vychází z principu zastupitelské demokracie, politický systém je založen na s</w:t>
      </w:r>
      <w:r w:rsidR="00642B14">
        <w:rPr>
          <w:rFonts w:ascii="Times New Roman" w:hAnsi="Times New Roman" w:cs="Times New Roman"/>
          <w:sz w:val="24"/>
          <w:szCs w:val="24"/>
          <w:lang w:val="cs-CZ" w:eastAsia="cs-CZ"/>
        </w:rPr>
        <w:t>vobodném a dobrovolném vzniku a </w:t>
      </w:r>
      <w:r w:rsidR="008D3490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volné soutěži politických stran, respektujících základní demokratické principy a odmítající násilí jako prostředek k prosazování svých zájmů (čl. 5 Ústavy). </w:t>
      </w:r>
      <w:r w:rsidR="00642B14">
        <w:rPr>
          <w:rFonts w:ascii="Times New Roman" w:hAnsi="Times New Roman" w:cs="Times New Roman"/>
          <w:sz w:val="24"/>
          <w:szCs w:val="24"/>
          <w:lang w:val="cs-CZ" w:eastAsia="cs-CZ"/>
        </w:rPr>
        <w:t>NSS poukazuje na 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nezastupitelné místo politické strany </w:t>
      </w:r>
      <w:r w:rsidR="005424F8">
        <w:rPr>
          <w:rFonts w:ascii="Times New Roman" w:hAnsi="Times New Roman" w:cs="Times New Roman"/>
          <w:sz w:val="24"/>
          <w:szCs w:val="24"/>
          <w:lang w:val="cs-CZ" w:eastAsia="cs-CZ"/>
        </w:rPr>
        <w:t>v demokratickém právním státě, z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čehož pro ni plyne zvýšená ústavněprávní ochrana</w:t>
      </w:r>
      <w:r w:rsidR="008D3490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. 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Politická strana </w:t>
      </w:r>
      <w:r w:rsidR="008D3490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zároveň sama představuje výkon základních práv a svobod jednotlivců</w:t>
      </w:r>
      <w:r w:rsidR="00A217B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.</w:t>
      </w:r>
    </w:p>
    <w:p w:rsidR="00A217B4" w:rsidRPr="0052542D" w:rsidRDefault="00A217B4" w:rsidP="008D3490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Dále se Soud zabývá ústavními důvody pro zrušení politických stran. Ústava v tomto směru klade na politické strany v článku 5 dva základní požadavky: respekt k základním demokratickým principům a odmítání násilí k prosaz</w:t>
      </w:r>
      <w:r w:rsidR="0026156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ování svých zájmů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. V souladu s tím Listina v článku 30 odst. 3 připouští omezení sdružovacího práva na případy stanovené zákonem, jestliže je to v demokratické společnosti nezbytné pro bezpečnost státu, ochranu veřejné bezpečnosti a veřejného pořádku, předcházení trestným činům nebo pro ochranu práv a svobod druhých.</w:t>
      </w:r>
      <w:r w:rsidR="0026156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Z toho mimo jiné plyne podmínka uzákonění možnosti </w:t>
      </w:r>
      <w:r w:rsidR="0081011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zásahu 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státní moci </w:t>
      </w:r>
      <w:r w:rsidR="0081011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do života politické strany, která je ovšem zákonem č. 424/91 Sb. 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např.</w:t>
      </w:r>
      <w:r w:rsidR="0081011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 §§ 4 a 13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splněna</w:t>
      </w:r>
      <w:r w:rsidR="0081011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. Z ustanovení tohoto zákona v § 15 dále Soud dovozu</w:t>
      </w:r>
      <w:r w:rsidR="00E56AEC">
        <w:rPr>
          <w:rFonts w:ascii="Times New Roman" w:hAnsi="Times New Roman" w:cs="Times New Roman"/>
          <w:sz w:val="24"/>
          <w:szCs w:val="24"/>
          <w:lang w:val="cs-CZ" w:eastAsia="cs-CZ"/>
        </w:rPr>
        <w:t>je i svou pravomoc rozhodovat o </w:t>
      </w:r>
      <w:r w:rsidR="00CD46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takovém vrchnostenském zásahu do života</w:t>
      </w:r>
      <w:r w:rsidR="0081011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politické strany.</w:t>
      </w:r>
    </w:p>
    <w:p w:rsidR="00261564" w:rsidRPr="0052542D" w:rsidRDefault="00261564" w:rsidP="008D3490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Na základě této </w:t>
      </w:r>
      <w:r w:rsidR="0081011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ústavněprávní 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argumentace </w:t>
      </w:r>
      <w:r w:rsidR="004F40D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opřené i o praxi Evropského soudu pro lidská práva 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Soud dochází </w:t>
      </w:r>
      <w:r w:rsidR="0083595B">
        <w:rPr>
          <w:rFonts w:ascii="Times New Roman" w:hAnsi="Times New Roman" w:cs="Times New Roman"/>
          <w:sz w:val="24"/>
          <w:szCs w:val="24"/>
          <w:lang w:val="cs-CZ" w:eastAsia="cs-CZ"/>
        </w:rPr>
        <w:t>ke vznesení 4</w:t>
      </w:r>
      <w:r w:rsidR="004F40D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podmínek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, které musí být </w:t>
      </w:r>
      <w:r w:rsidR="004F40D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vždy kumulativně splněny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, aby mohla být politická strana v demokratickém státě rozpuštěna. </w:t>
      </w:r>
      <w:r w:rsidR="0081011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1) Je zjištěné chování politické strany protiprávní? 2) Je toto protiprávní jednání přičitatelné politické straně? 3) </w:t>
      </w:r>
      <w:r w:rsidR="00AA63F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Představuje toto přičitatelné protiprávní jednání bezprostřední hrozbu pro demokratický právní stát? 4) Je navrhovaný zásah do práva sdružovat se v politické straně</w:t>
      </w:r>
      <w:r w:rsidR="00E56AE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přiměřený zájmu společnosti na </w:t>
      </w:r>
      <w:r w:rsidR="00AA63F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ochraně jiných hodnot?</w:t>
      </w:r>
    </w:p>
    <w:p w:rsidR="00D37673" w:rsidRPr="0052542D" w:rsidRDefault="00D37673" w:rsidP="008D3490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Po tomto úvodním vymezení „pravidel“ řízení o návrhu na zrušení politické strany Soud přistoupil </w:t>
      </w:r>
      <w:r w:rsidR="004F40D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k hodnocení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důkazů. </w:t>
      </w:r>
      <w:r w:rsidR="0079149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Vláda tvrdila, že počátkem roku 2008 došlo k </w:t>
      </w:r>
      <w:r w:rsidR="004F40D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posunu v aktivitách DS mimo jiné díky její spolupráci</w:t>
      </w:r>
      <w:r w:rsidR="0079149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 Národním odporem. K tomu uvedla, že se jedná o obecně známou skutečnost, která vyplývá z veřejně přístupných materiálů. </w:t>
      </w:r>
      <w:r w:rsidR="00791495" w:rsidRPr="0052542D">
        <w:rPr>
          <w:rFonts w:ascii="Times New Roman" w:hAnsi="Times New Roman" w:cs="Times New Roman"/>
          <w:sz w:val="24"/>
          <w:szCs w:val="24"/>
          <w:lang w:val="cs-CZ" w:eastAsia="cs-CZ"/>
        </w:rPr>
        <w:lastRenderedPageBreak/>
        <w:t>K prokázání tohoto tvrzení však nenavrhla žádné důkazy</w:t>
      </w:r>
      <w:r w:rsidR="00E56AEC">
        <w:rPr>
          <w:rFonts w:ascii="Times New Roman" w:hAnsi="Times New Roman" w:cs="Times New Roman"/>
          <w:sz w:val="24"/>
          <w:szCs w:val="24"/>
          <w:lang w:val="cs-CZ" w:eastAsia="cs-CZ"/>
        </w:rPr>
        <w:t>,</w:t>
      </w:r>
      <w:r w:rsidR="0079149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 tak Soud konstatoval, že není možné, aby Vláda ze své pozice silnější procesní strany, která je dána především přístupem k informacím značného rozsahu</w:t>
      </w:r>
      <w:r w:rsidR="004F40D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 možnost</w:t>
      </w:r>
      <w:r w:rsidR="0083595B">
        <w:rPr>
          <w:rFonts w:ascii="Times New Roman" w:hAnsi="Times New Roman" w:cs="Times New Roman"/>
          <w:sz w:val="24"/>
          <w:szCs w:val="24"/>
          <w:lang w:val="cs-CZ" w:eastAsia="cs-CZ"/>
        </w:rPr>
        <w:t>í</w:t>
      </w:r>
      <w:r w:rsidR="004F40D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si je opatřovat</w:t>
      </w:r>
      <w:r w:rsidR="0079149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, spoléhala na inkviziční zásahy Soudu, který naopak v takovém řízení v zásadě nebude provádět dokazování nad rámec </w:t>
      </w:r>
      <w:r w:rsidR="004F40D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předložených </w:t>
      </w:r>
      <w:r w:rsidR="0079149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návrhů.</w:t>
      </w:r>
    </w:p>
    <w:p w:rsidR="00F31F4B" w:rsidRPr="0052542D" w:rsidRDefault="00E56AEC" w:rsidP="0011626E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>Dále V</w:t>
      </w:r>
      <w:r w:rsidR="00F31F4B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láda tvrdila snahu DS uchopit moc nedemokratickými způsoby, což prokazovala tisko</w:t>
      </w:r>
      <w:r w:rsidR="0043045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vým prohlášením DS, ve kterém strana</w:t>
      </w:r>
      <w:r w:rsidR="00F31F4B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vyhlašuje nulovou toleranci k polistopadovému politickému systému.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 souvislosti s tímto </w:t>
      </w:r>
      <w:r w:rsidR="0011626E">
        <w:rPr>
          <w:rFonts w:ascii="Times New Roman" w:hAnsi="Times New Roman" w:cs="Times New Roman"/>
          <w:sz w:val="24"/>
          <w:szCs w:val="24"/>
          <w:lang w:val="cs-CZ" w:eastAsia="cs-CZ"/>
        </w:rPr>
        <w:t>V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láda ještě poukázala na vyjádření předsedy </w:t>
      </w:r>
      <w:r w:rsidR="0043045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Vondry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, který uvedl, že by změnil Ústavu a že ne vše</w:t>
      </w:r>
      <w:r w:rsidR="0011626E">
        <w:rPr>
          <w:rFonts w:ascii="Times New Roman" w:hAnsi="Times New Roman" w:cs="Times New Roman"/>
          <w:sz w:val="24"/>
          <w:szCs w:val="24"/>
          <w:lang w:val="cs-CZ" w:eastAsia="cs-CZ"/>
        </w:rPr>
        <w:t>,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co je v</w:t>
      </w:r>
      <w:r w:rsidR="0011626E">
        <w:rPr>
          <w:rFonts w:ascii="Times New Roman" w:hAnsi="Times New Roman" w:cs="Times New Roman"/>
          <w:sz w:val="24"/>
          <w:szCs w:val="24"/>
          <w:lang w:val="cs-CZ" w:eastAsia="cs-CZ"/>
        </w:rPr>
        <w:t> 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Ústavě</w:t>
      </w:r>
      <w:r w:rsidR="0011626E">
        <w:rPr>
          <w:rFonts w:ascii="Times New Roman" w:hAnsi="Times New Roman" w:cs="Times New Roman"/>
          <w:sz w:val="24"/>
          <w:szCs w:val="24"/>
          <w:lang w:val="cs-CZ" w:eastAsia="cs-CZ"/>
        </w:rPr>
        <w:t>,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je správné a zákonné. NSS na tomto místě citoval judikaturu Evropského soudu 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ab/>
        <w:t>pro lidská práva, z níž vyplývá, že politickou stranu nelze postihnout jen pro její kritiku právního a ústavního pořádku státu nebo pro použití výrazu „revoluční“. V souladu s tímto pak konstatoval, že ani tento vládou předložený důkaz k prokázání tvrzeného nestačí.</w:t>
      </w:r>
    </w:p>
    <w:p w:rsidR="005870B8" w:rsidRPr="0052542D" w:rsidRDefault="0011626E" w:rsidP="008D3490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>V poslední řadě se V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ládě nepovedlo prokázat ani porušení shroma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žďovacího zákona při 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shromážděních v Hradci Králové a v L</w:t>
      </w:r>
      <w:r w:rsidR="0083595B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itvínově a Soudu nezbylo než 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celé řízení</w:t>
      </w:r>
      <w:r w:rsidR="0083595B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shrnout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 </w:t>
      </w:r>
      <w:r w:rsidR="005870B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návrh na rozpuštění politické strany zamítnout.</w:t>
      </w:r>
    </w:p>
    <w:p w:rsidR="00430455" w:rsidRPr="0052542D" w:rsidRDefault="00430455" w:rsidP="0011626E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Při druhém řízení o návrhu na rozpuštění Dělnické strany, který následoval zhruba sedm měsíců po vynesení prvního rozsudku, se NSS musel předně vypořádat s překážkou věci rozsouzené. Soud uvádí, že překážku věci rozhodnuté v řízení o tomto návrhu </w:t>
      </w:r>
      <w:r w:rsidR="005E35A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vnímá tak, že Soud nemůže opakovaně posuzovat již jednou projednaná skutková tvrzení a důkazy, ale současně platí, že není vyloučeno projednat a vyhodnotit i taková tvrzení, která se týkají činnosti politické strany i před nabytím právní moci prvního rozhodnutí, samozřejmě především ve smyslu současného kontextu. Soud vyházel z ustanovení § 159a odst. 5 občanského soudního řádu, podle něhož </w:t>
      </w:r>
      <w:r w:rsidR="005E35A5" w:rsidRPr="0052542D">
        <w:rPr>
          <w:rFonts w:ascii="Times New Roman" w:hAnsi="Times New Roman" w:cs="Times New Roman"/>
          <w:i/>
          <w:sz w:val="24"/>
          <w:szCs w:val="24"/>
          <w:lang w:val="cs-CZ" w:eastAsia="cs-CZ"/>
        </w:rPr>
        <w:t>„jakmile bylo o věci pravomocně rozhodnuto, nemůže být v rozsahu závaznosti výroku rozsudku pro účastníky a popřípadě jiné osoby věc projednávána znovu.“</w:t>
      </w:r>
      <w:r w:rsidR="005E35A5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. To platí při totožnosti účastníků řízení a totožnosti samotné věci. Totožnost účastníků je zde zřejmá, ovšem věc je totožná jen v konkrétních tvrzeních, kter</w:t>
      </w:r>
      <w:r w:rsidR="007C690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é byly v prvním řízení meritorně projednávány. Soud se proto </w:t>
      </w:r>
      <w:r w:rsidR="00BA226A">
        <w:rPr>
          <w:rFonts w:ascii="Times New Roman" w:hAnsi="Times New Roman" w:cs="Times New Roman"/>
          <w:sz w:val="24"/>
          <w:szCs w:val="24"/>
          <w:lang w:val="cs-CZ" w:eastAsia="cs-CZ"/>
        </w:rPr>
        <w:t>ne</w:t>
      </w:r>
      <w:r w:rsidR="007C690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bude shromážděními v Hradci Králové a v Litvínově zabývat </w:t>
      </w:r>
      <w:r w:rsidR="00BA226A">
        <w:rPr>
          <w:rFonts w:ascii="Times New Roman" w:hAnsi="Times New Roman" w:cs="Times New Roman"/>
          <w:sz w:val="24"/>
          <w:szCs w:val="24"/>
          <w:lang w:val="cs-CZ" w:eastAsia="cs-CZ"/>
        </w:rPr>
        <w:t>více než jen z pohledu kontextu</w:t>
      </w:r>
      <w:r w:rsidR="007C690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 spolupráci DS s Národním odporem bude posuzovat až pro období po právní moci prvního </w:t>
      </w:r>
      <w:r w:rsidR="00BA226A">
        <w:rPr>
          <w:rFonts w:ascii="Times New Roman" w:hAnsi="Times New Roman" w:cs="Times New Roman"/>
          <w:sz w:val="24"/>
          <w:szCs w:val="24"/>
          <w:lang w:val="cs-CZ" w:eastAsia="cs-CZ"/>
        </w:rPr>
        <w:t>rozhodnutí, kdy k ucelení</w:t>
      </w:r>
      <w:r w:rsidR="007C690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kontextu přihlédne i ke spolupráci předcházející.</w:t>
      </w:r>
    </w:p>
    <w:p w:rsidR="004F74D8" w:rsidRPr="0052542D" w:rsidRDefault="007C690D" w:rsidP="008D3490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Tento druhý návrh vlády na rozpuštění DS byl po mnohých stránkách vyčerpávajícím doložením všech možných aktivit této strany a její prováz</w:t>
      </w:r>
      <w:r w:rsidR="00353B37">
        <w:rPr>
          <w:rFonts w:ascii="Times New Roman" w:hAnsi="Times New Roman" w:cs="Times New Roman"/>
          <w:sz w:val="24"/>
          <w:szCs w:val="24"/>
          <w:lang w:val="cs-CZ" w:eastAsia="cs-CZ"/>
        </w:rPr>
        <w:t>aností s jednotlivými osobami a 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celými extrémistickými hnutími nejen na území České republiky. Soudu byl předestřen široký kontext</w:t>
      </w:r>
      <w:r w:rsidR="00F7461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života DS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, ve kterém každá dílčí aktivita</w:t>
      </w:r>
      <w:r w:rsidR="00F7461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lidí spojených s touto stranou byla této straně po právu přičitatelná, a mnohé z nich byly také protiprávní. Soud proto neměl příliš práce s prokázáním prvních dvou bodů výše zmiňovaného čtyřstupňového testu.</w:t>
      </w:r>
      <w:r w:rsidR="004F74D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</w:t>
      </w:r>
      <w:r w:rsidR="00F7461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O to </w:t>
      </w:r>
      <w:r w:rsidR="00F7461D" w:rsidRPr="0052542D">
        <w:rPr>
          <w:rFonts w:ascii="Times New Roman" w:hAnsi="Times New Roman" w:cs="Times New Roman"/>
          <w:sz w:val="24"/>
          <w:szCs w:val="24"/>
          <w:lang w:val="cs-CZ" w:eastAsia="cs-CZ"/>
        </w:rPr>
        <w:lastRenderedPageBreak/>
        <w:t xml:space="preserve">zajímavější je potom jeho argumentace při naplňování druhých dvou bodů – bezprostřednost ohrožení </w:t>
      </w:r>
      <w:r w:rsidR="00F070F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demokracie </w:t>
      </w:r>
      <w:r w:rsidR="00F7461D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a subsidiarita zásahu.</w:t>
      </w:r>
    </w:p>
    <w:p w:rsidR="00F7461D" w:rsidRPr="0052542D" w:rsidRDefault="00F070F1" w:rsidP="008D3490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Soud k tomuto konstatuje, že rizikem ohrožení demokracie neleze chápat jen pravděpodobnost, s jakou strana získá parlamentní většinu, aby mohla formálně měnit stát. Rizikem ohrožení demokracie je třeba rozumět i stav, kdy</w:t>
      </w:r>
      <w:r w:rsidR="00353B37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je strana schopna třeba jen na 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lokální úrovni účinně destabilizovat stávající institucionální a právní systém, a zejména stav, kdy tak může činit či dokonce činí opakovaně. Tedy toto ohrožení nemusí být v jednom okamžiku zjevným všem obyvatelům celého státu. Příklad „bitvy o Janov“ je podle Soudu právě příkladem, kdy </w:t>
      </w:r>
      <w:r w:rsidR="004F74D8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dochází k lokálnímu ohrožení demokracie. DS byla schopna v tomto případě mobilizovat nezanedbatelně velké síly k násilí směřujícímu vůči reálně ohroženým skupinám obyvatel. DS se od této události nijak nedistancovala ba naopak aktéry této „bitvy“ heroizuje.</w:t>
      </w:r>
    </w:p>
    <w:p w:rsidR="004F74D8" w:rsidRPr="0052542D" w:rsidRDefault="004F74D8" w:rsidP="008D3490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Dalším významným faktem dokazujícím bezprostřednost rizika je podle Soudu prakticky monopolní postavení </w:t>
      </w:r>
      <w:r w:rsidR="007C705A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strany na poli pravicového extremismu u nás. Strana díky své organizované struktuře sjednotila skupinu občanů, která se vymezuje proti stávající politice státu. Většina z těchto lidí nalézá svou seberealizaci v násilí, které je nyní spojeno s politikou. Organizovanost se projevuje pořádáním veřejných akcí po celé České republice, kdy cílem samotných akcí je potom často násilí, rasové útoky a narušování veřejného pořádku.</w:t>
      </w:r>
    </w:p>
    <w:p w:rsidR="007C705A" w:rsidRPr="0052542D" w:rsidRDefault="00877978" w:rsidP="008D3490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Nakonec Soud dodává, že v této souvislosti je také relevantní poukázat na to, že ve vedoucích strukturách DS neexistují snahy o změny a samotné vedení je ve svých pozicích naopak čím dál víc upevňováno. K tomu neexistují náznaky, že by mělo nějakým způsobem dojít k programové změně či změně členské základny.</w:t>
      </w:r>
    </w:p>
    <w:p w:rsidR="00877978" w:rsidRPr="0052542D" w:rsidRDefault="00877978" w:rsidP="00D65E0E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V souladu se zásadou proporcionality musí být zásah do práva sdružovat se v politických stranách přiměřený sledovaným legitimním cílům. V tomto návrhu je třeba zkoumat, zda existovaly mírnější prostředky, kterých mohlo být proti straně použito. Soud poukazuje na to, že zá</w:t>
      </w:r>
      <w:r w:rsidR="00D65E0E">
        <w:rPr>
          <w:rFonts w:ascii="Times New Roman" w:hAnsi="Times New Roman" w:cs="Times New Roman"/>
          <w:sz w:val="24"/>
          <w:szCs w:val="24"/>
          <w:lang w:val="cs-CZ" w:eastAsia="cs-CZ"/>
        </w:rPr>
        <w:t>važnost celé řady protiprávních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projevů členů DS nevyplynula najevo nahlížena osamoceně, ale teprve v rámci dalších prokazovaných skutečností.</w:t>
      </w:r>
      <w:r w:rsidR="00763211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Dále podotýká, že okamžitý postih konkrétních osob byl v mnohých případech obtížný, protože pořádkové služby se museli více zabývat ochranou ohrožených skupin. Zásadní se Soudu jeví skutečnost, že DS poskytnutím své organizační struktury a politické legitimity krajně pravicovým hnutím vytvořila prostředí usnadňující páchání protiprávních činů.</w:t>
      </w:r>
    </w:p>
    <w:p w:rsidR="00763211" w:rsidRPr="0052542D" w:rsidRDefault="00763211" w:rsidP="00D65E0E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>Soud upozorňuje na fakt, že zrušením Dělnické strany ze společnosti neodstraní ty, kteří ji tvoří</w:t>
      </w:r>
      <w:r w:rsidR="00D65E0E">
        <w:rPr>
          <w:rFonts w:ascii="Times New Roman" w:hAnsi="Times New Roman" w:cs="Times New Roman"/>
          <w:sz w:val="24"/>
          <w:szCs w:val="24"/>
          <w:lang w:val="cs-CZ" w:eastAsia="cs-CZ"/>
        </w:rPr>
        <w:t>,</w:t>
      </w:r>
      <w:r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 nemůže jim ani zabránit v tom, aby tito lidé spolu vstoupili do další nové politické strany. </w:t>
      </w:r>
      <w:r w:rsidR="002507B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NSS tedy nakonec položil na misky vah na jedné straně právo sdružovat se v politických stranách a na druhé základní lidská práva a svobody. V řízení bylo podle Soudu bez jakýchkoli pochybností prokázáno, že DS směřuje k</w:t>
      </w:r>
      <w:r w:rsidR="00D65E0E">
        <w:rPr>
          <w:rFonts w:ascii="Times New Roman" w:hAnsi="Times New Roman" w:cs="Times New Roman"/>
          <w:sz w:val="24"/>
          <w:szCs w:val="24"/>
          <w:lang w:val="cs-CZ" w:eastAsia="cs-CZ"/>
        </w:rPr>
        <w:t> popření těchto lidských práv a </w:t>
      </w:r>
      <w:r w:rsidR="002507B4" w:rsidRPr="0052542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svobod. DS se zaštiťovala svobodou projevu a právem na sdružování. Soud však s poukazem na judikaturu ESLP vyloučil možnost DS bránit se dožadování se ochrany </w:t>
      </w:r>
      <w:r w:rsidR="002507B4" w:rsidRPr="0052542D">
        <w:rPr>
          <w:rFonts w:ascii="Times New Roman" w:hAnsi="Times New Roman" w:cs="Times New Roman"/>
          <w:sz w:val="24"/>
          <w:szCs w:val="24"/>
          <w:lang w:val="cs-CZ" w:eastAsia="cs-CZ"/>
        </w:rPr>
        <w:lastRenderedPageBreak/>
        <w:t>základních práv, když současně potlačuje základní práva druhých. NSS na základě v</w:t>
      </w:r>
      <w:r w:rsidR="006777EF" w:rsidRPr="0052542D">
        <w:rPr>
          <w:rFonts w:ascii="Times New Roman" w:hAnsi="Times New Roman" w:cs="Times New Roman"/>
          <w:sz w:val="24"/>
          <w:szCs w:val="24"/>
          <w:lang w:val="cs-CZ" w:eastAsia="cs-CZ"/>
        </w:rPr>
        <w:t>ýše uvedeného neměl pochyb o souladu s principem proporcionality a splněním tohoto čtvrtého bodu přistoupil k rozpuštění politické strany Dělnická strana.</w:t>
      </w:r>
    </w:p>
    <w:p w:rsidR="003D1E7C" w:rsidRPr="003E4B1C" w:rsidRDefault="003D1E7C" w:rsidP="003D1E7C">
      <w:pPr>
        <w:pStyle w:val="Nadpis2"/>
        <w:rPr>
          <w:rFonts w:eastAsia="Times New Roman"/>
          <w:b/>
          <w:lang w:val="cs-CZ" w:eastAsia="cs-CZ"/>
        </w:rPr>
      </w:pPr>
      <w:r w:rsidRPr="003E4B1C">
        <w:rPr>
          <w:rFonts w:eastAsia="Times New Roman"/>
          <w:b/>
          <w:lang w:val="cs-CZ" w:eastAsia="cs-CZ"/>
        </w:rPr>
        <w:t>Diskuse argumentů soudu</w:t>
      </w:r>
    </w:p>
    <w:p w:rsidR="005870B8" w:rsidRPr="007C3E6C" w:rsidRDefault="007710CF" w:rsidP="00D65E0E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Nyní </w:t>
      </w:r>
      <w:r w:rsidR="00D65E0E">
        <w:rPr>
          <w:rFonts w:ascii="Times New Roman" w:hAnsi="Times New Roman" w:cs="Times New Roman"/>
          <w:sz w:val="24"/>
          <w:szCs w:val="24"/>
          <w:lang w:val="cs-CZ" w:eastAsia="cs-CZ"/>
        </w:rPr>
        <w:t>se budu zabývat diskusí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 argumentací Nejvyššího správního soudu v druhém jeho řízení o návrhu na rozpuštění D</w:t>
      </w:r>
      <w:r w:rsidR="00C30AFE">
        <w:rPr>
          <w:rFonts w:ascii="Times New Roman" w:hAnsi="Times New Roman" w:cs="Times New Roman"/>
          <w:sz w:val="24"/>
          <w:szCs w:val="24"/>
          <w:lang w:val="cs-CZ" w:eastAsia="cs-CZ"/>
        </w:rPr>
        <w:t>ělnické strany</w:t>
      </w:r>
      <w:r w:rsidR="00D65E0E">
        <w:rPr>
          <w:rFonts w:ascii="Times New Roman" w:hAnsi="Times New Roman" w:cs="Times New Roman"/>
          <w:sz w:val="24"/>
          <w:szCs w:val="24"/>
          <w:lang w:val="cs-CZ" w:eastAsia="cs-CZ"/>
        </w:rPr>
        <w:t>,</w:t>
      </w:r>
      <w:r w:rsidR="00C30AFE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 to v bodě, kde se Soud vyrovnává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</w:t>
      </w:r>
      <w:r w:rsidR="00C30AFE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s překážkou </w:t>
      </w:r>
      <w:r w:rsidR="00C30AFE" w:rsidRPr="007710CF">
        <w:rPr>
          <w:rFonts w:ascii="Times New Roman" w:hAnsi="Times New Roman" w:cs="Times New Roman"/>
          <w:sz w:val="24"/>
          <w:szCs w:val="24"/>
          <w:lang w:val="la-Latn" w:eastAsia="cs-CZ"/>
        </w:rPr>
        <w:t>rei iudicatae</w:t>
      </w:r>
      <w:r w:rsidR="00D65E0E">
        <w:rPr>
          <w:rFonts w:ascii="Times New Roman" w:hAnsi="Times New Roman" w:cs="Times New Roman"/>
          <w:sz w:val="24"/>
          <w:szCs w:val="24"/>
          <w:lang w:val="cs-CZ" w:eastAsia="cs-CZ"/>
        </w:rPr>
        <w:t>. Rozřešení tohoto bodu vede</w:t>
      </w:r>
      <w:r w:rsidR="00C30AFE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k určení mezí, ve kterých se druhé řízení může pohybovat. 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Jedná se podle mého názoru o </w:t>
      </w:r>
      <w:r w:rsidR="00C30AFE">
        <w:rPr>
          <w:rFonts w:ascii="Times New Roman" w:hAnsi="Times New Roman" w:cs="Times New Roman"/>
          <w:sz w:val="24"/>
          <w:szCs w:val="24"/>
          <w:lang w:val="cs-CZ" w:eastAsia="cs-CZ"/>
        </w:rPr>
        <w:t>nejvíce zásadní bod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celého soudního procesu</w:t>
      </w:r>
      <w:r w:rsidR="00C30AFE">
        <w:rPr>
          <w:rFonts w:ascii="Times New Roman" w:hAnsi="Times New Roman" w:cs="Times New Roman"/>
          <w:sz w:val="24"/>
          <w:szCs w:val="24"/>
          <w:lang w:val="cs-CZ" w:eastAsia="cs-CZ"/>
        </w:rPr>
        <w:t>, společně ještě s posouzením bezprostředního ohrožení demokratického státního zřízení v zemi.</w:t>
      </w:r>
    </w:p>
    <w:p w:rsidR="007C3E6C" w:rsidRPr="007C3E6C" w:rsidRDefault="00956634" w:rsidP="007C3E6C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NSS při posuzování překážky </w:t>
      </w:r>
      <w:r w:rsidRPr="00C72C09">
        <w:rPr>
          <w:rFonts w:ascii="Times New Roman" w:hAnsi="Times New Roman" w:cs="Times New Roman"/>
          <w:sz w:val="24"/>
          <w:szCs w:val="24"/>
          <w:lang w:val="la-Latn" w:eastAsia="cs-CZ"/>
        </w:rPr>
        <w:t>rei iudicatae</w:t>
      </w:r>
      <w:r w:rsidR="00CE2651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prvně nastiňuje</w:t>
      </w:r>
      <w:r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historický vývoj toho</w:t>
      </w:r>
      <w:r w:rsidR="00F508E7">
        <w:rPr>
          <w:rFonts w:ascii="Times New Roman" w:hAnsi="Times New Roman" w:cs="Times New Roman"/>
          <w:sz w:val="24"/>
          <w:szCs w:val="24"/>
          <w:lang w:val="cs-CZ" w:eastAsia="cs-CZ"/>
        </w:rPr>
        <w:t>to</w:t>
      </w:r>
      <w:r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institutu v římském právu a poté také </w:t>
      </w:r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>přístup</w:t>
      </w:r>
      <w:r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současné</w:t>
      </w:r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>ho</w:t>
      </w:r>
      <w:r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procesní</w:t>
      </w:r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>ho</w:t>
      </w:r>
      <w:r w:rsidR="00CE2651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práva</w:t>
      </w:r>
      <w:r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u nás. Z ustálené judikatury vyplývá, že </w:t>
      </w:r>
      <w:r w:rsidRPr="007C3E6C">
        <w:rPr>
          <w:rFonts w:ascii="Times New Roman" w:hAnsi="Times New Roman" w:cs="Times New Roman"/>
          <w:sz w:val="24"/>
          <w:szCs w:val="24"/>
          <w:u w:val="single"/>
          <w:lang w:val="cs-CZ" w:eastAsia="cs-CZ"/>
        </w:rPr>
        <w:t>překážka věci rozsouzené je spatřována u totožných věcí, přičemž totožnost věci je dána totožností účastníků a totožností předmětu řízení, tzn. jak žalobního petitu, tak žalobního důvodu</w:t>
      </w:r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(A. </w:t>
      </w:r>
      <w:proofErr w:type="spellStart"/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>Winterová</w:t>
      </w:r>
      <w:proofErr w:type="spellEnd"/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, </w:t>
      </w:r>
      <w:r w:rsidR="007C3E6C" w:rsidRPr="007C3E6C">
        <w:rPr>
          <w:rFonts w:ascii="Times New Roman" w:hAnsi="Times New Roman" w:cs="Times New Roman"/>
          <w:i/>
          <w:iCs/>
          <w:sz w:val="24"/>
          <w:szCs w:val="24"/>
          <w:lang w:val="cs-CZ" w:eastAsia="cs-CZ"/>
        </w:rPr>
        <w:t xml:space="preserve">Civilní právo procesní, </w:t>
      </w:r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3. </w:t>
      </w:r>
      <w:proofErr w:type="spellStart"/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>vyd</w:t>
      </w:r>
      <w:proofErr w:type="spellEnd"/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., </w:t>
      </w:r>
      <w:proofErr w:type="spellStart"/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>Linde</w:t>
      </w:r>
      <w:proofErr w:type="spellEnd"/>
      <w:r w:rsidR="007C3E6C"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Praha, a. s., 2004, str. 235). </w:t>
      </w:r>
    </w:p>
    <w:p w:rsidR="00EF5E8F" w:rsidRDefault="007C3E6C" w:rsidP="00CE2651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Pokud bychom se zastavili v tomto místě a rozhodli se podle toho posoudit, do jaké míry představuje rozsudek </w:t>
      </w:r>
      <w:r w:rsidRPr="007C3E6C">
        <w:rPr>
          <w:rFonts w:ascii="Times New Roman" w:hAnsi="Times New Roman" w:cs="Times New Roman"/>
          <w:i/>
          <w:sz w:val="24"/>
          <w:szCs w:val="24"/>
          <w:lang w:val="cs-CZ" w:eastAsia="cs-CZ"/>
        </w:rPr>
        <w:t>Dělnická strana I</w:t>
      </w:r>
      <w:r w:rsidRPr="007C3E6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překážku věci rozsouzené, asi bychom došli k neuspokojivému závěru. 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Totožnost účastníku uznává i NSS, kdy jsou to jak v prvním ta</w:t>
      </w:r>
      <w:r w:rsidR="00952BBF">
        <w:rPr>
          <w:rFonts w:ascii="Times New Roman" w:hAnsi="Times New Roman" w:cs="Times New Roman"/>
          <w:sz w:val="24"/>
          <w:szCs w:val="24"/>
          <w:lang w:val="cs-CZ" w:eastAsia="cs-CZ"/>
        </w:rPr>
        <w:t>k i v 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druhém případě na straně jedné politická strana Dělnická strana a na druhé straně vláda České republiky. Žalobním petitem je v obou případech rozpuštění politické strany. </w:t>
      </w:r>
      <w:r w:rsidR="009F2253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Žalobním důvodem je taktéž v obou případech rozpor s ustanovením § 4 zákona o sdružování v politických stranách a politických hnutích. Protože se v obou případech </w:t>
      </w:r>
      <w:r w:rsidR="00CE2651">
        <w:rPr>
          <w:rFonts w:ascii="Times New Roman" w:hAnsi="Times New Roman" w:cs="Times New Roman"/>
          <w:sz w:val="24"/>
          <w:szCs w:val="24"/>
          <w:lang w:val="cs-CZ" w:eastAsia="cs-CZ"/>
        </w:rPr>
        <w:t>jednalo o období, na</w:t>
      </w:r>
      <w:r w:rsidR="00952BBF">
        <w:rPr>
          <w:rFonts w:ascii="Times New Roman" w:hAnsi="Times New Roman" w:cs="Times New Roman"/>
          <w:sz w:val="24"/>
          <w:szCs w:val="24"/>
          <w:lang w:val="cs-CZ" w:eastAsia="cs-CZ"/>
        </w:rPr>
        <w:t> </w:t>
      </w:r>
      <w:r w:rsidR="00CE2651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které se </w:t>
      </w:r>
      <w:r w:rsidR="009F2253">
        <w:rPr>
          <w:rFonts w:ascii="Times New Roman" w:hAnsi="Times New Roman" w:cs="Times New Roman"/>
          <w:sz w:val="24"/>
          <w:szCs w:val="24"/>
          <w:lang w:val="cs-CZ" w:eastAsia="cs-CZ"/>
        </w:rPr>
        <w:t>podle tohoto zákona</w:t>
      </w:r>
      <w:r w:rsidR="00CE2651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vztahuje ochranná lhůta</w:t>
      </w:r>
      <w:r w:rsidR="009F2253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prot</w:t>
      </w:r>
      <w:r w:rsidR="00952BBF">
        <w:rPr>
          <w:rFonts w:ascii="Times New Roman" w:hAnsi="Times New Roman" w:cs="Times New Roman"/>
          <w:sz w:val="24"/>
          <w:szCs w:val="24"/>
          <w:lang w:val="cs-CZ" w:eastAsia="cs-CZ"/>
        </w:rPr>
        <w:t>i rozpuštění politické strany, V</w:t>
      </w:r>
      <w:r w:rsidR="009F2253">
        <w:rPr>
          <w:rFonts w:ascii="Times New Roman" w:hAnsi="Times New Roman" w:cs="Times New Roman"/>
          <w:sz w:val="24"/>
          <w:szCs w:val="24"/>
          <w:lang w:val="cs-CZ" w:eastAsia="cs-CZ"/>
        </w:rPr>
        <w:t>láda ani nemohla využít jiného právního důvodu v tomto období.</w:t>
      </w:r>
    </w:p>
    <w:p w:rsidR="00D84DE0" w:rsidRDefault="00EF5E8F" w:rsidP="007F529F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>Spornou se nám může jevit jen</w:t>
      </w:r>
      <w:r w:rsidR="00561587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shoda v žalobním důvodu, čili</w:t>
      </w:r>
      <w:r w:rsidR="00561587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ve vymezení konkrétního jednání strany, kterým naplňuje por</w:t>
      </w:r>
      <w:r w:rsidR="00D84DE0">
        <w:rPr>
          <w:rFonts w:ascii="Times New Roman" w:hAnsi="Times New Roman" w:cs="Times New Roman"/>
          <w:sz w:val="24"/>
          <w:szCs w:val="24"/>
          <w:lang w:val="cs-CZ" w:eastAsia="cs-CZ"/>
        </w:rPr>
        <w:t>ušování zmíněné normy. Dá se</w:t>
      </w:r>
      <w:r w:rsidR="00561587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obecně říci, že v případě politické strany musí jít o porušování kontinuální</w:t>
      </w:r>
      <w:r w:rsidR="00952BBF">
        <w:rPr>
          <w:rFonts w:ascii="Times New Roman" w:hAnsi="Times New Roman" w:cs="Times New Roman"/>
          <w:sz w:val="24"/>
          <w:szCs w:val="24"/>
          <w:lang w:val="cs-CZ" w:eastAsia="cs-CZ"/>
        </w:rPr>
        <w:t>.</w:t>
      </w:r>
      <w:r w:rsidR="00D84DE0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</w:t>
      </w:r>
      <w:r w:rsidR="00BA530E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Pokud chceme politickou stranu rozpustit, je třeba prvně prokázat, že se strana chová protiprávně. Toto chování vnímám spíše jako vlastnost. Vlastnost, na kterou můžeme usuzovat z dílčích projevů. Nedokazujeme tedy, že tam na tom onom mítinku se tito příslušníci strany dopustili protiprávního jednání, ale tyto jednotlivé dílčí projevy skládáme do mozaiky a až právě takovou mozaiku považujme za chování strany. </w:t>
      </w:r>
      <w:r w:rsidR="007F529F">
        <w:rPr>
          <w:rFonts w:ascii="Times New Roman" w:hAnsi="Times New Roman" w:cs="Times New Roman"/>
          <w:sz w:val="24"/>
          <w:szCs w:val="24"/>
          <w:lang w:val="cs-CZ" w:eastAsia="cs-CZ"/>
        </w:rPr>
        <w:t>C</w:t>
      </w:r>
      <w:r w:rsidR="00BA530E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hování, které je-li v rozporu s ústavním pořádkem, </w:t>
      </w:r>
      <w:r w:rsidR="007F529F">
        <w:rPr>
          <w:rFonts w:ascii="Times New Roman" w:hAnsi="Times New Roman" w:cs="Times New Roman"/>
          <w:sz w:val="24"/>
          <w:szCs w:val="24"/>
          <w:lang w:val="cs-CZ" w:eastAsia="cs-CZ"/>
        </w:rPr>
        <w:t>splňuje podmínku pro </w:t>
      </w:r>
      <w:r w:rsidR="00BA530E">
        <w:rPr>
          <w:rFonts w:ascii="Times New Roman" w:hAnsi="Times New Roman" w:cs="Times New Roman"/>
          <w:sz w:val="24"/>
          <w:szCs w:val="24"/>
          <w:lang w:val="cs-CZ" w:eastAsia="cs-CZ"/>
        </w:rPr>
        <w:t>roz</w:t>
      </w:r>
      <w:r w:rsidR="007F529F">
        <w:rPr>
          <w:rFonts w:ascii="Times New Roman" w:hAnsi="Times New Roman" w:cs="Times New Roman"/>
          <w:sz w:val="24"/>
          <w:szCs w:val="24"/>
          <w:lang w:val="cs-CZ" w:eastAsia="cs-CZ"/>
        </w:rPr>
        <w:t>puštění politické strany</w:t>
      </w:r>
      <w:r w:rsidR="00BA530E">
        <w:rPr>
          <w:rFonts w:ascii="Times New Roman" w:hAnsi="Times New Roman" w:cs="Times New Roman"/>
          <w:sz w:val="24"/>
          <w:szCs w:val="24"/>
          <w:lang w:val="cs-CZ" w:eastAsia="cs-CZ"/>
        </w:rPr>
        <w:t>. V tomto smyslu chápu první dva body onoho čtyřstupňového testu.</w:t>
      </w:r>
      <w:r w:rsidR="00E270E7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Toto pojetí podle mého názoru respektuje významnost postavení politické strany v demokratickém právním státě. </w:t>
      </w:r>
    </w:p>
    <w:p w:rsidR="00D84DE0" w:rsidRDefault="00E270E7" w:rsidP="00E270E7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lastRenderedPageBreak/>
        <w:t xml:space="preserve">Soud zřejmě vidí za žalobním důvodem konkrétní činy, pro které </w:t>
      </w:r>
      <w:r w:rsidR="00375829">
        <w:rPr>
          <w:rFonts w:ascii="Times New Roman" w:hAnsi="Times New Roman" w:cs="Times New Roman"/>
          <w:sz w:val="24"/>
          <w:szCs w:val="24"/>
          <w:lang w:val="cs-CZ" w:eastAsia="cs-CZ"/>
        </w:rPr>
        <w:t>V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láda tvrdí protiprávnost chování politické strany. Já </w:t>
      </w:r>
      <w:r w:rsidR="00822C3B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tento žalobní důvod považuji fakt, že je chování strany protiprávní.</w:t>
      </w:r>
    </w:p>
    <w:p w:rsidR="009F2253" w:rsidRDefault="009F2253" w:rsidP="007C3E6C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>NSS v tomto místě ovšem s výkladem překážky věci rozsouzené nekončí a argumentuje dále.</w:t>
      </w:r>
      <w:r w:rsidR="00DA222E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Především se odráží od právního názoru, který Soud uvádí</w:t>
      </w:r>
      <w:r w:rsidR="0041750B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již</w:t>
      </w:r>
      <w:r w:rsidR="00DA222E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 rozsudku </w:t>
      </w:r>
      <w:r w:rsidR="00DA222E">
        <w:rPr>
          <w:rFonts w:ascii="Times New Roman" w:hAnsi="Times New Roman" w:cs="Times New Roman"/>
          <w:i/>
          <w:sz w:val="24"/>
          <w:szCs w:val="24"/>
          <w:lang w:val="cs-CZ" w:eastAsia="cs-CZ"/>
        </w:rPr>
        <w:t>Dělnická strana I</w:t>
      </w:r>
      <w:r w:rsidR="00952BBF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 </w:t>
      </w:r>
      <w:r w:rsidR="00DA222E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to: </w:t>
      </w:r>
      <w:r w:rsidR="0021203F" w:rsidRPr="0021203F">
        <w:rPr>
          <w:rFonts w:ascii="Times New Roman" w:hAnsi="Times New Roman" w:cs="Times New Roman"/>
          <w:i/>
          <w:sz w:val="24"/>
          <w:szCs w:val="24"/>
          <w:lang w:val="cs-CZ" w:eastAsia="cs-CZ"/>
        </w:rPr>
        <w:t>„</w:t>
      </w:r>
      <w:r w:rsidR="00DA222E" w:rsidRPr="0021203F">
        <w:rPr>
          <w:rFonts w:ascii="Times New Roman" w:hAnsi="Times New Roman" w:cs="Times New Roman"/>
          <w:i/>
          <w:sz w:val="24"/>
          <w:szCs w:val="24"/>
          <w:lang w:val="cs-CZ" w:eastAsia="cs-CZ"/>
        </w:rPr>
        <w:t xml:space="preserve">Nejvyšší správní soud rozhoduje podle skutkového stavu, který tu je </w:t>
      </w:r>
      <w:r w:rsidR="00F508E7">
        <w:rPr>
          <w:rFonts w:ascii="Times New Roman" w:hAnsi="Times New Roman" w:cs="Times New Roman"/>
          <w:i/>
          <w:sz w:val="24"/>
          <w:szCs w:val="24"/>
          <w:lang w:val="cs-CZ" w:eastAsia="cs-CZ"/>
        </w:rPr>
        <w:t xml:space="preserve">v </w:t>
      </w:r>
      <w:r w:rsidR="00DA222E" w:rsidRPr="0021203F">
        <w:rPr>
          <w:rFonts w:ascii="Times New Roman" w:hAnsi="Times New Roman" w:cs="Times New Roman"/>
          <w:i/>
          <w:sz w:val="24"/>
          <w:szCs w:val="24"/>
          <w:lang w:val="cs-CZ" w:eastAsia="cs-CZ"/>
        </w:rPr>
        <w:t>době rozhodnutí soudu (§ 96 správního řádu soudního). Z toho plyne, že zamítavé rozhodnutí o návrhu na rozpuštění politické strany nevylučuje podání jiného návrhu na rozpuštění stejné politické strany v budoucnu.“</w:t>
      </w:r>
      <w:r w:rsidR="0021203F">
        <w:rPr>
          <w:rFonts w:ascii="Times New Roman" w:hAnsi="Times New Roman" w:cs="Times New Roman"/>
          <w:sz w:val="24"/>
          <w:szCs w:val="24"/>
          <w:lang w:val="cs-CZ" w:eastAsia="cs-CZ"/>
        </w:rPr>
        <w:t>.</w:t>
      </w:r>
      <w:r w:rsidR="0041750B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Činnost politické strany je třeba posuzovat jako dynamickou a Soud ještě více zdůrazňuje, že rozhodnutí musí být vždy zcela aktuální a není </w:t>
      </w:r>
      <w:r w:rsidR="00F508E7">
        <w:rPr>
          <w:rFonts w:ascii="Times New Roman" w:hAnsi="Times New Roman" w:cs="Times New Roman"/>
          <w:sz w:val="24"/>
          <w:szCs w:val="24"/>
          <w:lang w:val="cs-CZ" w:eastAsia="cs-CZ"/>
        </w:rPr>
        <w:t>možné politickou stranu rozpustit</w:t>
      </w:r>
      <w:r w:rsidR="0041750B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za její minulost.</w:t>
      </w:r>
    </w:p>
    <w:p w:rsidR="00EF5E8F" w:rsidRDefault="00DF71FD" w:rsidP="00493554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>Na základě výše uvedeného NSS dovozuje, že i v případě identicky formulovaného petitu se nejedná o stejný „žalobní návrh“, který by zakládal překážku věci rozsouzené.</w:t>
      </w:r>
      <w:r w:rsidR="00045306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K tomu ještě, podle mého názoru ne úplně šťastn</w:t>
      </w:r>
      <w:r w:rsidR="00BC732F">
        <w:rPr>
          <w:rFonts w:ascii="Times New Roman" w:hAnsi="Times New Roman" w:cs="Times New Roman"/>
          <w:sz w:val="24"/>
          <w:szCs w:val="24"/>
          <w:lang w:val="cs-CZ" w:eastAsia="cs-CZ"/>
        </w:rPr>
        <w:t>ě, dodává, že v případě, kdyby V</w:t>
      </w:r>
      <w:r w:rsidR="00045306">
        <w:rPr>
          <w:rFonts w:ascii="Times New Roman" w:hAnsi="Times New Roman" w:cs="Times New Roman"/>
          <w:sz w:val="24"/>
          <w:szCs w:val="24"/>
          <w:lang w:val="cs-CZ" w:eastAsia="cs-CZ"/>
        </w:rPr>
        <w:t>láda zjistila nové důkazy nebo skutečnosti, které nemohla v původním řízení bez svého zavinění uplatnit, bylo by dle s</w:t>
      </w:r>
      <w:r w:rsidR="00493554">
        <w:rPr>
          <w:rFonts w:ascii="Times New Roman" w:hAnsi="Times New Roman" w:cs="Times New Roman"/>
          <w:sz w:val="24"/>
          <w:szCs w:val="24"/>
          <w:lang w:val="cs-CZ" w:eastAsia="cs-CZ"/>
        </w:rPr>
        <w:t>.</w:t>
      </w:r>
      <w:r w:rsidR="00045306">
        <w:rPr>
          <w:rFonts w:ascii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="00045306">
        <w:rPr>
          <w:rFonts w:ascii="Times New Roman" w:hAnsi="Times New Roman" w:cs="Times New Roman"/>
          <w:sz w:val="24"/>
          <w:szCs w:val="24"/>
          <w:lang w:val="cs-CZ" w:eastAsia="cs-CZ"/>
        </w:rPr>
        <w:t>ř</w:t>
      </w:r>
      <w:proofErr w:type="spellEnd"/>
      <w:r w:rsidR="00045306">
        <w:rPr>
          <w:rFonts w:ascii="Times New Roman" w:hAnsi="Times New Roman" w:cs="Times New Roman"/>
          <w:sz w:val="24"/>
          <w:szCs w:val="24"/>
          <w:lang w:val="cs-CZ" w:eastAsia="cs-CZ"/>
        </w:rPr>
        <w:t>. s. na místě podat návrh na obnovu řízení.</w:t>
      </w:r>
    </w:p>
    <w:p w:rsidR="003179A2" w:rsidRDefault="00EF5E8F" w:rsidP="004A2CA3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>Myslím si</w:t>
      </w:r>
      <w:r w:rsidR="00DF71F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, že </w:t>
      </w:r>
      <w:r w:rsidR="004A2CA3">
        <w:rPr>
          <w:rFonts w:ascii="Times New Roman" w:hAnsi="Times New Roman" w:cs="Times New Roman"/>
          <w:sz w:val="24"/>
          <w:szCs w:val="24"/>
          <w:lang w:val="cs-CZ" w:eastAsia="cs-CZ"/>
        </w:rPr>
        <w:t>Soud ze své</w:t>
      </w:r>
      <w:r w:rsidR="00B565C1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předcházející argumentace </w:t>
      </w:r>
      <w:r w:rsidR="00DF71FD">
        <w:rPr>
          <w:rFonts w:ascii="Times New Roman" w:hAnsi="Times New Roman" w:cs="Times New Roman"/>
          <w:sz w:val="24"/>
          <w:szCs w:val="24"/>
          <w:lang w:val="cs-CZ" w:eastAsia="cs-CZ"/>
        </w:rPr>
        <w:t>k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 </w:t>
      </w:r>
      <w:r w:rsidR="00DF71FD">
        <w:rPr>
          <w:rFonts w:ascii="Times New Roman" w:hAnsi="Times New Roman" w:cs="Times New Roman"/>
          <w:sz w:val="24"/>
          <w:szCs w:val="24"/>
          <w:lang w:val="cs-CZ" w:eastAsia="cs-CZ"/>
        </w:rPr>
        <w:t>závěru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nestejného žalobního návrhu v podstatě nedošel. Soud </w:t>
      </w:r>
      <w:r w:rsidR="00DF71F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poukázal na skutečnost, že je třeba spojit posuzování </w:t>
      </w:r>
      <w:r w:rsidR="004A2CA3">
        <w:rPr>
          <w:rFonts w:ascii="Times New Roman" w:hAnsi="Times New Roman" w:cs="Times New Roman"/>
          <w:sz w:val="24"/>
          <w:szCs w:val="24"/>
          <w:lang w:val="cs-CZ" w:eastAsia="cs-CZ"/>
        </w:rPr>
        <w:t>návrhu o </w:t>
      </w:r>
      <w:r w:rsidR="00A426BF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rozpuštění politické strany s nejaktuálnějším časovým okamžikem. Na druhou stranu Soud předestřel, že </w:t>
      </w:r>
      <w:r w:rsidR="00A426BF" w:rsidRPr="00C72C09">
        <w:rPr>
          <w:rFonts w:ascii="Times New Roman" w:hAnsi="Times New Roman" w:cs="Times New Roman"/>
          <w:sz w:val="24"/>
          <w:szCs w:val="24"/>
          <w:lang w:val="la-Latn" w:eastAsia="cs-CZ"/>
        </w:rPr>
        <w:t>rei iudicatae</w:t>
      </w:r>
      <w:r w:rsidR="00A426BF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se v souladu s dosavadní soudní praxí aplikuje i v tomto případě. Z toho mi plyne, že tím rozhodujícím aspektem, který legitimuje </w:t>
      </w:r>
      <w:r w:rsidR="00045306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buď </w:t>
      </w:r>
      <w:r w:rsidR="00A426BF">
        <w:rPr>
          <w:rFonts w:ascii="Times New Roman" w:hAnsi="Times New Roman" w:cs="Times New Roman"/>
          <w:sz w:val="24"/>
          <w:szCs w:val="24"/>
          <w:lang w:val="cs-CZ" w:eastAsia="cs-CZ"/>
        </w:rPr>
        <w:t>možnost podání dalšího návrhu, nebo naopak s</w:t>
      </w:r>
      <w:r w:rsidR="00F508E7">
        <w:rPr>
          <w:rFonts w:ascii="Times New Roman" w:hAnsi="Times New Roman" w:cs="Times New Roman"/>
          <w:sz w:val="24"/>
          <w:szCs w:val="24"/>
          <w:lang w:val="cs-CZ" w:eastAsia="cs-CZ"/>
        </w:rPr>
        <w:t>etrvání na rozhodnutém, je posun</w:t>
      </w:r>
      <w:r w:rsidR="00A426BF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situace týkající se </w:t>
      </w:r>
      <w:r w:rsidR="00045306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politické strany </w:t>
      </w:r>
      <w:r w:rsidR="00A426BF">
        <w:rPr>
          <w:rFonts w:ascii="Times New Roman" w:hAnsi="Times New Roman" w:cs="Times New Roman"/>
          <w:sz w:val="24"/>
          <w:szCs w:val="24"/>
          <w:lang w:val="cs-CZ" w:eastAsia="cs-CZ"/>
        </w:rPr>
        <w:t>v</w:t>
      </w:r>
      <w:r w:rsidR="00045306">
        <w:rPr>
          <w:rFonts w:ascii="Times New Roman" w:hAnsi="Times New Roman" w:cs="Times New Roman"/>
          <w:sz w:val="24"/>
          <w:szCs w:val="24"/>
          <w:lang w:val="cs-CZ" w:eastAsia="cs-CZ"/>
        </w:rPr>
        <w:t> </w:t>
      </w:r>
      <w:r w:rsidR="00A426BF">
        <w:rPr>
          <w:rFonts w:ascii="Times New Roman" w:hAnsi="Times New Roman" w:cs="Times New Roman"/>
          <w:sz w:val="24"/>
          <w:szCs w:val="24"/>
          <w:lang w:val="cs-CZ" w:eastAsia="cs-CZ"/>
        </w:rPr>
        <w:t>čase</w:t>
      </w:r>
      <w:r w:rsidR="00045306">
        <w:rPr>
          <w:rFonts w:ascii="Times New Roman" w:hAnsi="Times New Roman" w:cs="Times New Roman"/>
          <w:sz w:val="24"/>
          <w:szCs w:val="24"/>
          <w:lang w:val="cs-CZ" w:eastAsia="cs-CZ"/>
        </w:rPr>
        <w:t>, v mezidobí mezi jednotlivými návrhy</w:t>
      </w:r>
      <w:r w:rsidR="00A426BF">
        <w:rPr>
          <w:rFonts w:ascii="Times New Roman" w:hAnsi="Times New Roman" w:cs="Times New Roman"/>
          <w:sz w:val="24"/>
          <w:szCs w:val="24"/>
          <w:lang w:val="cs-CZ" w:eastAsia="cs-CZ"/>
        </w:rPr>
        <w:t>.</w:t>
      </w:r>
    </w:p>
    <w:p w:rsidR="00DF71FD" w:rsidRDefault="00045306" w:rsidP="000E258D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>Samo</w:t>
      </w:r>
      <w:r w:rsidR="004A2CA3">
        <w:rPr>
          <w:rFonts w:ascii="Times New Roman" w:hAnsi="Times New Roman" w:cs="Times New Roman"/>
          <w:sz w:val="24"/>
          <w:szCs w:val="24"/>
          <w:lang w:val="cs-CZ" w:eastAsia="cs-CZ"/>
        </w:rPr>
        <w:t>zřejmě se Soudem souhlasím v tom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, že zamítnutím návrhu na rozpuštění politické strany nevzniká časový okamžik, </w:t>
      </w:r>
      <w:r w:rsidR="00DB7526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který by </w:t>
      </w:r>
      <w:r w:rsidR="000E258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Soudu </w:t>
      </w:r>
      <w:r w:rsidR="00DB7526">
        <w:rPr>
          <w:rFonts w:ascii="Times New Roman" w:hAnsi="Times New Roman" w:cs="Times New Roman"/>
          <w:sz w:val="24"/>
          <w:szCs w:val="24"/>
          <w:lang w:val="cs-CZ" w:eastAsia="cs-CZ"/>
        </w:rPr>
        <w:t>bránil zajímat se o to, jakou činnost vykonávala politická strana předtím. Takový výklad</w:t>
      </w:r>
      <w:r w:rsidR="002128F0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by</w:t>
      </w:r>
      <w:r w:rsidR="00DB7526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byl absurdní a</w:t>
      </w:r>
      <w:r w:rsidR="00105399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jistě nesprávný. Protože však V</w:t>
      </w:r>
      <w:r w:rsidR="00DB7526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láda má v řízení o návrhu na rozpuštění politické strany břemeno důkazní a tvrzení a je její povinností spojenou s aktivní legitimací, jak uvádí Soud, dostatečně věrohodně a přesvědčivě předložit soudu konkrétní poznatky o neslučitelnosti strany se zákonem, není možné neunesení těchto procesních břemen a povinností dávat 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kontradiktorní </w:t>
      </w:r>
      <w:r w:rsidR="00DB7526">
        <w:rPr>
          <w:rFonts w:ascii="Times New Roman" w:hAnsi="Times New Roman" w:cs="Times New Roman"/>
          <w:sz w:val="24"/>
          <w:szCs w:val="24"/>
          <w:lang w:val="cs-CZ" w:eastAsia="cs-CZ"/>
        </w:rPr>
        <w:t>straně ke škodě, ba právě naopak. Dalo by se říci: „</w:t>
      </w:r>
      <w:r w:rsidR="003179A2">
        <w:rPr>
          <w:rFonts w:ascii="Times New Roman" w:hAnsi="Times New Roman" w:cs="Times New Roman"/>
          <w:sz w:val="24"/>
          <w:szCs w:val="24"/>
          <w:lang w:val="cs-CZ" w:eastAsia="cs-CZ"/>
        </w:rPr>
        <w:t>vždyť to se přece právě stalo v okamžiku, kdy</w:t>
      </w:r>
      <w:r w:rsidR="00DB7526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NSS zamítnul první návrh na rozpuštění Dělnické strany“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. Soud správně 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>rozhodl</w:t>
      </w:r>
      <w:r w:rsidR="00105399">
        <w:rPr>
          <w:rFonts w:ascii="Times New Roman" w:hAnsi="Times New Roman" w:cs="Times New Roman"/>
          <w:sz w:val="24"/>
          <w:szCs w:val="24"/>
          <w:lang w:val="cs-CZ" w:eastAsia="cs-CZ"/>
        </w:rPr>
        <w:t>, že V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>láda v soudním procesu neobstála, netvrdila potřebné skutečnost</w:t>
      </w:r>
      <w:r w:rsidR="00105399">
        <w:rPr>
          <w:rFonts w:ascii="Times New Roman" w:hAnsi="Times New Roman" w:cs="Times New Roman"/>
          <w:sz w:val="24"/>
          <w:szCs w:val="24"/>
          <w:lang w:val="cs-CZ" w:eastAsia="cs-CZ"/>
        </w:rPr>
        <w:t>i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 nakonec vlastně ani vůbec nic neobhájila důkazy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>,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a tak spor jednoduše prohrála. Jenže v</w:t>
      </w:r>
      <w:r w:rsidR="003179A2">
        <w:rPr>
          <w:rFonts w:ascii="Times New Roman" w:hAnsi="Times New Roman" w:cs="Times New Roman"/>
          <w:sz w:val="24"/>
          <w:szCs w:val="24"/>
          <w:lang w:val="cs-CZ" w:eastAsia="cs-CZ"/>
        </w:rPr>
        <w:t> k</w:t>
      </w:r>
      <w:r w:rsidR="00105399">
        <w:rPr>
          <w:rFonts w:ascii="Times New Roman" w:hAnsi="Times New Roman" w:cs="Times New Roman"/>
          <w:sz w:val="24"/>
          <w:szCs w:val="24"/>
          <w:lang w:val="cs-CZ" w:eastAsia="cs-CZ"/>
        </w:rPr>
        <w:t>onečném důsledku toto bylo pro V</w:t>
      </w:r>
      <w:r w:rsidR="003179A2">
        <w:rPr>
          <w:rFonts w:ascii="Times New Roman" w:hAnsi="Times New Roman" w:cs="Times New Roman"/>
          <w:sz w:val="24"/>
          <w:szCs w:val="24"/>
          <w:lang w:val="cs-CZ" w:eastAsia="cs-CZ"/>
        </w:rPr>
        <w:t>ládu právě tou největší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výhodou, když jí</w:t>
      </w:r>
      <w:r w:rsidR="003179A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Soud 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>v odůvodnění svého</w:t>
      </w:r>
      <w:r w:rsidR="003179A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první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>ho</w:t>
      </w:r>
      <w:r w:rsidR="003179A2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rozsudku naservíroval návod na rozpuštění politické strany.</w:t>
      </w:r>
    </w:p>
    <w:p w:rsidR="003179A2" w:rsidRDefault="003179A2" w:rsidP="007C3E6C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Snad aby to nevyznělo příliš rezolutně, souhlasím s Nejvyšším správním soudem s tím nejvíce zásadním, tedy že zde překážka věci rozhodnuté nebrání podání druhého návrhu na rozpuštění 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lastRenderedPageBreak/>
        <w:t xml:space="preserve">Dělnické strany. </w:t>
      </w:r>
      <w:r w:rsidR="00891908">
        <w:rPr>
          <w:rFonts w:ascii="Times New Roman" w:hAnsi="Times New Roman" w:cs="Times New Roman"/>
          <w:sz w:val="24"/>
          <w:szCs w:val="24"/>
          <w:lang w:val="cs-CZ" w:eastAsia="cs-CZ"/>
        </w:rPr>
        <w:t>Nebrání za podmínky přesvědčivější právně logické argumentace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.</w:t>
      </w:r>
      <w:r w:rsidR="00891908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</w:t>
      </w:r>
      <w:r w:rsidR="007F60A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Podle mého názoru je podle výše Soudem nastíněného klíče možné posuzovat následující návrh jen pro jiný 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>„</w:t>
      </w:r>
      <w:r w:rsidR="007F60AD">
        <w:rPr>
          <w:rFonts w:ascii="Times New Roman" w:hAnsi="Times New Roman" w:cs="Times New Roman"/>
          <w:sz w:val="24"/>
          <w:szCs w:val="24"/>
          <w:lang w:val="cs-CZ" w:eastAsia="cs-CZ"/>
        </w:rPr>
        <w:t>aktuální stav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>“</w:t>
      </w:r>
      <w:r w:rsidR="007F60A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dané politické strany. Proto je ale třeba prokázat, že politická strana se nyní nachází v jiném stavu než v době prvního rozhodování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o</w:t>
      </w:r>
      <w:r w:rsidR="007F60AD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návrhu na rozpuštění. Jestliže by se společenská situace či činnost strany od </w:t>
      </w:r>
      <w:r w:rsidR="00105399">
        <w:rPr>
          <w:rFonts w:ascii="Times New Roman" w:hAnsi="Times New Roman" w:cs="Times New Roman"/>
          <w:sz w:val="24"/>
          <w:szCs w:val="24"/>
          <w:lang w:val="cs-CZ" w:eastAsia="cs-CZ"/>
        </w:rPr>
        <w:t>prvního rozsudku nijak nezměnily</w:t>
      </w:r>
      <w:r w:rsidR="007F60AD">
        <w:rPr>
          <w:rFonts w:ascii="Times New Roman" w:hAnsi="Times New Roman" w:cs="Times New Roman"/>
          <w:sz w:val="24"/>
          <w:szCs w:val="24"/>
          <w:lang w:val="cs-CZ" w:eastAsia="cs-CZ"/>
        </w:rPr>
        <w:t>, není přece možné jen doplnit návrh o pár tvrzení a skutečností a zkusit to znovu.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Vláda měla přeci převážnou většinu informací, které dokládá v druhém návrhu, k dispozici již před návrhem prvním. Zachovala se ovšem velice amatérsky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>. S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vým 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>prvním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zcela bezzubým podáním pěkně navařila Nejvyššímu správnímu soudu, který jistě musel již na začátku počítat s tím,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že tuto situaci bude muset</w:t>
      </w:r>
      <w:r w:rsidR="00C96B8C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řešit.</w:t>
      </w:r>
    </w:p>
    <w:p w:rsidR="00C72C09" w:rsidRDefault="00326E0B" w:rsidP="007C3E6C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NSS v rozsudku </w:t>
      </w:r>
      <w:r>
        <w:rPr>
          <w:rFonts w:ascii="Times New Roman" w:hAnsi="Times New Roman" w:cs="Times New Roman"/>
          <w:i/>
          <w:sz w:val="24"/>
          <w:szCs w:val="24"/>
          <w:lang w:val="cs-CZ" w:eastAsia="cs-CZ"/>
        </w:rPr>
        <w:t>Dělnická strana II</w:t>
      </w:r>
      <w:r w:rsidR="00C72C09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uzavírá celou svou úvahu o uvažované procesní překážce s tím, že překážku věci rozhodnuté v řízení o návrhu na rozpuštění politické strany vnímá Soud tak, že nemůže opakovaně posuzovat již jednou projednaná skutková tvrzení a důkazy, ale současně platí, že není vyloučeno projednat a vyhodnotit i taková tvrzení, která se týkají činnosti politické strany i před nabytím právní moc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i</w:t>
      </w:r>
      <w:r w:rsidR="00C72C09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prvního rozhodnutí, samozřejmě především ve smyslu současného kontextu.</w:t>
      </w:r>
    </w:p>
    <w:p w:rsidR="00A740F6" w:rsidRDefault="009D018C" w:rsidP="00105399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>S tímto výsledkem se lze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jednoduše ztotožnit a jeví se pro Dělnickou stranu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spravedlivé, když se neunesení důkazního břeme</w:t>
      </w:r>
      <w:r w:rsidR="00105399">
        <w:rPr>
          <w:rFonts w:ascii="Times New Roman" w:hAnsi="Times New Roman" w:cs="Times New Roman"/>
          <w:sz w:val="24"/>
          <w:szCs w:val="24"/>
          <w:lang w:val="cs-CZ" w:eastAsia="cs-CZ"/>
        </w:rPr>
        <w:t>ne a břemene tvrzení ze strany V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lády projeví alespoň v tomto případě nemožnosti znovu projednat a posuzovat již posuzovaný skutkový stav. V této souvislosti je jistě pro </w:t>
      </w:r>
      <w:r w:rsidR="00105399">
        <w:rPr>
          <w:rFonts w:ascii="Times New Roman" w:hAnsi="Times New Roman" w:cs="Times New Roman"/>
          <w:sz w:val="24"/>
          <w:szCs w:val="24"/>
          <w:lang w:val="cs-CZ" w:eastAsia="cs-CZ"/>
        </w:rPr>
        <w:t>V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ládu přínosné, že v prvním návrhu na rozpuštění 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>DS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byla poněk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>ud nedbalá a netvrdila toho příliš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, protože by</w:t>
      </w:r>
      <w:r w:rsidR="00326E0B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jí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samotné</w:t>
      </w:r>
      <w:r w:rsidR="00326E0B">
        <w:rPr>
          <w:rFonts w:ascii="Times New Roman" w:hAnsi="Times New Roman" w:cs="Times New Roman"/>
          <w:sz w:val="24"/>
          <w:szCs w:val="24"/>
          <w:lang w:val="cs-CZ" w:eastAsia="cs-CZ"/>
        </w:rPr>
        <w:t>, potažmo spíše Soudu,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v druhém řízení zúžilo manévrovací prostor. Je taky nutné naprosto souhlasit s NSS v případě zjišťování a posuzování celého kontextu působení politické</w:t>
      </w:r>
      <w:r w:rsidR="00326E0B"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strany bez ohledu na to, zda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 xml:space="preserve"> již se o daných skutečnostech řízení vedlo nebo nikoliv.</w:t>
      </w:r>
    </w:p>
    <w:p w:rsidR="00326E0B" w:rsidRPr="000C02C2" w:rsidRDefault="00326E0B" w:rsidP="000C02C2">
      <w:pPr>
        <w:jc w:val="both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hAnsi="Times New Roman" w:cs="Times New Roman"/>
          <w:sz w:val="24"/>
          <w:szCs w:val="24"/>
          <w:lang w:val="cs-CZ" w:eastAsia="cs-CZ"/>
        </w:rPr>
        <w:t>Nakonec se tedy Soud rozhodl, že se nebude zabývat spoluprácí Dělnické strany s hnutím Národního odporu v období před březnem 2009 a dále se nehodlá znovu zabývat shromážděními konanými v Hradci Krá</w:t>
      </w:r>
      <w:r w:rsidR="00375829">
        <w:rPr>
          <w:rFonts w:ascii="Times New Roman" w:hAnsi="Times New Roman" w:cs="Times New Roman"/>
          <w:sz w:val="24"/>
          <w:szCs w:val="24"/>
          <w:lang w:val="cs-CZ" w:eastAsia="cs-CZ"/>
        </w:rPr>
        <w:t>lové a v Litvínově, ač k těmto V</w:t>
      </w:r>
      <w:r>
        <w:rPr>
          <w:rFonts w:ascii="Times New Roman" w:hAnsi="Times New Roman" w:cs="Times New Roman"/>
          <w:sz w:val="24"/>
          <w:szCs w:val="24"/>
          <w:lang w:val="cs-CZ" w:eastAsia="cs-CZ"/>
        </w:rPr>
        <w:t>láda předkládá nové skutečnosti. Tímto Soud rekapituloval vše, čemu svědčí překážka věci rozsouzené. Zbylými tvrzeními se bude podrobně zabývat a i z těchto vyloučených bodů bude skládat celkový kontext činnos</w:t>
      </w:r>
      <w:r w:rsidR="00C86585">
        <w:rPr>
          <w:rFonts w:ascii="Times New Roman" w:hAnsi="Times New Roman" w:cs="Times New Roman"/>
          <w:sz w:val="24"/>
          <w:szCs w:val="24"/>
          <w:lang w:val="cs-CZ" w:eastAsia="cs-CZ"/>
        </w:rPr>
        <w:t>ti a fungování Dělnické strany.</w:t>
      </w:r>
    </w:p>
    <w:p w:rsidR="00BF4C93" w:rsidRPr="003E4B1C" w:rsidRDefault="00C86585" w:rsidP="00B722AC">
      <w:pPr>
        <w:pStyle w:val="Nadpis2"/>
        <w:rPr>
          <w:rFonts w:eastAsia="Times New Roman"/>
          <w:b/>
          <w:lang w:val="cs-CZ" w:eastAsia="cs-CZ"/>
        </w:rPr>
      </w:pPr>
      <w:r w:rsidRPr="003E4B1C">
        <w:rPr>
          <w:rFonts w:eastAsia="Times New Roman"/>
          <w:b/>
          <w:lang w:val="cs-CZ" w:eastAsia="cs-CZ"/>
        </w:rPr>
        <w:t>Vlastní názor</w:t>
      </w:r>
    </w:p>
    <w:p w:rsidR="00A63CA3" w:rsidRDefault="00A63CA3" w:rsidP="00B722A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poslední části tohoto komentáře bych se chtěl zamyslet nad situací, která tady vznikla, poněkud obšírněji. Česká politická scéna se vyvíjela svým předpokládaným úpadkový</w:t>
      </w:r>
      <w:r w:rsidR="00105399">
        <w:rPr>
          <w:rFonts w:ascii="Times New Roman" w:hAnsi="Times New Roman" w:cs="Times New Roman"/>
          <w:sz w:val="24"/>
          <w:szCs w:val="24"/>
          <w:lang w:val="cs-CZ"/>
        </w:rPr>
        <w:t>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směrem. Důkazem toho bylo i vyslovení nedůvěry vládě v době českého předsednictví EU. Čím dál tím více </w:t>
      </w:r>
      <w:r w:rsidR="00105399">
        <w:rPr>
          <w:rFonts w:ascii="Times New Roman" w:hAnsi="Times New Roman" w:cs="Times New Roman"/>
          <w:sz w:val="24"/>
          <w:szCs w:val="24"/>
          <w:lang w:val="cs-CZ"/>
        </w:rPr>
        <w:t xml:space="preserve">občanů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bylo s českou politikou nespokojeno. Takový stav je tady v moderních dějinách našeho státu pravděpodobně trvalý, ale mám pocit, že lidé začínali být, podobně jako dnes, nespokojení aktivněji. </w:t>
      </w:r>
    </w:p>
    <w:p w:rsidR="00A63CA3" w:rsidRDefault="00A63CA3" w:rsidP="00B722A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V té době se v médiích začíná objevovat Dělnická stana. Politická strana s velice kontroverzní rétorikou a </w:t>
      </w:r>
      <w:r w:rsidR="00B53E38">
        <w:rPr>
          <w:rFonts w:ascii="Times New Roman" w:hAnsi="Times New Roman" w:cs="Times New Roman"/>
          <w:sz w:val="24"/>
          <w:szCs w:val="24"/>
          <w:lang w:val="cs-CZ"/>
        </w:rPr>
        <w:t>vyhraněnými postoji. Zpočátku tato strana přicházela s řešení</w:t>
      </w:r>
      <w:r w:rsidR="00642BB4">
        <w:rPr>
          <w:rFonts w:ascii="Times New Roman" w:hAnsi="Times New Roman" w:cs="Times New Roman"/>
          <w:sz w:val="24"/>
          <w:szCs w:val="24"/>
          <w:lang w:val="cs-CZ"/>
        </w:rPr>
        <w:t>mi konkrétních problémů</w:t>
      </w:r>
      <w:r w:rsidR="00B53E38">
        <w:rPr>
          <w:rFonts w:ascii="Times New Roman" w:hAnsi="Times New Roman" w:cs="Times New Roman"/>
          <w:sz w:val="24"/>
          <w:szCs w:val="24"/>
          <w:lang w:val="cs-CZ"/>
        </w:rPr>
        <w:t xml:space="preserve"> ve společnosti, leč bylo jimi navrhované řešení </w:t>
      </w:r>
      <w:r w:rsidR="00642BB4">
        <w:rPr>
          <w:rFonts w:ascii="Times New Roman" w:hAnsi="Times New Roman" w:cs="Times New Roman"/>
          <w:sz w:val="24"/>
          <w:szCs w:val="24"/>
          <w:lang w:val="cs-CZ"/>
        </w:rPr>
        <w:t>mnohdy ústavně nekonformní. Pro </w:t>
      </w:r>
      <w:r w:rsidR="00B53E38">
        <w:rPr>
          <w:rFonts w:ascii="Times New Roman" w:hAnsi="Times New Roman" w:cs="Times New Roman"/>
          <w:sz w:val="24"/>
          <w:szCs w:val="24"/>
          <w:lang w:val="cs-CZ"/>
        </w:rPr>
        <w:t>některé se tato strana stala východiskem z politické krize u nás, pro jiné jen institucí, která by mohla posloužit jako organizátor pochodů a shromáždění, či jen pravicových koncertů.</w:t>
      </w:r>
    </w:p>
    <w:p w:rsidR="00B53E38" w:rsidRDefault="00B53E38" w:rsidP="00B722A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Tak jako tak v naší společnosti začali jedinci s radikálně pravicovým smýšlením spojovat své síly a pod záštitou politické strany začali </w:t>
      </w:r>
      <w:r w:rsidR="00642BB4">
        <w:rPr>
          <w:rFonts w:ascii="Times New Roman" w:hAnsi="Times New Roman" w:cs="Times New Roman"/>
          <w:sz w:val="24"/>
          <w:szCs w:val="24"/>
          <w:lang w:val="cs-CZ"/>
        </w:rPr>
        <w:t>vytvářet hrozbu pro demokratický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stát. Proto bylo jistě namístě začít situaci řešit. </w:t>
      </w:r>
      <w:r w:rsidR="00205569">
        <w:rPr>
          <w:rFonts w:ascii="Times New Roman" w:hAnsi="Times New Roman" w:cs="Times New Roman"/>
          <w:sz w:val="24"/>
          <w:szCs w:val="24"/>
          <w:lang w:val="cs-CZ"/>
        </w:rPr>
        <w:t>Vláda byla křehká a nestabilní a na nic jinéh</w:t>
      </w:r>
      <w:r w:rsidR="006F2354">
        <w:rPr>
          <w:rFonts w:ascii="Times New Roman" w:hAnsi="Times New Roman" w:cs="Times New Roman"/>
          <w:sz w:val="24"/>
          <w:szCs w:val="24"/>
          <w:lang w:val="cs-CZ"/>
        </w:rPr>
        <w:t>o než dohadování se s opozicí jí</w:t>
      </w:r>
      <w:r w:rsidR="00205569">
        <w:rPr>
          <w:rFonts w:ascii="Times New Roman" w:hAnsi="Times New Roman" w:cs="Times New Roman"/>
          <w:sz w:val="24"/>
          <w:szCs w:val="24"/>
          <w:lang w:val="cs-CZ"/>
        </w:rPr>
        <w:t xml:space="preserve"> ani vla</w:t>
      </w:r>
      <w:r w:rsidR="006F2354">
        <w:rPr>
          <w:rFonts w:ascii="Times New Roman" w:hAnsi="Times New Roman" w:cs="Times New Roman"/>
          <w:sz w:val="24"/>
          <w:szCs w:val="24"/>
          <w:lang w:val="cs-CZ"/>
        </w:rPr>
        <w:t>stně nezbývaly síly. V té době V</w:t>
      </w:r>
      <w:r w:rsidR="00205569">
        <w:rPr>
          <w:rFonts w:ascii="Times New Roman" w:hAnsi="Times New Roman" w:cs="Times New Roman"/>
          <w:sz w:val="24"/>
          <w:szCs w:val="24"/>
          <w:lang w:val="cs-CZ"/>
        </w:rPr>
        <w:t>láda podala Nejvyššímu správnímu soudu návrh na rozpuštění Dělnické strany.</w:t>
      </w:r>
    </w:p>
    <w:p w:rsidR="00B46010" w:rsidRDefault="00205569" w:rsidP="008C355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Návrh na rozpuštění strany může podat jen </w:t>
      </w:r>
      <w:r w:rsidR="006F2354"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sz w:val="24"/>
          <w:szCs w:val="24"/>
          <w:lang w:val="cs-CZ"/>
        </w:rPr>
        <w:t>láda. Vláda ovšem podala tak špatný návrh, že ho NSS musel zamítnout. V této situaci existuje na politické scéně strana, která bezostyšně popírá základn</w:t>
      </w:r>
      <w:r w:rsidR="008C3552">
        <w:rPr>
          <w:rFonts w:ascii="Times New Roman" w:hAnsi="Times New Roman" w:cs="Times New Roman"/>
          <w:sz w:val="24"/>
          <w:szCs w:val="24"/>
          <w:lang w:val="cs-CZ"/>
        </w:rPr>
        <w:t>í lidská práva a svobody a útoč</w:t>
      </w:r>
      <w:r>
        <w:rPr>
          <w:rFonts w:ascii="Times New Roman" w:hAnsi="Times New Roman" w:cs="Times New Roman"/>
          <w:sz w:val="24"/>
          <w:szCs w:val="24"/>
          <w:lang w:val="cs-CZ"/>
        </w:rPr>
        <w:t>í proti ústavě republiky. Je tady osoba, která se snaží potlačit samotnou demokracii a ta se proti tomuto útoku přeci musí bránit</w:t>
      </w:r>
      <w:r w:rsidR="00B46010">
        <w:rPr>
          <w:rFonts w:ascii="Times New Roman" w:hAnsi="Times New Roman" w:cs="Times New Roman"/>
          <w:sz w:val="24"/>
          <w:szCs w:val="24"/>
          <w:lang w:val="cs-CZ"/>
        </w:rPr>
        <w:t xml:space="preserve">. Ale jaké má možnosti? Odpovědnost stojí na </w:t>
      </w:r>
      <w:r w:rsidR="008C3552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B46010">
        <w:rPr>
          <w:rFonts w:ascii="Times New Roman" w:hAnsi="Times New Roman" w:cs="Times New Roman"/>
          <w:sz w:val="24"/>
          <w:szCs w:val="24"/>
          <w:lang w:val="cs-CZ"/>
        </w:rPr>
        <w:t>ládě, která jako jediná disponuje možností podniknout proti politické straně určité kroky. Ta však nejspíš měla za to, že postačí podat návrh a soud bude ten, kdo se s celou záležitostí vypořádá. Protože soudy jsou tady od toho, aby ochraňovaly demokracii</w:t>
      </w:r>
      <w:r w:rsidR="008C355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B46010" w:rsidRDefault="00B46010" w:rsidP="006413E6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tomto kontextu, kdy na jedné straně tady máme jednoznačné provinění proti demokratickým pravidlům </w:t>
      </w:r>
      <w:r w:rsidR="006413E6">
        <w:rPr>
          <w:rFonts w:ascii="Times New Roman" w:hAnsi="Times New Roman" w:cs="Times New Roman"/>
          <w:sz w:val="24"/>
          <w:szCs w:val="24"/>
          <w:lang w:val="cs-CZ"/>
        </w:rPr>
        <w:t xml:space="preserve">soutěže </w:t>
      </w:r>
      <w:r>
        <w:rPr>
          <w:rFonts w:ascii="Times New Roman" w:hAnsi="Times New Roman" w:cs="Times New Roman"/>
          <w:sz w:val="24"/>
          <w:szCs w:val="24"/>
          <w:lang w:val="cs-CZ"/>
        </w:rPr>
        <w:t>o moc</w:t>
      </w:r>
      <w:r w:rsidR="006413E6">
        <w:rPr>
          <w:rFonts w:ascii="Times New Roman" w:hAnsi="Times New Roman" w:cs="Times New Roman"/>
          <w:sz w:val="24"/>
          <w:szCs w:val="24"/>
          <w:lang w:val="cs-CZ"/>
        </w:rPr>
        <w:t xml:space="preserve"> a na straně druhé změřený pokus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vlády s touto situací něco udělat, NSS vlastně</w:t>
      </w:r>
      <w:r w:rsidR="006413E6">
        <w:rPr>
          <w:rFonts w:ascii="Times New Roman" w:hAnsi="Times New Roman" w:cs="Times New Roman"/>
          <w:sz w:val="24"/>
          <w:szCs w:val="24"/>
          <w:lang w:val="cs-CZ"/>
        </w:rPr>
        <w:t xml:space="preserve"> volil nejschůdnější cestu. Jiný scénář si nedokážu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představit. Nicméně </w:t>
      </w:r>
      <w:r w:rsidR="007D2283">
        <w:rPr>
          <w:rFonts w:ascii="Times New Roman" w:hAnsi="Times New Roman" w:cs="Times New Roman"/>
          <w:sz w:val="24"/>
          <w:szCs w:val="24"/>
          <w:lang w:val="cs-CZ"/>
        </w:rPr>
        <w:t>soudci na poli ústavního práva hnáni přesvědčením o nezbytnosti a správnosti určitého řešení bývají mnohdy velmi vynalézaví.</w:t>
      </w:r>
    </w:p>
    <w:p w:rsidR="003E4B1C" w:rsidRDefault="007D2283" w:rsidP="0027623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Při této úvaze jsem Nejvyššímu správnímu soudu vděčný za to, že vládu ve svém prvním rozsudku důkladně upozornil na velké nedostatky svého návrhu a pro jistotu naznačil, jak by si případný další návrh na rozpuštění představoval. Před</w:t>
      </w:r>
      <w:r w:rsidR="00276234">
        <w:rPr>
          <w:rFonts w:ascii="Times New Roman" w:hAnsi="Times New Roman" w:cs="Times New Roman"/>
          <w:sz w:val="24"/>
          <w:szCs w:val="24"/>
          <w:lang w:val="cs-CZ"/>
        </w:rPr>
        <w:t>pokládám, že v podstatě hned po prvním rozhodnutí začala V</w:t>
      </w:r>
      <w:r>
        <w:rPr>
          <w:rFonts w:ascii="Times New Roman" w:hAnsi="Times New Roman" w:cs="Times New Roman"/>
          <w:sz w:val="24"/>
          <w:szCs w:val="24"/>
          <w:lang w:val="cs-CZ"/>
        </w:rPr>
        <w:t>láda pracovat na př</w:t>
      </w:r>
      <w:r w:rsidR="00276234">
        <w:rPr>
          <w:rFonts w:ascii="Times New Roman" w:hAnsi="Times New Roman" w:cs="Times New Roman"/>
          <w:sz w:val="24"/>
          <w:szCs w:val="24"/>
          <w:lang w:val="cs-CZ"/>
        </w:rPr>
        <w:t>ípravě svého druhého návrhu, přičemž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nejspíš vycháze</w:t>
      </w:r>
      <w:r w:rsidR="00276234">
        <w:rPr>
          <w:rFonts w:ascii="Times New Roman" w:hAnsi="Times New Roman" w:cs="Times New Roman"/>
          <w:sz w:val="24"/>
          <w:szCs w:val="24"/>
          <w:lang w:val="cs-CZ"/>
        </w:rPr>
        <w:t>la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 názoru soudu, že lze tento návrh podat vlastně kdykoli znovu. </w:t>
      </w:r>
      <w:r w:rsidR="003E4B1C">
        <w:rPr>
          <w:rFonts w:ascii="Times New Roman" w:hAnsi="Times New Roman" w:cs="Times New Roman"/>
          <w:sz w:val="24"/>
          <w:szCs w:val="24"/>
          <w:lang w:val="cs-CZ"/>
        </w:rPr>
        <w:t>Tím spíše, když první rozsudek přilil olej do ohně, kterým se Dělnická strana pokoušela popálit demokracii ruce.</w:t>
      </w:r>
    </w:p>
    <w:p w:rsidR="00A65F3F" w:rsidRDefault="003E4B1C" w:rsidP="0037582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 samotném posuzování klíčových 4 kritérií stanovených pro rozpuštění politické strany by jistě bylo také velmi zajímavé pouvažovat a </w:t>
      </w:r>
      <w:r w:rsidR="00276234">
        <w:rPr>
          <w:rFonts w:ascii="Times New Roman" w:hAnsi="Times New Roman" w:cs="Times New Roman"/>
          <w:sz w:val="24"/>
          <w:szCs w:val="24"/>
          <w:lang w:val="cs-CZ"/>
        </w:rPr>
        <w:t>podívat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 na argumentaci soudu v této věci. Nicméně na to v nám zadaném rozsahu této práce již nezbývá místo. A </w:t>
      </w:r>
      <w:r w:rsidR="00276234">
        <w:rPr>
          <w:rFonts w:ascii="Times New Roman" w:hAnsi="Times New Roman" w:cs="Times New Roman"/>
          <w:sz w:val="24"/>
          <w:szCs w:val="24"/>
          <w:lang w:val="cs-CZ"/>
        </w:rPr>
        <w:t>navíc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si myslím, že mnozí z mých kolegů se této věci budou podrobně věnovat a přispějí svými zajímavými názory.</w:t>
      </w:r>
    </w:p>
    <w:sectPr w:rsidR="00A65F3F" w:rsidSect="004838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0E" w:rsidRDefault="00BA530E" w:rsidP="006044C7">
      <w:pPr>
        <w:spacing w:after="0" w:line="240" w:lineRule="auto"/>
      </w:pPr>
      <w:r>
        <w:separator/>
      </w:r>
    </w:p>
  </w:endnote>
  <w:endnote w:type="continuationSeparator" w:id="0">
    <w:p w:rsidR="00BA530E" w:rsidRDefault="00BA530E" w:rsidP="0060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34704"/>
      <w:docPartObj>
        <w:docPartGallery w:val="Page Numbers (Bottom of Page)"/>
        <w:docPartUnique/>
      </w:docPartObj>
    </w:sdtPr>
    <w:sdtContent>
      <w:p w:rsidR="00BA530E" w:rsidRDefault="00BA530E">
        <w:pPr>
          <w:pStyle w:val="Zpat"/>
          <w:jc w:val="center"/>
        </w:pPr>
        <w:fldSimple w:instr=" PAGE   \* MERGEFORMAT ">
          <w:r w:rsidR="00375829">
            <w:rPr>
              <w:noProof/>
            </w:rPr>
            <w:t>9</w:t>
          </w:r>
        </w:fldSimple>
      </w:p>
    </w:sdtContent>
  </w:sdt>
  <w:p w:rsidR="00BA530E" w:rsidRDefault="00BA53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0E" w:rsidRDefault="00BA530E" w:rsidP="006044C7">
      <w:pPr>
        <w:spacing w:after="0" w:line="240" w:lineRule="auto"/>
      </w:pPr>
      <w:r>
        <w:separator/>
      </w:r>
    </w:p>
  </w:footnote>
  <w:footnote w:type="continuationSeparator" w:id="0">
    <w:p w:rsidR="00BA530E" w:rsidRDefault="00BA530E" w:rsidP="0060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lang w:val="cs-CZ"/>
      </w:rPr>
      <w:alias w:val="Název"/>
      <w:id w:val="77887899"/>
      <w:placeholder>
        <w:docPart w:val="C8A253D78B3B47ACA798B8032CB34E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A530E" w:rsidRPr="00A65F3F" w:rsidRDefault="00BA530E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sz w:val="28"/>
            <w:szCs w:val="28"/>
            <w:lang w:val="cs-CZ"/>
          </w:rPr>
        </w:pPr>
        <w:r w:rsidRPr="00A65F3F">
          <w:rPr>
            <w:b/>
            <w:bCs/>
            <w:sz w:val="28"/>
            <w:szCs w:val="28"/>
            <w:lang w:val="cs-CZ"/>
          </w:rPr>
          <w:t>Komentář k soudnímu rozhodnutí NSS o rozpuštění DS</w:t>
        </w:r>
      </w:p>
    </w:sdtContent>
  </w:sdt>
  <w:sdt>
    <w:sdtPr>
      <w:rPr>
        <w:lang w:val="cs-CZ"/>
      </w:rPr>
      <w:alias w:val="Podtitul"/>
      <w:id w:val="77887903"/>
      <w:placeholder>
        <w:docPart w:val="EAC93646807240C19B74AD044B422279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BA530E" w:rsidRPr="00A65F3F" w:rsidRDefault="00BA530E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lang w:val="cs-CZ"/>
          </w:rPr>
        </w:pPr>
        <w:r w:rsidRPr="00A65F3F">
          <w:rPr>
            <w:lang w:val="cs-CZ"/>
          </w:rPr>
          <w:t>Kritická právní teorie, jaro 2011</w:t>
        </w:r>
      </w:p>
    </w:sdtContent>
  </w:sdt>
  <w:sdt>
    <w:sdtPr>
      <w:rPr>
        <w:lang w:val="cs-CZ"/>
      </w:rPr>
      <w:alias w:val="Autor"/>
      <w:id w:val="77887908"/>
      <w:placeholder>
        <w:docPart w:val="965BC781D92E48ACBC07398615972165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BA530E" w:rsidRPr="00A65F3F" w:rsidRDefault="00BA530E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lang w:val="cs-CZ"/>
          </w:rPr>
        </w:pPr>
        <w:r w:rsidRPr="00A65F3F">
          <w:rPr>
            <w:lang w:val="cs-CZ"/>
          </w:rPr>
          <w:t>Tomáš Malý, 325577</w:t>
        </w:r>
      </w:p>
    </w:sdtContent>
  </w:sdt>
  <w:p w:rsidR="00BA530E" w:rsidRPr="00A65F3F" w:rsidRDefault="00BA530E">
    <w:pPr>
      <w:pStyle w:val="Zhlav"/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F0C"/>
    <w:rsid w:val="00000C89"/>
    <w:rsid w:val="00045306"/>
    <w:rsid w:val="000722CE"/>
    <w:rsid w:val="00075937"/>
    <w:rsid w:val="000C02C2"/>
    <w:rsid w:val="000E258D"/>
    <w:rsid w:val="000E6467"/>
    <w:rsid w:val="00105399"/>
    <w:rsid w:val="0011626E"/>
    <w:rsid w:val="00150F0C"/>
    <w:rsid w:val="00166E64"/>
    <w:rsid w:val="00175D44"/>
    <w:rsid w:val="00192283"/>
    <w:rsid w:val="00205569"/>
    <w:rsid w:val="0021203F"/>
    <w:rsid w:val="002128F0"/>
    <w:rsid w:val="002507B4"/>
    <w:rsid w:val="00261564"/>
    <w:rsid w:val="00276234"/>
    <w:rsid w:val="00277528"/>
    <w:rsid w:val="002D7816"/>
    <w:rsid w:val="003179A2"/>
    <w:rsid w:val="00326E0B"/>
    <w:rsid w:val="00353B37"/>
    <w:rsid w:val="00364E25"/>
    <w:rsid w:val="00375829"/>
    <w:rsid w:val="003D1E7C"/>
    <w:rsid w:val="003E4B1C"/>
    <w:rsid w:val="0041750B"/>
    <w:rsid w:val="00430455"/>
    <w:rsid w:val="0048387E"/>
    <w:rsid w:val="00493554"/>
    <w:rsid w:val="004A2CA3"/>
    <w:rsid w:val="004D4EA7"/>
    <w:rsid w:val="004D619B"/>
    <w:rsid w:val="004F40D5"/>
    <w:rsid w:val="004F74D8"/>
    <w:rsid w:val="00503E6A"/>
    <w:rsid w:val="0051236E"/>
    <w:rsid w:val="0052542D"/>
    <w:rsid w:val="005424F8"/>
    <w:rsid w:val="00561587"/>
    <w:rsid w:val="005870B8"/>
    <w:rsid w:val="005A5D90"/>
    <w:rsid w:val="005E35A5"/>
    <w:rsid w:val="006044C7"/>
    <w:rsid w:val="006413E6"/>
    <w:rsid w:val="00642B14"/>
    <w:rsid w:val="00642BB4"/>
    <w:rsid w:val="006777EF"/>
    <w:rsid w:val="006F2354"/>
    <w:rsid w:val="00727AD0"/>
    <w:rsid w:val="00731DA5"/>
    <w:rsid w:val="00756282"/>
    <w:rsid w:val="00763211"/>
    <w:rsid w:val="00763EE7"/>
    <w:rsid w:val="007710CF"/>
    <w:rsid w:val="00791495"/>
    <w:rsid w:val="007C3E6C"/>
    <w:rsid w:val="007C690D"/>
    <w:rsid w:val="007C705A"/>
    <w:rsid w:val="007D2283"/>
    <w:rsid w:val="007F529F"/>
    <w:rsid w:val="007F60AD"/>
    <w:rsid w:val="00810114"/>
    <w:rsid w:val="00822C3B"/>
    <w:rsid w:val="0083595B"/>
    <w:rsid w:val="00877978"/>
    <w:rsid w:val="00891908"/>
    <w:rsid w:val="008C3552"/>
    <w:rsid w:val="008D3490"/>
    <w:rsid w:val="00924EA8"/>
    <w:rsid w:val="00947A17"/>
    <w:rsid w:val="00952BBF"/>
    <w:rsid w:val="00956634"/>
    <w:rsid w:val="009C350A"/>
    <w:rsid w:val="009D018C"/>
    <w:rsid w:val="009F2253"/>
    <w:rsid w:val="00A21129"/>
    <w:rsid w:val="00A217B4"/>
    <w:rsid w:val="00A426BF"/>
    <w:rsid w:val="00A63CA3"/>
    <w:rsid w:val="00A65F3F"/>
    <w:rsid w:val="00A740F6"/>
    <w:rsid w:val="00AA63FD"/>
    <w:rsid w:val="00AF3DBD"/>
    <w:rsid w:val="00B46010"/>
    <w:rsid w:val="00B53E38"/>
    <w:rsid w:val="00B565C1"/>
    <w:rsid w:val="00B700E9"/>
    <w:rsid w:val="00B722AC"/>
    <w:rsid w:val="00B815A4"/>
    <w:rsid w:val="00B87652"/>
    <w:rsid w:val="00BA226A"/>
    <w:rsid w:val="00BA530E"/>
    <w:rsid w:val="00BC732F"/>
    <w:rsid w:val="00BF4C93"/>
    <w:rsid w:val="00C0637D"/>
    <w:rsid w:val="00C30AFE"/>
    <w:rsid w:val="00C41654"/>
    <w:rsid w:val="00C64D28"/>
    <w:rsid w:val="00C72C09"/>
    <w:rsid w:val="00C86585"/>
    <w:rsid w:val="00C96B8C"/>
    <w:rsid w:val="00CD4611"/>
    <w:rsid w:val="00CE2651"/>
    <w:rsid w:val="00D0381E"/>
    <w:rsid w:val="00D1201E"/>
    <w:rsid w:val="00D37673"/>
    <w:rsid w:val="00D44C63"/>
    <w:rsid w:val="00D65E0E"/>
    <w:rsid w:val="00D84DE0"/>
    <w:rsid w:val="00DA222E"/>
    <w:rsid w:val="00DB7526"/>
    <w:rsid w:val="00DC1E26"/>
    <w:rsid w:val="00DF71FD"/>
    <w:rsid w:val="00E270E7"/>
    <w:rsid w:val="00E56AEC"/>
    <w:rsid w:val="00EC7FC0"/>
    <w:rsid w:val="00EF135E"/>
    <w:rsid w:val="00EF5E8F"/>
    <w:rsid w:val="00F070F1"/>
    <w:rsid w:val="00F31F4B"/>
    <w:rsid w:val="00F508E7"/>
    <w:rsid w:val="00F635D4"/>
    <w:rsid w:val="00F645F8"/>
    <w:rsid w:val="00F7461D"/>
    <w:rsid w:val="00F853DF"/>
    <w:rsid w:val="00F85917"/>
    <w:rsid w:val="00FB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36E"/>
  </w:style>
  <w:style w:type="paragraph" w:styleId="Nadpis1">
    <w:name w:val="heading 1"/>
    <w:basedOn w:val="Normln"/>
    <w:next w:val="Normln"/>
    <w:link w:val="Nadpis1Char"/>
    <w:uiPriority w:val="9"/>
    <w:qFormat/>
    <w:rsid w:val="005123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4B1C"/>
    <w:pPr>
      <w:spacing w:before="200" w:after="120" w:line="271" w:lineRule="auto"/>
      <w:outlineLvl w:val="1"/>
    </w:pPr>
    <w:rPr>
      <w:rFonts w:ascii="Times New Roman" w:hAnsi="Times New Roman"/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23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23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23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23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3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3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3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123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1236E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E4B1C"/>
    <w:rPr>
      <w:rFonts w:ascii="Times New Roman" w:hAnsi="Times New Roman"/>
      <w:smallCaps/>
      <w:sz w:val="28"/>
      <w:szCs w:val="28"/>
    </w:rPr>
  </w:style>
  <w:style w:type="paragraph" w:styleId="Bezmezer">
    <w:name w:val="No Spacing"/>
    <w:basedOn w:val="Normln"/>
    <w:uiPriority w:val="1"/>
    <w:qFormat/>
    <w:rsid w:val="0051236E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5123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1236E"/>
    <w:rPr>
      <w:smallCaps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1236E"/>
    <w:rPr>
      <w:smallCaps/>
      <w:spacing w:val="5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51236E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236E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236E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23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3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36E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36E"/>
    <w:rPr>
      <w:b/>
      <w:bCs/>
      <w:i/>
      <w:iCs/>
      <w:color w:val="7F7F7F" w:themeColor="text1" w:themeTint="80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51236E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1236E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51236E"/>
    <w:rPr>
      <w:b/>
      <w:bCs/>
    </w:rPr>
  </w:style>
  <w:style w:type="character" w:styleId="Zvraznn">
    <w:name w:val="Emphasis"/>
    <w:uiPriority w:val="20"/>
    <w:qFormat/>
    <w:rsid w:val="0051236E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51236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51236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51236E"/>
    <w:rPr>
      <w:i/>
      <w:iCs/>
    </w:rPr>
  </w:style>
  <w:style w:type="character" w:styleId="Zdraznnjemn">
    <w:name w:val="Subtle Emphasis"/>
    <w:uiPriority w:val="19"/>
    <w:qFormat/>
    <w:rsid w:val="0051236E"/>
    <w:rPr>
      <w:i/>
      <w:iCs/>
    </w:rPr>
  </w:style>
  <w:style w:type="character" w:styleId="Zdraznnintenzivn">
    <w:name w:val="Intense Emphasis"/>
    <w:uiPriority w:val="21"/>
    <w:qFormat/>
    <w:rsid w:val="0051236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1236E"/>
    <w:rPr>
      <w:smallCaps/>
    </w:rPr>
  </w:style>
  <w:style w:type="character" w:styleId="Odkazintenzivn">
    <w:name w:val="Intense Reference"/>
    <w:uiPriority w:val="32"/>
    <w:qFormat/>
    <w:rsid w:val="0051236E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51236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236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4C7"/>
  </w:style>
  <w:style w:type="paragraph" w:styleId="Zpat">
    <w:name w:val="footer"/>
    <w:basedOn w:val="Normln"/>
    <w:link w:val="ZpatChar"/>
    <w:uiPriority w:val="99"/>
    <w:unhideWhenUsed/>
    <w:rsid w:val="006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4C7"/>
  </w:style>
  <w:style w:type="paragraph" w:styleId="Textbubliny">
    <w:name w:val="Balloon Text"/>
    <w:basedOn w:val="Normln"/>
    <w:link w:val="TextbublinyChar"/>
    <w:uiPriority w:val="99"/>
    <w:semiHidden/>
    <w:unhideWhenUsed/>
    <w:rsid w:val="004D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8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33527">
                                              <w:marLeft w:val="0"/>
                                              <w:marRight w:val="0"/>
                                              <w:marTop w:val="7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2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A253D78B3B47ACA798B8032CB34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D0596-C22D-4BF5-93BE-6586F1AB580A}"/>
      </w:docPartPr>
      <w:docPartBody>
        <w:p w:rsidR="00BB1D3B" w:rsidRDefault="00740B39" w:rsidP="00740B39">
          <w:pPr>
            <w:pStyle w:val="C8A253D78B3B47ACA798B8032CB34E61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EAC93646807240C19B74AD044B4222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6AC36-F50B-4A1F-A1B3-804CA37A627E}"/>
      </w:docPartPr>
      <w:docPartBody>
        <w:p w:rsidR="00BB1D3B" w:rsidRDefault="00740B39" w:rsidP="00740B39">
          <w:pPr>
            <w:pStyle w:val="EAC93646807240C19B74AD044B422279"/>
          </w:pPr>
          <w:r>
            <w:rPr>
              <w:color w:val="4F81BD" w:themeColor="accent1"/>
            </w:rPr>
            <w:t>[Zadejte podtitul dokumentu.]</w:t>
          </w:r>
        </w:p>
      </w:docPartBody>
    </w:docPart>
    <w:docPart>
      <w:docPartPr>
        <w:name w:val="965BC781D92E48ACBC07398615972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A2E55-49C6-4BA3-8264-4FCC8F05E163}"/>
      </w:docPartPr>
      <w:docPartBody>
        <w:p w:rsidR="00BB1D3B" w:rsidRDefault="00740B39" w:rsidP="00740B39">
          <w:pPr>
            <w:pStyle w:val="965BC781D92E48ACBC07398615972165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40B39"/>
    <w:rsid w:val="00740B39"/>
    <w:rsid w:val="00BB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306D8E9121D427A91766FD74C48BF4B">
    <w:name w:val="9306D8E9121D427A91766FD74C48BF4B"/>
    <w:rsid w:val="00740B39"/>
  </w:style>
  <w:style w:type="paragraph" w:customStyle="1" w:styleId="C842D8071F5C4D098ECC8132ED9FE1FE">
    <w:name w:val="C842D8071F5C4D098ECC8132ED9FE1FE"/>
    <w:rsid w:val="00740B39"/>
  </w:style>
  <w:style w:type="paragraph" w:customStyle="1" w:styleId="7382DEE5D0DC4E74A9CF3463517C2FEC">
    <w:name w:val="7382DEE5D0DC4E74A9CF3463517C2FEC"/>
    <w:rsid w:val="00740B39"/>
  </w:style>
  <w:style w:type="paragraph" w:customStyle="1" w:styleId="D6E6428BFAEF49FBAB27C353F5E7165B">
    <w:name w:val="D6E6428BFAEF49FBAB27C353F5E7165B"/>
    <w:rsid w:val="00740B39"/>
  </w:style>
  <w:style w:type="paragraph" w:customStyle="1" w:styleId="A6E9E97E7D5644CDB867347241E76996">
    <w:name w:val="A6E9E97E7D5644CDB867347241E76996"/>
    <w:rsid w:val="00740B39"/>
  </w:style>
  <w:style w:type="paragraph" w:customStyle="1" w:styleId="60FD3A06467542E098698743D89C8854">
    <w:name w:val="60FD3A06467542E098698743D89C8854"/>
    <w:rsid w:val="00740B39"/>
  </w:style>
  <w:style w:type="paragraph" w:customStyle="1" w:styleId="C8A253D78B3B47ACA798B8032CB34E61">
    <w:name w:val="C8A253D78B3B47ACA798B8032CB34E61"/>
    <w:rsid w:val="00740B39"/>
  </w:style>
  <w:style w:type="paragraph" w:customStyle="1" w:styleId="EAC93646807240C19B74AD044B422279">
    <w:name w:val="EAC93646807240C19B74AD044B422279"/>
    <w:rsid w:val="00740B39"/>
  </w:style>
  <w:style w:type="paragraph" w:customStyle="1" w:styleId="965BC781D92E48ACBC07398615972165">
    <w:name w:val="965BC781D92E48ACBC07398615972165"/>
    <w:rsid w:val="00740B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1865-0EF9-4340-B37E-7A161EE5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9</Pages>
  <Words>3725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soudnímu rozhodnutí NSS o rozpuštění DS</vt:lpstr>
    </vt:vector>
  </TitlesOfParts>
  <Company/>
  <LinksUpToDate>false</LinksUpToDate>
  <CharactersWithSpaces>25657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soudnímu rozhodnutí NSS o rozpuštění DS</dc:title>
  <dc:subject>Kritická právní teorie, jaro 2011</dc:subject>
  <dc:creator>Tomáš Malý, 325577</dc:creator>
  <cp:lastModifiedBy>Adélka</cp:lastModifiedBy>
  <cp:revision>27</cp:revision>
  <dcterms:created xsi:type="dcterms:W3CDTF">2011-05-03T19:50:00Z</dcterms:created>
  <dcterms:modified xsi:type="dcterms:W3CDTF">2011-05-03T21:54:00Z</dcterms:modified>
</cp:coreProperties>
</file>