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AFB" w:rsidRDefault="00A22AFB" w:rsidP="00A22AFB">
      <w:pPr>
        <w:spacing w:before="60" w:after="60" w:line="300" w:lineRule="auto"/>
        <w:ind w:firstLine="0"/>
        <w:jc w:val="both"/>
        <w:rPr>
          <w:rFonts w:ascii="Arial" w:hAnsi="Arial" w:cs="Arial"/>
          <w:b/>
        </w:rPr>
      </w:pPr>
    </w:p>
    <w:p w:rsidR="00A22AFB" w:rsidRDefault="00A22AFB" w:rsidP="00A22AFB">
      <w:pPr>
        <w:spacing w:before="60" w:after="60" w:line="300" w:lineRule="auto"/>
        <w:ind w:firstLine="0"/>
        <w:jc w:val="both"/>
        <w:rPr>
          <w:rFonts w:ascii="Arial" w:hAnsi="Arial" w:cs="Arial"/>
          <w:b/>
        </w:rPr>
      </w:pPr>
    </w:p>
    <w:p w:rsidR="00A22AFB" w:rsidRDefault="00A22AFB" w:rsidP="00A22AFB">
      <w:pPr>
        <w:spacing w:before="60" w:after="60" w:line="300" w:lineRule="auto"/>
        <w:ind w:firstLine="0"/>
        <w:jc w:val="both"/>
        <w:rPr>
          <w:rFonts w:ascii="Arial" w:hAnsi="Arial" w:cs="Arial"/>
          <w:b/>
        </w:rPr>
      </w:pPr>
    </w:p>
    <w:p w:rsidR="00A22AFB" w:rsidRDefault="00A22AFB" w:rsidP="00A22AFB">
      <w:pPr>
        <w:spacing w:before="60" w:after="60" w:line="300" w:lineRule="auto"/>
        <w:ind w:firstLine="0"/>
        <w:jc w:val="both"/>
        <w:rPr>
          <w:rFonts w:ascii="Arial" w:hAnsi="Arial" w:cs="Arial"/>
          <w:b/>
        </w:rPr>
      </w:pPr>
    </w:p>
    <w:p w:rsidR="00A22AFB" w:rsidRDefault="00A22AFB" w:rsidP="00A22AFB">
      <w:pPr>
        <w:spacing w:before="60" w:after="60" w:line="300" w:lineRule="auto"/>
        <w:ind w:firstLine="0"/>
        <w:jc w:val="center"/>
        <w:rPr>
          <w:rFonts w:ascii="Arial" w:hAnsi="Arial" w:cs="Arial"/>
          <w:b/>
        </w:rPr>
      </w:pPr>
    </w:p>
    <w:p w:rsidR="00A22AFB" w:rsidRDefault="00A22AFB" w:rsidP="00DB59A7">
      <w:pPr>
        <w:spacing w:before="60" w:after="60" w:line="300" w:lineRule="auto"/>
        <w:ind w:firstLine="0"/>
        <w:jc w:val="center"/>
        <w:rPr>
          <w:rFonts w:ascii="Arial" w:hAnsi="Arial" w:cs="Arial"/>
          <w:b/>
          <w:sz w:val="32"/>
          <w:u w:val="single"/>
        </w:rPr>
      </w:pPr>
      <w:proofErr w:type="gramStart"/>
      <w:r>
        <w:rPr>
          <w:rFonts w:ascii="Arial" w:hAnsi="Arial" w:cs="Arial"/>
          <w:b/>
          <w:sz w:val="32"/>
          <w:u w:val="single"/>
        </w:rPr>
        <w:t>Z</w:t>
      </w:r>
      <w:r w:rsidR="00DB59A7">
        <w:rPr>
          <w:rFonts w:ascii="Arial" w:hAnsi="Arial" w:cs="Arial"/>
          <w:b/>
          <w:sz w:val="32"/>
          <w:u w:val="single"/>
        </w:rPr>
        <w:t>vláštnosti  řízení</w:t>
      </w:r>
      <w:proofErr w:type="gramEnd"/>
      <w:r w:rsidR="00DB59A7">
        <w:rPr>
          <w:rFonts w:ascii="Arial" w:hAnsi="Arial" w:cs="Arial"/>
          <w:b/>
          <w:sz w:val="32"/>
          <w:u w:val="single"/>
        </w:rPr>
        <w:t xml:space="preserve"> o přestupcích podle zákona č. 200/1990 Sb., o přestupcích, ve znění pozdějších změn a doplnění</w:t>
      </w:r>
    </w:p>
    <w:p w:rsidR="00A22AFB" w:rsidRDefault="00A22AFB" w:rsidP="00A22AFB">
      <w:pPr>
        <w:spacing w:before="60" w:after="60" w:line="300" w:lineRule="auto"/>
        <w:ind w:firstLine="0"/>
        <w:jc w:val="both"/>
        <w:rPr>
          <w:rFonts w:ascii="Arial" w:hAnsi="Arial" w:cs="Arial"/>
        </w:rPr>
      </w:pPr>
    </w:p>
    <w:p w:rsidR="00DB59A7" w:rsidRDefault="00A22AFB" w:rsidP="00A22AFB">
      <w:pPr>
        <w:spacing w:before="60" w:after="60" w:line="300" w:lineRule="auto"/>
        <w:ind w:firstLine="0"/>
        <w:jc w:val="both"/>
        <w:rPr>
          <w:rFonts w:ascii="Arial" w:hAnsi="Arial" w:cs="Arial"/>
        </w:rPr>
      </w:pPr>
      <w:r>
        <w:rPr>
          <w:rFonts w:ascii="Arial" w:hAnsi="Arial" w:cs="Arial"/>
        </w:rPr>
        <w:tab/>
        <w:t>Řízení o přestupcích je zvláštním druhem správního řízení. Je upraveno v </w:t>
      </w:r>
      <w:r>
        <w:rPr>
          <w:rFonts w:ascii="Arial" w:hAnsi="Arial" w:cs="Arial"/>
          <w:b/>
        </w:rPr>
        <w:t>zákoně č. 200/1990 Sb., o přestupcích</w:t>
      </w:r>
      <w:r>
        <w:rPr>
          <w:rFonts w:ascii="Arial" w:hAnsi="Arial" w:cs="Arial"/>
          <w:vertAlign w:val="superscript"/>
        </w:rPr>
        <w:footnoteReference w:id="1"/>
      </w:r>
      <w:r>
        <w:rPr>
          <w:rFonts w:ascii="Arial" w:hAnsi="Arial" w:cs="Arial"/>
        </w:rPr>
        <w:t xml:space="preserve">. </w:t>
      </w:r>
    </w:p>
    <w:p w:rsidR="00A22AFB" w:rsidRDefault="00DB59A7" w:rsidP="00A22AFB">
      <w:pPr>
        <w:spacing w:before="60" w:after="60" w:line="300" w:lineRule="auto"/>
        <w:ind w:firstLine="0"/>
        <w:jc w:val="both"/>
        <w:rPr>
          <w:rFonts w:ascii="Arial" w:hAnsi="Arial" w:cs="Arial"/>
        </w:rPr>
      </w:pPr>
      <w:r>
        <w:rPr>
          <w:rFonts w:ascii="Arial" w:hAnsi="Arial" w:cs="Arial"/>
        </w:rPr>
        <w:tab/>
      </w:r>
      <w:r w:rsidR="00A22AFB">
        <w:rPr>
          <w:rFonts w:ascii="Arial" w:hAnsi="Arial" w:cs="Arial"/>
        </w:rPr>
        <w:t>Posláním této úpravy je zabezpečit, aby bylo účelně, bez zbytečných průtahů, správně a objektivně zjištěno:</w:t>
      </w:r>
    </w:p>
    <w:p w:rsidR="00A22AFB" w:rsidRDefault="00A22AFB" w:rsidP="00A22AFB">
      <w:pPr>
        <w:numPr>
          <w:ilvl w:val="0"/>
          <w:numId w:val="1"/>
        </w:numPr>
        <w:spacing w:before="60" w:after="60" w:line="300" w:lineRule="auto"/>
        <w:jc w:val="both"/>
        <w:rPr>
          <w:rFonts w:ascii="Arial" w:hAnsi="Arial" w:cs="Arial"/>
        </w:rPr>
      </w:pPr>
      <w:r>
        <w:rPr>
          <w:rFonts w:ascii="Arial" w:hAnsi="Arial" w:cs="Arial"/>
        </w:rPr>
        <w:t xml:space="preserve">zda ke spáchání přestupku došlo, </w:t>
      </w:r>
    </w:p>
    <w:p w:rsidR="00A22AFB" w:rsidRDefault="00A22AFB" w:rsidP="00A22AFB">
      <w:pPr>
        <w:numPr>
          <w:ilvl w:val="0"/>
          <w:numId w:val="1"/>
        </w:numPr>
        <w:spacing w:before="60" w:after="60" w:line="300" w:lineRule="auto"/>
        <w:jc w:val="both"/>
        <w:rPr>
          <w:rFonts w:ascii="Arial" w:hAnsi="Arial" w:cs="Arial"/>
        </w:rPr>
      </w:pPr>
      <w:r>
        <w:rPr>
          <w:rFonts w:ascii="Arial" w:hAnsi="Arial" w:cs="Arial"/>
        </w:rPr>
        <w:t xml:space="preserve">kdo jej spáchal, </w:t>
      </w:r>
    </w:p>
    <w:p w:rsidR="00A22AFB" w:rsidRDefault="00A22AFB" w:rsidP="00A22AFB">
      <w:pPr>
        <w:numPr>
          <w:ilvl w:val="0"/>
          <w:numId w:val="1"/>
        </w:numPr>
        <w:spacing w:before="60" w:after="60" w:line="300" w:lineRule="auto"/>
        <w:jc w:val="both"/>
        <w:rPr>
          <w:rFonts w:ascii="Arial" w:hAnsi="Arial" w:cs="Arial"/>
        </w:rPr>
      </w:pPr>
      <w:r>
        <w:rPr>
          <w:rFonts w:ascii="Arial" w:hAnsi="Arial" w:cs="Arial"/>
        </w:rPr>
        <w:t xml:space="preserve">za jakých okolností a </w:t>
      </w:r>
    </w:p>
    <w:p w:rsidR="00A22AFB" w:rsidRDefault="00A22AFB" w:rsidP="00A22AFB">
      <w:pPr>
        <w:numPr>
          <w:ilvl w:val="0"/>
          <w:numId w:val="1"/>
        </w:numPr>
        <w:spacing w:before="60" w:after="60" w:line="300" w:lineRule="auto"/>
        <w:jc w:val="both"/>
        <w:rPr>
          <w:rFonts w:ascii="Arial" w:hAnsi="Arial" w:cs="Arial"/>
        </w:rPr>
      </w:pPr>
      <w:r>
        <w:rPr>
          <w:rFonts w:ascii="Arial" w:hAnsi="Arial" w:cs="Arial"/>
        </w:rPr>
        <w:t>jakou sankci je třeba uložit.</w:t>
      </w:r>
    </w:p>
    <w:p w:rsidR="00A22AFB" w:rsidRDefault="00A22AFB" w:rsidP="00A22AFB">
      <w:pPr>
        <w:spacing w:before="60" w:after="60" w:line="300" w:lineRule="auto"/>
        <w:ind w:firstLine="0"/>
        <w:jc w:val="both"/>
        <w:rPr>
          <w:rFonts w:ascii="Arial" w:hAnsi="Arial" w:cs="Arial"/>
        </w:rPr>
      </w:pPr>
      <w:r>
        <w:rPr>
          <w:rFonts w:ascii="Arial" w:hAnsi="Arial" w:cs="Arial"/>
        </w:rPr>
        <w:tab/>
      </w:r>
      <w:r>
        <w:rPr>
          <w:rFonts w:ascii="Arial" w:hAnsi="Arial" w:cs="Arial"/>
          <w:b/>
        </w:rPr>
        <w:t>Správního řádu</w:t>
      </w:r>
      <w:r>
        <w:rPr>
          <w:rFonts w:ascii="Arial" w:hAnsi="Arial" w:cs="Arial"/>
          <w:vertAlign w:val="superscript"/>
        </w:rPr>
        <w:footnoteReference w:id="2"/>
      </w:r>
      <w:r>
        <w:rPr>
          <w:rFonts w:ascii="Arial" w:hAnsi="Arial" w:cs="Arial"/>
        </w:rPr>
        <w:t xml:space="preserve"> se v rámci řízení o přestupcích využije </w:t>
      </w:r>
      <w:r w:rsidRPr="00FD696B">
        <w:rPr>
          <w:rFonts w:ascii="Arial" w:hAnsi="Arial" w:cs="Arial"/>
          <w:b/>
        </w:rPr>
        <w:t>subsidiárně,</w:t>
      </w:r>
      <w:r>
        <w:rPr>
          <w:rFonts w:ascii="Arial" w:hAnsi="Arial" w:cs="Arial"/>
        </w:rPr>
        <w:t xml:space="preserve"> zákon o přestupcích tedy upravuje speciálně procesně právní ustanovení, kterými se přestupkové řízení liší od obecné úpravy správní.</w:t>
      </w:r>
    </w:p>
    <w:p w:rsidR="00A22AFB" w:rsidRDefault="00A22AFB" w:rsidP="00A22AFB">
      <w:pPr>
        <w:spacing w:before="60" w:after="60" w:line="300" w:lineRule="auto"/>
        <w:ind w:firstLine="0"/>
        <w:jc w:val="both"/>
        <w:rPr>
          <w:rFonts w:ascii="Arial" w:hAnsi="Arial" w:cs="Arial"/>
        </w:rPr>
      </w:pPr>
      <w:r>
        <w:rPr>
          <w:rFonts w:ascii="Arial" w:hAnsi="Arial" w:cs="Arial"/>
        </w:rPr>
        <w:tab/>
      </w:r>
      <w:r w:rsidRPr="00FD696B">
        <w:rPr>
          <w:rFonts w:ascii="Arial" w:hAnsi="Arial" w:cs="Arial"/>
          <w:b/>
        </w:rPr>
        <w:t xml:space="preserve">Specialita </w:t>
      </w:r>
      <w:r>
        <w:rPr>
          <w:rFonts w:ascii="Arial" w:hAnsi="Arial" w:cs="Arial"/>
          <w:b/>
        </w:rPr>
        <w:t xml:space="preserve">úpravy </w:t>
      </w:r>
      <w:r w:rsidRPr="00FD696B">
        <w:rPr>
          <w:rFonts w:ascii="Arial" w:hAnsi="Arial" w:cs="Arial"/>
          <w:b/>
        </w:rPr>
        <w:t>přestupkového řízení</w:t>
      </w:r>
      <w:r>
        <w:rPr>
          <w:rFonts w:ascii="Arial" w:hAnsi="Arial" w:cs="Arial"/>
          <w:b/>
        </w:rPr>
        <w:t xml:space="preserve"> v zákoně o přestupcích </w:t>
      </w:r>
      <w:r>
        <w:rPr>
          <w:rFonts w:ascii="Arial" w:hAnsi="Arial" w:cs="Arial"/>
        </w:rPr>
        <w:t>se projevuje v  následujících ustanoveních, resp. procesních řešeních.</w:t>
      </w:r>
    </w:p>
    <w:p w:rsidR="00A22AFB" w:rsidRDefault="00A22AFB" w:rsidP="00A22AFB">
      <w:pPr>
        <w:spacing w:before="60" w:after="60" w:line="300" w:lineRule="auto"/>
        <w:ind w:firstLine="0"/>
        <w:jc w:val="both"/>
        <w:rPr>
          <w:rFonts w:ascii="Arial" w:hAnsi="Arial" w:cs="Arial"/>
        </w:rPr>
      </w:pPr>
      <w:r>
        <w:rPr>
          <w:rFonts w:ascii="Arial" w:hAnsi="Arial" w:cs="Arial"/>
        </w:rPr>
        <w:t xml:space="preserve">   </w:t>
      </w:r>
    </w:p>
    <w:p w:rsidR="00A22AFB" w:rsidRDefault="00A22AFB" w:rsidP="00A22AFB">
      <w:pPr>
        <w:spacing w:before="60" w:after="60" w:line="300" w:lineRule="auto"/>
        <w:ind w:firstLine="0"/>
        <w:jc w:val="both"/>
        <w:rPr>
          <w:rFonts w:ascii="Arial" w:hAnsi="Arial" w:cs="Arial"/>
        </w:rPr>
      </w:pPr>
      <w:r>
        <w:rPr>
          <w:rFonts w:ascii="Arial" w:hAnsi="Arial" w:cs="Arial"/>
        </w:rPr>
        <w:tab/>
        <w:t xml:space="preserve">V otázce </w:t>
      </w:r>
      <w:r w:rsidRPr="00FD696B">
        <w:rPr>
          <w:rFonts w:ascii="Arial" w:hAnsi="Arial" w:cs="Arial"/>
          <w:b/>
        </w:rPr>
        <w:t>přís</w:t>
      </w:r>
      <w:r>
        <w:rPr>
          <w:rFonts w:ascii="Arial" w:hAnsi="Arial" w:cs="Arial"/>
          <w:b/>
        </w:rPr>
        <w:t>lušnosti</w:t>
      </w:r>
      <w:r>
        <w:rPr>
          <w:rFonts w:ascii="Arial" w:hAnsi="Arial" w:cs="Arial"/>
        </w:rPr>
        <w:t xml:space="preserve"> správního orgánu k projednávání přestupků zákon specificky upravuje příslušnost: </w:t>
      </w:r>
    </w:p>
    <w:p w:rsidR="00A22AFB" w:rsidRDefault="00A22AFB" w:rsidP="00A22AFB">
      <w:pPr>
        <w:numPr>
          <w:ilvl w:val="0"/>
          <w:numId w:val="2"/>
        </w:numPr>
        <w:spacing w:before="60" w:after="60" w:line="300" w:lineRule="auto"/>
        <w:jc w:val="both"/>
        <w:rPr>
          <w:rFonts w:ascii="Arial" w:hAnsi="Arial" w:cs="Arial"/>
        </w:rPr>
      </w:pPr>
      <w:r>
        <w:rPr>
          <w:rFonts w:ascii="Arial" w:hAnsi="Arial" w:cs="Arial"/>
        </w:rPr>
        <w:t>věcnou,</w:t>
      </w:r>
    </w:p>
    <w:p w:rsidR="00A22AFB" w:rsidRDefault="00A22AFB" w:rsidP="00A22AFB">
      <w:pPr>
        <w:numPr>
          <w:ilvl w:val="0"/>
          <w:numId w:val="2"/>
        </w:numPr>
        <w:spacing w:before="60" w:after="60" w:line="300" w:lineRule="auto"/>
        <w:jc w:val="both"/>
        <w:rPr>
          <w:rFonts w:ascii="Arial" w:hAnsi="Arial" w:cs="Arial"/>
        </w:rPr>
      </w:pPr>
      <w:r>
        <w:rPr>
          <w:rFonts w:ascii="Arial" w:hAnsi="Arial" w:cs="Arial"/>
        </w:rPr>
        <w:t>místní,</w:t>
      </w:r>
    </w:p>
    <w:p w:rsidR="00A22AFB" w:rsidRDefault="00A22AFB" w:rsidP="00A22AFB">
      <w:pPr>
        <w:numPr>
          <w:ilvl w:val="0"/>
          <w:numId w:val="2"/>
        </w:numPr>
        <w:spacing w:before="60" w:after="60" w:line="300" w:lineRule="auto"/>
        <w:jc w:val="both"/>
        <w:rPr>
          <w:rFonts w:ascii="Arial" w:hAnsi="Arial" w:cs="Arial"/>
        </w:rPr>
      </w:pPr>
      <w:r>
        <w:rPr>
          <w:rFonts w:ascii="Arial" w:hAnsi="Arial" w:cs="Arial"/>
        </w:rPr>
        <w:t>funkční.</w:t>
      </w:r>
    </w:p>
    <w:p w:rsidR="00A22AFB" w:rsidRDefault="00A22AFB" w:rsidP="00A22AFB">
      <w:pPr>
        <w:spacing w:before="60" w:after="60" w:line="300" w:lineRule="auto"/>
        <w:ind w:firstLine="0"/>
        <w:jc w:val="both"/>
        <w:rPr>
          <w:rFonts w:ascii="Arial" w:hAnsi="Arial" w:cs="Arial"/>
        </w:rPr>
      </w:pPr>
      <w:r>
        <w:rPr>
          <w:rFonts w:ascii="Arial" w:hAnsi="Arial" w:cs="Arial"/>
        </w:rPr>
        <w:tab/>
        <w:t xml:space="preserve">K projednávání přestupku se za </w:t>
      </w:r>
      <w:r>
        <w:rPr>
          <w:rFonts w:ascii="Arial" w:hAnsi="Arial" w:cs="Arial"/>
          <w:b/>
        </w:rPr>
        <w:t>věcně příslušný</w:t>
      </w:r>
      <w:r>
        <w:rPr>
          <w:rFonts w:ascii="Arial" w:hAnsi="Arial" w:cs="Arial"/>
        </w:rPr>
        <w:t xml:space="preserve"> považuje orgán, v jehož oboru působnosti k přestupku došlo. Projednávání přestupků je převážně soustředěno na úrovni obcí u obecních úřadů obcí s rozší</w:t>
      </w:r>
      <w:r w:rsidR="00DB59A7">
        <w:rPr>
          <w:rFonts w:ascii="Arial" w:hAnsi="Arial" w:cs="Arial"/>
        </w:rPr>
        <w:t>ř</w:t>
      </w:r>
      <w:r>
        <w:rPr>
          <w:rFonts w:ascii="Arial" w:hAnsi="Arial" w:cs="Arial"/>
        </w:rPr>
        <w:t>enou působností. Výjimku tvoří přestupky spáchané porušením obecně závazných právních předpisů o provozu na pozemních komunikacích, případně jiné správní orgány, stanoví-li tak zvláštní zákon.</w:t>
      </w:r>
      <w:r>
        <w:rPr>
          <w:rFonts w:ascii="Arial" w:hAnsi="Arial" w:cs="Arial"/>
          <w:vertAlign w:val="superscript"/>
        </w:rPr>
        <w:footnoteReference w:id="3"/>
      </w:r>
      <w:r>
        <w:rPr>
          <w:rFonts w:ascii="Arial" w:hAnsi="Arial" w:cs="Arial"/>
        </w:rPr>
        <w:t xml:space="preserve"> Obecní úřady obcí </w:t>
      </w:r>
      <w:r>
        <w:rPr>
          <w:rFonts w:ascii="Arial" w:hAnsi="Arial" w:cs="Arial"/>
        </w:rPr>
        <w:lastRenderedPageBreak/>
        <w:t>s rozšířenou působností mimo přestupky ve věcech které spravují, projednávají všechny ostatní přestupky, pokud k jejich projedná</w:t>
      </w:r>
      <w:bookmarkStart w:id="0" w:name="_GoBack"/>
      <w:bookmarkEnd w:id="0"/>
      <w:r>
        <w:rPr>
          <w:rFonts w:ascii="Arial" w:hAnsi="Arial" w:cs="Arial"/>
        </w:rPr>
        <w:t>ní nejsou příslušné jiné správní orgány.</w:t>
      </w:r>
    </w:p>
    <w:p w:rsidR="00A22AFB" w:rsidRDefault="00A22AFB" w:rsidP="00A22AFB">
      <w:pPr>
        <w:spacing w:before="60" w:after="60" w:line="300" w:lineRule="auto"/>
        <w:ind w:firstLine="0"/>
        <w:jc w:val="both"/>
        <w:rPr>
          <w:rFonts w:ascii="Arial" w:hAnsi="Arial" w:cs="Arial"/>
        </w:rPr>
      </w:pPr>
      <w:r>
        <w:rPr>
          <w:rFonts w:ascii="Arial" w:hAnsi="Arial" w:cs="Arial"/>
          <w:b/>
        </w:rPr>
        <w:tab/>
        <w:t>Místní příslušnost</w:t>
      </w:r>
      <w:r>
        <w:rPr>
          <w:rFonts w:ascii="Arial" w:hAnsi="Arial" w:cs="Arial"/>
        </w:rPr>
        <w:t xml:space="preserve"> správních orgánů k projednávání přestupků se řídí místem, kde byl přestupek spáchán. Existuje možnost postoupení projednání přestupku i bez souhlasu účastníků</w:t>
      </w:r>
      <w:r>
        <w:rPr>
          <w:rFonts w:ascii="Arial" w:hAnsi="Arial" w:cs="Arial"/>
          <w:vertAlign w:val="superscript"/>
        </w:rPr>
        <w:footnoteReference w:id="4"/>
      </w:r>
      <w:r>
        <w:rPr>
          <w:rFonts w:ascii="Arial" w:hAnsi="Arial" w:cs="Arial"/>
        </w:rPr>
        <w:t xml:space="preserve"> jinému věcně příslušnému správnímu orgánu. Zákon specificky upravuje místní příslušnost orgánu k projednání přestupku spáchaného v cizině (ať již občanem ČR nebo cizincem s trvalým pobytem na území ČR). V tomto případě je místně příslušný správní orgán, v jehož územním obvodu má, nebo naposledy měl pachatel trvalý pobyt.</w:t>
      </w:r>
    </w:p>
    <w:p w:rsidR="00A22AFB" w:rsidRDefault="00A22AFB" w:rsidP="00A22AFB">
      <w:pPr>
        <w:spacing w:before="60" w:after="60" w:line="300" w:lineRule="auto"/>
        <w:ind w:firstLine="0"/>
        <w:jc w:val="both"/>
        <w:rPr>
          <w:rFonts w:ascii="Arial" w:hAnsi="Arial" w:cs="Arial"/>
        </w:rPr>
      </w:pPr>
      <w:r>
        <w:rPr>
          <w:rFonts w:ascii="Arial" w:hAnsi="Arial" w:cs="Arial"/>
          <w:b/>
        </w:rPr>
        <w:tab/>
      </w:r>
      <w:proofErr w:type="spellStart"/>
      <w:r>
        <w:rPr>
          <w:rFonts w:ascii="Arial" w:hAnsi="Arial" w:cs="Arial"/>
          <w:b/>
        </w:rPr>
        <w:t>Fuknční</w:t>
      </w:r>
      <w:proofErr w:type="spellEnd"/>
      <w:r>
        <w:rPr>
          <w:rFonts w:ascii="Arial" w:hAnsi="Arial" w:cs="Arial"/>
          <w:b/>
        </w:rPr>
        <w:t xml:space="preserve"> příslušnost</w:t>
      </w:r>
      <w:r>
        <w:rPr>
          <w:rFonts w:ascii="Arial" w:hAnsi="Arial" w:cs="Arial"/>
        </w:rPr>
        <w:t xml:space="preserve"> znamená odpověď na otázku, který z orgánů věcně a místně příslušné obce má provést řízení. Obce mohou zřizovat zvláštní orgány: komise k projednávání přestupků</w:t>
      </w:r>
      <w:r>
        <w:rPr>
          <w:rFonts w:ascii="Arial" w:hAnsi="Arial" w:cs="Arial"/>
          <w:vertAlign w:val="superscript"/>
        </w:rPr>
        <w:footnoteReference w:id="5"/>
      </w:r>
      <w:r>
        <w:rPr>
          <w:rFonts w:ascii="Arial" w:hAnsi="Arial" w:cs="Arial"/>
        </w:rPr>
        <w:t>. Pokud obec takovou komisi nezřídí, k projednání přestupků jsou příslušné jejich výkonné orgány a příslušném úseku.</w:t>
      </w:r>
    </w:p>
    <w:p w:rsidR="00A22AFB" w:rsidRDefault="00A22AFB" w:rsidP="00A22AFB">
      <w:pPr>
        <w:spacing w:before="60" w:after="60" w:line="300" w:lineRule="auto"/>
        <w:ind w:firstLine="0"/>
        <w:jc w:val="both"/>
        <w:rPr>
          <w:rFonts w:ascii="Arial" w:hAnsi="Arial" w:cs="Arial"/>
        </w:rPr>
      </w:pPr>
    </w:p>
    <w:p w:rsidR="00A22AFB" w:rsidRDefault="00A22AFB" w:rsidP="00A22AFB">
      <w:pPr>
        <w:spacing w:before="60" w:after="60" w:line="300" w:lineRule="auto"/>
        <w:ind w:firstLine="0"/>
        <w:jc w:val="both"/>
        <w:rPr>
          <w:rFonts w:ascii="Arial" w:hAnsi="Arial" w:cs="Arial"/>
        </w:rPr>
      </w:pPr>
      <w:r>
        <w:rPr>
          <w:rFonts w:ascii="Arial" w:hAnsi="Arial" w:cs="Arial"/>
        </w:rPr>
        <w:tab/>
        <w:t xml:space="preserve">Řízení o přestupcích se </w:t>
      </w:r>
      <w:r>
        <w:rPr>
          <w:rFonts w:ascii="Arial" w:hAnsi="Arial" w:cs="Arial"/>
          <w:b/>
        </w:rPr>
        <w:t>zahajuje</w:t>
      </w:r>
      <w:r>
        <w:rPr>
          <w:rFonts w:ascii="Arial" w:hAnsi="Arial" w:cs="Arial"/>
        </w:rPr>
        <w:t xml:space="preserve"> z moci úřední, na základě zásady oficiality, existují však i tzv. přestupky návrhové, které se projednávají jen na návrh</w:t>
      </w:r>
      <w:r>
        <w:rPr>
          <w:rFonts w:ascii="Arial" w:hAnsi="Arial" w:cs="Arial"/>
          <w:vertAlign w:val="superscript"/>
        </w:rPr>
        <w:footnoteReference w:id="6"/>
      </w:r>
      <w:r>
        <w:rPr>
          <w:rFonts w:ascii="Arial" w:hAnsi="Arial" w:cs="Arial"/>
        </w:rPr>
        <w:t>.</w:t>
      </w:r>
    </w:p>
    <w:p w:rsidR="00A22AFB" w:rsidRDefault="00A22AFB" w:rsidP="00A22AFB">
      <w:pPr>
        <w:spacing w:before="60" w:after="60" w:line="300" w:lineRule="auto"/>
        <w:ind w:firstLine="0"/>
        <w:jc w:val="both"/>
        <w:rPr>
          <w:rFonts w:ascii="Arial" w:hAnsi="Arial" w:cs="Arial"/>
        </w:rPr>
      </w:pPr>
      <w:r>
        <w:rPr>
          <w:rFonts w:ascii="Arial" w:hAnsi="Arial" w:cs="Arial"/>
        </w:rPr>
        <w:tab/>
        <w:t>Z </w:t>
      </w:r>
      <w:r>
        <w:rPr>
          <w:rFonts w:ascii="Arial" w:hAnsi="Arial" w:cs="Arial"/>
          <w:b/>
        </w:rPr>
        <w:t>moci úřední</w:t>
      </w:r>
      <w:r>
        <w:rPr>
          <w:rFonts w:ascii="Arial" w:hAnsi="Arial" w:cs="Arial"/>
        </w:rPr>
        <w:t xml:space="preserve"> se zahajuje řízení jak na základě poznatků z vlastní činnosti, ale i z podnětu od jiných subjektů, oznámení v rámci součinnosti.</w:t>
      </w:r>
    </w:p>
    <w:p w:rsidR="00A22AFB" w:rsidRDefault="00A22AFB" w:rsidP="00A22AFB">
      <w:pPr>
        <w:spacing w:before="60" w:after="60" w:line="300" w:lineRule="auto"/>
        <w:ind w:firstLine="0"/>
        <w:jc w:val="both"/>
        <w:rPr>
          <w:rFonts w:ascii="Arial" w:hAnsi="Arial" w:cs="Arial"/>
        </w:rPr>
      </w:pPr>
      <w:r>
        <w:rPr>
          <w:rFonts w:ascii="Arial" w:hAnsi="Arial" w:cs="Arial"/>
        </w:rPr>
        <w:tab/>
        <w:t>Správní orgán zahájí řízení bezodkladně, nejpozději do třiceti dnů, pokud neshledá důvod k odložení</w:t>
      </w:r>
      <w:r>
        <w:rPr>
          <w:rFonts w:ascii="Arial" w:hAnsi="Arial" w:cs="Arial"/>
          <w:vertAlign w:val="superscript"/>
        </w:rPr>
        <w:footnoteReference w:id="7"/>
      </w:r>
      <w:r>
        <w:rPr>
          <w:rFonts w:ascii="Arial" w:hAnsi="Arial" w:cs="Arial"/>
        </w:rPr>
        <w:t xml:space="preserve"> či postoupení věci</w:t>
      </w:r>
      <w:r>
        <w:rPr>
          <w:rFonts w:ascii="Arial" w:hAnsi="Arial" w:cs="Arial"/>
          <w:vertAlign w:val="superscript"/>
        </w:rPr>
        <w:footnoteReference w:id="8"/>
      </w:r>
      <w:r>
        <w:rPr>
          <w:rFonts w:ascii="Arial" w:hAnsi="Arial" w:cs="Arial"/>
        </w:rPr>
        <w:t>.</w:t>
      </w:r>
    </w:p>
    <w:p w:rsidR="00A22AFB" w:rsidRDefault="00A22AFB" w:rsidP="00A22AFB">
      <w:pPr>
        <w:spacing w:before="60" w:after="60" w:line="300" w:lineRule="auto"/>
        <w:ind w:firstLine="0"/>
        <w:jc w:val="both"/>
        <w:rPr>
          <w:rFonts w:ascii="Arial" w:hAnsi="Arial" w:cs="Arial"/>
        </w:rPr>
      </w:pPr>
      <w:r>
        <w:rPr>
          <w:rFonts w:ascii="Arial" w:hAnsi="Arial" w:cs="Arial"/>
        </w:rPr>
        <w:tab/>
        <w:t xml:space="preserve">Řízení </w:t>
      </w:r>
      <w:r>
        <w:rPr>
          <w:rFonts w:ascii="Arial" w:hAnsi="Arial" w:cs="Arial"/>
          <w:b/>
        </w:rPr>
        <w:t>na návrh</w:t>
      </w:r>
      <w:r>
        <w:rPr>
          <w:rFonts w:ascii="Arial" w:hAnsi="Arial" w:cs="Arial"/>
        </w:rPr>
        <w:t xml:space="preserve"> je reprezentováno užší skupinou přestupků, které vymezuje § 68 zákona o přestupcích, jde o přestupky mezi osobami blízkými a typicky přestupek urážky na cti.</w:t>
      </w:r>
    </w:p>
    <w:p w:rsidR="00A22AFB" w:rsidRDefault="00A22AFB" w:rsidP="00A22AFB">
      <w:pPr>
        <w:spacing w:before="60" w:after="60" w:line="300" w:lineRule="auto"/>
        <w:ind w:firstLine="0"/>
        <w:jc w:val="both"/>
        <w:rPr>
          <w:rFonts w:ascii="Arial" w:hAnsi="Arial" w:cs="Arial"/>
        </w:rPr>
      </w:pPr>
      <w:r>
        <w:rPr>
          <w:rFonts w:ascii="Arial" w:hAnsi="Arial" w:cs="Arial"/>
        </w:rPr>
        <w:tab/>
        <w:t>Návrh na zahájení řízení musí splňovat zákonné náležitosti</w:t>
      </w:r>
      <w:r>
        <w:rPr>
          <w:rFonts w:ascii="Arial" w:hAnsi="Arial" w:cs="Arial"/>
          <w:vertAlign w:val="superscript"/>
        </w:rPr>
        <w:footnoteReference w:id="9"/>
      </w:r>
      <w:r>
        <w:rPr>
          <w:rFonts w:ascii="Arial" w:hAnsi="Arial" w:cs="Arial"/>
        </w:rPr>
        <w:t>, podává jej buď postižená osoba, její opatrovník nebo zákonný zástupce a musí být podán do tří měsíců ode dne, kdy se navrhovatel o přestupku dozvěděl.</w:t>
      </w:r>
    </w:p>
    <w:p w:rsidR="00A22AFB" w:rsidRDefault="00A22AFB" w:rsidP="00A22AFB">
      <w:pPr>
        <w:spacing w:before="60" w:after="60" w:line="300" w:lineRule="auto"/>
        <w:ind w:firstLine="0"/>
        <w:jc w:val="both"/>
        <w:rPr>
          <w:rFonts w:ascii="Arial" w:hAnsi="Arial" w:cs="Arial"/>
        </w:rPr>
      </w:pPr>
    </w:p>
    <w:p w:rsidR="00A22AFB" w:rsidRDefault="00A22AFB" w:rsidP="00A22AFB">
      <w:pPr>
        <w:spacing w:before="60" w:after="60" w:line="300" w:lineRule="auto"/>
        <w:ind w:firstLine="0"/>
        <w:jc w:val="both"/>
        <w:rPr>
          <w:rFonts w:ascii="Arial" w:hAnsi="Arial" w:cs="Arial"/>
        </w:rPr>
      </w:pPr>
      <w:r>
        <w:rPr>
          <w:rFonts w:ascii="Arial" w:hAnsi="Arial" w:cs="Arial"/>
        </w:rPr>
        <w:tab/>
        <w:t xml:space="preserve">Pokud je naplněna podmínka, že se pachatel dopustil více přestupků, které je příslušný projednávat týž orgán, projednávají se, v zájmu hospodárnosti a objektivity, ve </w:t>
      </w:r>
      <w:r>
        <w:rPr>
          <w:rFonts w:ascii="Arial" w:hAnsi="Arial" w:cs="Arial"/>
          <w:b/>
        </w:rPr>
        <w:t>společném řízení</w:t>
      </w:r>
      <w:r>
        <w:rPr>
          <w:rFonts w:ascii="Arial" w:hAnsi="Arial" w:cs="Arial"/>
        </w:rPr>
        <w:t>.</w:t>
      </w:r>
    </w:p>
    <w:p w:rsidR="00A22AFB" w:rsidRDefault="00A22AFB" w:rsidP="00A22AFB">
      <w:pPr>
        <w:spacing w:before="60" w:after="60" w:line="300" w:lineRule="auto"/>
        <w:ind w:firstLine="0"/>
        <w:jc w:val="both"/>
        <w:rPr>
          <w:rFonts w:ascii="Arial" w:hAnsi="Arial" w:cs="Arial"/>
        </w:rPr>
      </w:pPr>
    </w:p>
    <w:p w:rsidR="00A22AFB" w:rsidRDefault="00A22AFB" w:rsidP="00A22AFB">
      <w:pPr>
        <w:spacing w:before="60" w:after="60" w:line="300" w:lineRule="auto"/>
        <w:ind w:firstLine="0"/>
        <w:jc w:val="both"/>
        <w:rPr>
          <w:rFonts w:ascii="Arial" w:hAnsi="Arial" w:cs="Arial"/>
        </w:rPr>
      </w:pPr>
      <w:r>
        <w:rPr>
          <w:rFonts w:ascii="Arial" w:hAnsi="Arial" w:cs="Arial"/>
        </w:rPr>
        <w:lastRenderedPageBreak/>
        <w:tab/>
        <w:t xml:space="preserve">Důležitým institutem v rámci přestupkového řízení je </w:t>
      </w:r>
      <w:r>
        <w:rPr>
          <w:rFonts w:ascii="Arial" w:hAnsi="Arial" w:cs="Arial"/>
          <w:b/>
        </w:rPr>
        <w:t>součinnost</w:t>
      </w:r>
      <w:r>
        <w:rPr>
          <w:rFonts w:ascii="Arial" w:hAnsi="Arial" w:cs="Arial"/>
        </w:rPr>
        <w:t xml:space="preserve"> či spolupráce správních orgánů. Jde jak o vztahy při oznamování, ale i o žádosti o provedení úkonů k prověřování oznámení o přestupcích ze strany správního orgánu k státním orgánům a orgánům policie, k projednávání přestupků a k výkonu rozhodnutí.</w:t>
      </w:r>
    </w:p>
    <w:p w:rsidR="00A22AFB" w:rsidRDefault="00A22AFB" w:rsidP="00A22AFB">
      <w:pPr>
        <w:spacing w:before="60" w:after="60" w:line="300" w:lineRule="auto"/>
        <w:ind w:firstLine="0"/>
        <w:jc w:val="both"/>
        <w:rPr>
          <w:rFonts w:ascii="Arial" w:hAnsi="Arial" w:cs="Arial"/>
        </w:rPr>
      </w:pPr>
    </w:p>
    <w:p w:rsidR="00A22AFB" w:rsidRDefault="00A22AFB" w:rsidP="00A22AFB">
      <w:pPr>
        <w:spacing w:before="60" w:after="60" w:line="300" w:lineRule="auto"/>
        <w:ind w:firstLine="0"/>
        <w:jc w:val="both"/>
        <w:rPr>
          <w:rFonts w:ascii="Arial" w:hAnsi="Arial" w:cs="Arial"/>
        </w:rPr>
      </w:pPr>
      <w:r>
        <w:rPr>
          <w:rFonts w:ascii="Arial" w:hAnsi="Arial" w:cs="Arial"/>
        </w:rPr>
        <w:tab/>
        <w:t xml:space="preserve">V řízení o přestupku může být uplatněna </w:t>
      </w:r>
      <w:r>
        <w:rPr>
          <w:rFonts w:ascii="Arial" w:hAnsi="Arial" w:cs="Arial"/>
          <w:b/>
        </w:rPr>
        <w:t>náhrada škody</w:t>
      </w:r>
      <w:r>
        <w:rPr>
          <w:rFonts w:ascii="Arial" w:hAnsi="Arial" w:cs="Arial"/>
        </w:rPr>
        <w:t>. Tuto situaci upravuje § 70 zákona o přestupcích. Uplatnil-li ten, komu byla přestupkem způsobena majetková újma, svůj nárok na její náhradu, působí správní orgán, který přestupek projedná, k tomu, aby byla škoda nahrazena dobrovolně. Škoda a její výše přitom musí být zjištěny spolehlivě. Pokud tomu tak není nebo nebyla dobrovolně nahrazena, odkáže správní orgán poškozeného na soud, nebo jiný příslušný orgán.</w:t>
      </w:r>
    </w:p>
    <w:p w:rsidR="00A22AFB" w:rsidRDefault="00A22AFB" w:rsidP="00A22AFB">
      <w:pPr>
        <w:spacing w:before="60" w:after="60" w:line="300" w:lineRule="auto"/>
        <w:ind w:firstLine="0"/>
        <w:jc w:val="both"/>
        <w:rPr>
          <w:rFonts w:ascii="Arial" w:hAnsi="Arial" w:cs="Arial"/>
        </w:rPr>
      </w:pPr>
    </w:p>
    <w:p w:rsidR="00A22AFB" w:rsidRDefault="00A22AFB" w:rsidP="00A22AFB">
      <w:pPr>
        <w:spacing w:before="60" w:after="60" w:line="300" w:lineRule="auto"/>
        <w:ind w:firstLine="0"/>
        <w:jc w:val="both"/>
        <w:rPr>
          <w:rFonts w:ascii="Arial" w:hAnsi="Arial" w:cs="Arial"/>
        </w:rPr>
      </w:pPr>
      <w:r>
        <w:rPr>
          <w:rFonts w:ascii="Arial" w:hAnsi="Arial" w:cs="Arial"/>
          <w:b/>
        </w:rPr>
        <w:tab/>
        <w:t>Účastníky</w:t>
      </w:r>
      <w:r>
        <w:rPr>
          <w:rFonts w:ascii="Arial" w:hAnsi="Arial" w:cs="Arial"/>
        </w:rPr>
        <w:t xml:space="preserve"> řízení jsou především: </w:t>
      </w:r>
    </w:p>
    <w:p w:rsidR="00A22AFB" w:rsidRDefault="00A22AFB" w:rsidP="00A22AFB">
      <w:pPr>
        <w:numPr>
          <w:ilvl w:val="0"/>
          <w:numId w:val="3"/>
        </w:numPr>
        <w:spacing w:before="60" w:after="60" w:line="300" w:lineRule="auto"/>
        <w:jc w:val="both"/>
        <w:rPr>
          <w:rFonts w:ascii="Arial" w:hAnsi="Arial" w:cs="Arial"/>
        </w:rPr>
      </w:pPr>
      <w:r>
        <w:rPr>
          <w:rFonts w:ascii="Arial" w:hAnsi="Arial" w:cs="Arial"/>
        </w:rPr>
        <w:t>obviněný z přestupku</w:t>
      </w:r>
      <w:r>
        <w:rPr>
          <w:rFonts w:ascii="Arial" w:hAnsi="Arial" w:cs="Arial"/>
          <w:vertAlign w:val="superscript"/>
        </w:rPr>
        <w:footnoteReference w:id="10"/>
      </w:r>
      <w:r>
        <w:rPr>
          <w:rFonts w:ascii="Arial" w:hAnsi="Arial" w:cs="Arial"/>
        </w:rPr>
        <w:t>,</w:t>
      </w:r>
    </w:p>
    <w:p w:rsidR="00A22AFB" w:rsidRDefault="00A22AFB" w:rsidP="00A22AFB">
      <w:pPr>
        <w:numPr>
          <w:ilvl w:val="0"/>
          <w:numId w:val="3"/>
        </w:numPr>
        <w:spacing w:before="60" w:after="60" w:line="300" w:lineRule="auto"/>
        <w:jc w:val="both"/>
        <w:rPr>
          <w:rFonts w:ascii="Arial" w:hAnsi="Arial" w:cs="Arial"/>
        </w:rPr>
      </w:pPr>
      <w:r>
        <w:rPr>
          <w:rFonts w:ascii="Arial" w:hAnsi="Arial" w:cs="Arial"/>
        </w:rPr>
        <w:t>poškozený</w:t>
      </w:r>
      <w:r>
        <w:rPr>
          <w:rFonts w:ascii="Arial" w:hAnsi="Arial" w:cs="Arial"/>
          <w:vertAlign w:val="superscript"/>
        </w:rPr>
        <w:footnoteReference w:id="11"/>
      </w:r>
      <w:r>
        <w:rPr>
          <w:rFonts w:ascii="Arial" w:hAnsi="Arial" w:cs="Arial"/>
        </w:rPr>
        <w:t>,</w:t>
      </w:r>
    </w:p>
    <w:p w:rsidR="00A22AFB" w:rsidRDefault="00A22AFB" w:rsidP="00A22AFB">
      <w:pPr>
        <w:numPr>
          <w:ilvl w:val="0"/>
          <w:numId w:val="3"/>
        </w:numPr>
        <w:spacing w:before="60" w:after="60" w:line="300" w:lineRule="auto"/>
        <w:jc w:val="both"/>
        <w:rPr>
          <w:rFonts w:ascii="Arial" w:hAnsi="Arial" w:cs="Arial"/>
        </w:rPr>
      </w:pPr>
      <w:r>
        <w:rPr>
          <w:rFonts w:ascii="Arial" w:hAnsi="Arial" w:cs="Arial"/>
        </w:rPr>
        <w:t>vlastník věci, která může být nebo byla zabrána</w:t>
      </w:r>
      <w:r>
        <w:rPr>
          <w:rFonts w:ascii="Arial" w:hAnsi="Arial" w:cs="Arial"/>
          <w:vertAlign w:val="superscript"/>
        </w:rPr>
        <w:footnoteReference w:id="12"/>
      </w:r>
      <w:r>
        <w:rPr>
          <w:rFonts w:ascii="Arial" w:hAnsi="Arial" w:cs="Arial"/>
        </w:rPr>
        <w:t>,</w:t>
      </w:r>
    </w:p>
    <w:p w:rsidR="00A22AFB" w:rsidRDefault="00A22AFB" w:rsidP="00A22AFB">
      <w:pPr>
        <w:numPr>
          <w:ilvl w:val="0"/>
          <w:numId w:val="3"/>
        </w:numPr>
        <w:spacing w:before="60" w:after="60" w:line="300" w:lineRule="auto"/>
        <w:jc w:val="both"/>
        <w:rPr>
          <w:rFonts w:ascii="Arial" w:hAnsi="Arial" w:cs="Arial"/>
        </w:rPr>
      </w:pPr>
      <w:r>
        <w:rPr>
          <w:rFonts w:ascii="Arial" w:hAnsi="Arial" w:cs="Arial"/>
        </w:rPr>
        <w:t>navrhovatel</w:t>
      </w:r>
      <w:r>
        <w:rPr>
          <w:rFonts w:ascii="Arial" w:hAnsi="Arial" w:cs="Arial"/>
          <w:vertAlign w:val="superscript"/>
        </w:rPr>
        <w:footnoteReference w:id="13"/>
      </w:r>
      <w:r>
        <w:rPr>
          <w:rFonts w:ascii="Arial" w:hAnsi="Arial" w:cs="Arial"/>
        </w:rPr>
        <w:t>.</w:t>
      </w:r>
    </w:p>
    <w:p w:rsidR="00A22AFB" w:rsidRDefault="00A22AFB" w:rsidP="00A22AFB">
      <w:pPr>
        <w:spacing w:before="60" w:after="60" w:line="300" w:lineRule="auto"/>
        <w:ind w:firstLine="0"/>
        <w:jc w:val="both"/>
        <w:rPr>
          <w:rFonts w:ascii="Arial" w:hAnsi="Arial" w:cs="Arial"/>
        </w:rPr>
      </w:pPr>
    </w:p>
    <w:p w:rsidR="00A22AFB" w:rsidRDefault="00A22AFB" w:rsidP="00A22AFB">
      <w:pPr>
        <w:spacing w:before="60" w:after="60" w:line="300" w:lineRule="auto"/>
        <w:ind w:firstLine="0"/>
        <w:jc w:val="both"/>
        <w:rPr>
          <w:rFonts w:ascii="Arial" w:hAnsi="Arial" w:cs="Arial"/>
        </w:rPr>
      </w:pPr>
      <w:r>
        <w:rPr>
          <w:rFonts w:ascii="Arial" w:hAnsi="Arial" w:cs="Arial"/>
        </w:rPr>
        <w:tab/>
        <w:t xml:space="preserve">Pro průběh prvoinstančního řízení je </w:t>
      </w:r>
      <w:r w:rsidRPr="006D77C4">
        <w:rPr>
          <w:rFonts w:ascii="Arial" w:hAnsi="Arial" w:cs="Arial"/>
          <w:i/>
        </w:rPr>
        <w:t>obligatorně</w:t>
      </w:r>
      <w:r>
        <w:rPr>
          <w:rFonts w:ascii="Arial" w:hAnsi="Arial" w:cs="Arial"/>
        </w:rPr>
        <w:t xml:space="preserve"> stanoveno </w:t>
      </w:r>
      <w:r>
        <w:rPr>
          <w:rFonts w:ascii="Arial" w:hAnsi="Arial" w:cs="Arial"/>
          <w:b/>
        </w:rPr>
        <w:t>ústní jednání</w:t>
      </w:r>
      <w:r>
        <w:rPr>
          <w:rFonts w:ascii="Arial" w:hAnsi="Arial" w:cs="Arial"/>
        </w:rPr>
        <w:t xml:space="preserve"> a zásadně za přítomnosti obviněného</w:t>
      </w:r>
      <w:r>
        <w:rPr>
          <w:rFonts w:ascii="Arial" w:hAnsi="Arial" w:cs="Arial"/>
          <w:vertAlign w:val="superscript"/>
        </w:rPr>
        <w:footnoteReference w:id="14"/>
      </w:r>
      <w:r>
        <w:rPr>
          <w:rFonts w:ascii="Arial" w:hAnsi="Arial" w:cs="Arial"/>
        </w:rPr>
        <w:t>. Ten má právo se vyjádřit ke všem skutečnostem a důkazům.</w:t>
      </w:r>
    </w:p>
    <w:p w:rsidR="00A22AFB" w:rsidRDefault="00A22AFB" w:rsidP="00A22AFB">
      <w:pPr>
        <w:spacing w:before="60" w:after="60" w:line="300" w:lineRule="auto"/>
        <w:ind w:firstLine="0"/>
        <w:jc w:val="both"/>
        <w:rPr>
          <w:rFonts w:ascii="Arial" w:hAnsi="Arial" w:cs="Arial"/>
        </w:rPr>
      </w:pPr>
    </w:p>
    <w:p w:rsidR="00A22AFB" w:rsidRDefault="00A22AFB" w:rsidP="00A22AFB">
      <w:pPr>
        <w:spacing w:before="60" w:after="60" w:line="300" w:lineRule="auto"/>
        <w:ind w:firstLine="0"/>
        <w:jc w:val="both"/>
        <w:rPr>
          <w:rFonts w:ascii="Arial" w:hAnsi="Arial" w:cs="Arial"/>
        </w:rPr>
      </w:pPr>
      <w:r>
        <w:rPr>
          <w:rFonts w:ascii="Arial" w:hAnsi="Arial" w:cs="Arial"/>
        </w:rPr>
        <w:tab/>
        <w:t xml:space="preserve">Přestupkové řízení končí vydáním </w:t>
      </w:r>
      <w:r>
        <w:rPr>
          <w:rFonts w:ascii="Arial" w:hAnsi="Arial" w:cs="Arial"/>
          <w:b/>
        </w:rPr>
        <w:t>rozhodnutí</w:t>
      </w:r>
      <w:r>
        <w:rPr>
          <w:rFonts w:ascii="Arial" w:hAnsi="Arial" w:cs="Arial"/>
        </w:rPr>
        <w:t xml:space="preserve">, z taxativně vymezených důvodů </w:t>
      </w:r>
      <w:r>
        <w:rPr>
          <w:rFonts w:ascii="Arial" w:hAnsi="Arial" w:cs="Arial"/>
          <w:b/>
        </w:rPr>
        <w:t>zastavením řízení</w:t>
      </w:r>
      <w:r>
        <w:rPr>
          <w:rFonts w:ascii="Arial" w:hAnsi="Arial" w:cs="Arial"/>
          <w:b/>
          <w:vertAlign w:val="superscript"/>
        </w:rPr>
        <w:footnoteReference w:id="15"/>
      </w:r>
      <w:r>
        <w:rPr>
          <w:rFonts w:ascii="Arial" w:hAnsi="Arial" w:cs="Arial"/>
        </w:rPr>
        <w:t xml:space="preserve">, nebo </w:t>
      </w:r>
      <w:r>
        <w:rPr>
          <w:rFonts w:ascii="Arial" w:hAnsi="Arial" w:cs="Arial"/>
          <w:b/>
        </w:rPr>
        <w:t>smírem</w:t>
      </w:r>
      <w:r>
        <w:rPr>
          <w:rFonts w:ascii="Arial" w:hAnsi="Arial" w:cs="Arial"/>
          <w:b/>
          <w:vertAlign w:val="superscript"/>
        </w:rPr>
        <w:footnoteReference w:id="16"/>
      </w:r>
      <w:r>
        <w:rPr>
          <w:rFonts w:ascii="Arial" w:hAnsi="Arial" w:cs="Arial"/>
        </w:rPr>
        <w:t>.</w:t>
      </w:r>
    </w:p>
    <w:p w:rsidR="00A22AFB" w:rsidRDefault="00A22AFB" w:rsidP="00A22AFB">
      <w:pPr>
        <w:spacing w:before="60" w:after="60" w:line="300" w:lineRule="auto"/>
        <w:ind w:firstLine="0"/>
        <w:jc w:val="both"/>
        <w:rPr>
          <w:rFonts w:ascii="Arial" w:hAnsi="Arial" w:cs="Arial"/>
        </w:rPr>
      </w:pPr>
      <w:r>
        <w:rPr>
          <w:rFonts w:ascii="Arial" w:hAnsi="Arial" w:cs="Arial"/>
          <w:b/>
        </w:rPr>
        <w:tab/>
      </w:r>
      <w:r w:rsidRPr="006D77C4">
        <w:rPr>
          <w:rFonts w:ascii="Arial" w:hAnsi="Arial" w:cs="Arial"/>
        </w:rPr>
        <w:t>Z</w:t>
      </w:r>
      <w:r>
        <w:rPr>
          <w:rFonts w:ascii="Arial" w:hAnsi="Arial" w:cs="Arial"/>
        </w:rPr>
        <w:t xml:space="preserve">ákon o přestupcích klade specifické požadavky na </w:t>
      </w:r>
      <w:r w:rsidRPr="006D77C4">
        <w:rPr>
          <w:rFonts w:ascii="Arial" w:hAnsi="Arial" w:cs="Arial"/>
          <w:b/>
        </w:rPr>
        <w:t>výrok rozhodnutí</w:t>
      </w:r>
      <w:r>
        <w:rPr>
          <w:rFonts w:ascii="Arial" w:hAnsi="Arial" w:cs="Arial"/>
        </w:rPr>
        <w:t>. Ten  obsahuje také popis skutku, označení místa a času spáchání přestupku, vyslovení viny, druh a výměru sankce, případně rozhodnutí o upuštění od uložení sankce, o započtení doby do doby zákazu činnosti, o uložení ochranného opatření, o nároku na náhradu škody a o náhradě nákladů řízení</w:t>
      </w:r>
      <w:r>
        <w:rPr>
          <w:rFonts w:ascii="Arial" w:hAnsi="Arial" w:cs="Arial"/>
          <w:vertAlign w:val="superscript"/>
        </w:rPr>
        <w:footnoteReference w:id="17"/>
      </w:r>
      <w:r>
        <w:rPr>
          <w:rFonts w:ascii="Arial" w:hAnsi="Arial" w:cs="Arial"/>
        </w:rPr>
        <w:t>.</w:t>
      </w:r>
      <w:r>
        <w:rPr>
          <w:rFonts w:ascii="Arial" w:hAnsi="Arial" w:cs="Arial"/>
          <w:vertAlign w:val="superscript"/>
        </w:rPr>
        <w:footnoteReference w:id="18"/>
      </w:r>
    </w:p>
    <w:p w:rsidR="00A22AFB" w:rsidRDefault="00A22AFB" w:rsidP="00A22AFB">
      <w:pPr>
        <w:spacing w:before="60" w:after="60" w:line="300" w:lineRule="auto"/>
        <w:ind w:firstLine="0"/>
        <w:jc w:val="both"/>
        <w:rPr>
          <w:rFonts w:ascii="Arial" w:hAnsi="Arial" w:cs="Arial"/>
        </w:rPr>
      </w:pPr>
      <w:r>
        <w:rPr>
          <w:rFonts w:ascii="Arial" w:hAnsi="Arial" w:cs="Arial"/>
        </w:rPr>
        <w:lastRenderedPageBreak/>
        <w:tab/>
        <w:t xml:space="preserve">Další zvláštností řízení o přestupcích je, že rozhodnutí o přestupku nelze </w:t>
      </w:r>
      <w:r w:rsidRPr="006D77C4">
        <w:rPr>
          <w:rFonts w:ascii="Arial" w:hAnsi="Arial" w:cs="Arial"/>
          <w:b/>
        </w:rPr>
        <w:t xml:space="preserve">doručovat </w:t>
      </w:r>
      <w:r>
        <w:rPr>
          <w:rFonts w:ascii="Arial" w:hAnsi="Arial" w:cs="Arial"/>
        </w:rPr>
        <w:t>formou veřejné vyhlášky.</w:t>
      </w:r>
    </w:p>
    <w:p w:rsidR="00A22AFB" w:rsidRDefault="00A22AFB" w:rsidP="00A22AFB">
      <w:pPr>
        <w:spacing w:before="60" w:after="60" w:line="300" w:lineRule="auto"/>
        <w:ind w:firstLine="0"/>
        <w:jc w:val="both"/>
        <w:rPr>
          <w:rFonts w:ascii="Arial" w:hAnsi="Arial" w:cs="Arial"/>
        </w:rPr>
      </w:pPr>
      <w:r>
        <w:rPr>
          <w:rFonts w:ascii="Arial" w:hAnsi="Arial" w:cs="Arial"/>
        </w:rPr>
        <w:tab/>
      </w:r>
      <w:r w:rsidRPr="006D77C4">
        <w:rPr>
          <w:rFonts w:ascii="Arial" w:hAnsi="Arial" w:cs="Arial"/>
          <w:b/>
        </w:rPr>
        <w:t>Pravomocné rozhodnutí</w:t>
      </w:r>
      <w:r>
        <w:rPr>
          <w:rFonts w:ascii="Arial" w:hAnsi="Arial" w:cs="Arial"/>
        </w:rPr>
        <w:t xml:space="preserve"> o přestupku správní orgán </w:t>
      </w:r>
      <w:r w:rsidRPr="006D77C4">
        <w:rPr>
          <w:rFonts w:ascii="Arial" w:hAnsi="Arial" w:cs="Arial"/>
          <w:b/>
        </w:rPr>
        <w:t>zruší</w:t>
      </w:r>
      <w:r>
        <w:rPr>
          <w:rFonts w:ascii="Arial" w:hAnsi="Arial" w:cs="Arial"/>
        </w:rPr>
        <w:t xml:space="preserve"> z důvodu zákazu dvojího postihu, zjistí-li, že osoba, která byla uznána vinnou z přestupku, byla za týž přestupek soudem pravomocně odsouzena</w:t>
      </w:r>
      <w:r w:rsidR="00DB59A7">
        <w:rPr>
          <w:rFonts w:ascii="Arial" w:hAnsi="Arial" w:cs="Arial"/>
        </w:rPr>
        <w:t xml:space="preserve"> </w:t>
      </w:r>
      <w:r>
        <w:rPr>
          <w:rFonts w:ascii="Arial" w:hAnsi="Arial" w:cs="Arial"/>
        </w:rPr>
        <w:t>nebo obžaloby zproštěna.</w:t>
      </w:r>
    </w:p>
    <w:p w:rsidR="00A22AFB" w:rsidRDefault="00A22AFB" w:rsidP="00A22AFB">
      <w:pPr>
        <w:spacing w:before="60" w:after="60" w:line="300" w:lineRule="auto"/>
        <w:ind w:firstLine="0"/>
        <w:jc w:val="both"/>
        <w:rPr>
          <w:rFonts w:ascii="Arial" w:hAnsi="Arial" w:cs="Arial"/>
        </w:rPr>
      </w:pPr>
      <w:r>
        <w:rPr>
          <w:rFonts w:ascii="Arial" w:hAnsi="Arial" w:cs="Arial"/>
          <w:b/>
        </w:rPr>
        <w:tab/>
        <w:t>Odvolání</w:t>
      </w:r>
      <w:r>
        <w:rPr>
          <w:rFonts w:ascii="Arial" w:hAnsi="Arial" w:cs="Arial"/>
        </w:rPr>
        <w:t xml:space="preserve"> proti rozhodnutí o přestupku v plném rozsahu může podat pouze obviněný z přestupku (v případě mladistvého v jeho prospěch i zákonný zástupce či orgán péče o dítě). Ostatní účastníci se mohou odvolat pouze v té části, která se jich týká. </w:t>
      </w:r>
    </w:p>
    <w:p w:rsidR="00A22AFB" w:rsidRDefault="00A22AFB" w:rsidP="00A22AFB">
      <w:pPr>
        <w:spacing w:before="60" w:after="60" w:line="300" w:lineRule="auto"/>
        <w:ind w:firstLine="0"/>
        <w:jc w:val="both"/>
        <w:rPr>
          <w:rFonts w:ascii="Arial" w:hAnsi="Arial" w:cs="Arial"/>
        </w:rPr>
      </w:pPr>
      <w:r>
        <w:rPr>
          <w:rFonts w:ascii="Arial" w:hAnsi="Arial" w:cs="Arial"/>
        </w:rPr>
        <w:tab/>
        <w:t xml:space="preserve">Odvolací lhůta je obecná patnáctidenní a odvolání má odkladný účinek, který nelze vyloučit. V odvolacím řízení platí zásada </w:t>
      </w:r>
      <w:r w:rsidRPr="00DB59A7">
        <w:rPr>
          <w:rFonts w:ascii="Arial" w:hAnsi="Arial" w:cs="Arial"/>
          <w:i/>
        </w:rPr>
        <w:t xml:space="preserve">zákazu </w:t>
      </w:r>
      <w:proofErr w:type="spellStart"/>
      <w:r>
        <w:rPr>
          <w:rFonts w:ascii="Arial" w:hAnsi="Arial" w:cs="Arial"/>
          <w:i/>
        </w:rPr>
        <w:t>reformatio</w:t>
      </w:r>
      <w:proofErr w:type="spellEnd"/>
      <w:r>
        <w:rPr>
          <w:rFonts w:ascii="Arial" w:hAnsi="Arial" w:cs="Arial"/>
          <w:i/>
        </w:rPr>
        <w:t xml:space="preserve"> in </w:t>
      </w:r>
      <w:proofErr w:type="spellStart"/>
      <w:r>
        <w:rPr>
          <w:rFonts w:ascii="Arial" w:hAnsi="Arial" w:cs="Arial"/>
          <w:i/>
        </w:rPr>
        <w:t>peius</w:t>
      </w:r>
      <w:proofErr w:type="spellEnd"/>
      <w:r>
        <w:rPr>
          <w:rFonts w:ascii="Arial" w:hAnsi="Arial" w:cs="Arial"/>
        </w:rPr>
        <w:t>, tedy zákazu změny uložené sankce v neprospěch obviněného.</w:t>
      </w:r>
    </w:p>
    <w:p w:rsidR="00A22AFB" w:rsidRDefault="00A22AFB" w:rsidP="00A22AFB">
      <w:pPr>
        <w:spacing w:before="60" w:after="60" w:line="300" w:lineRule="auto"/>
        <w:ind w:firstLine="0"/>
        <w:jc w:val="both"/>
        <w:rPr>
          <w:rFonts w:ascii="Arial" w:hAnsi="Arial" w:cs="Arial"/>
        </w:rPr>
      </w:pPr>
      <w:r>
        <w:rPr>
          <w:rFonts w:ascii="Arial" w:hAnsi="Arial" w:cs="Arial"/>
        </w:rPr>
        <w:tab/>
        <w:t xml:space="preserve">Rozhodnutí o přestupku je možné </w:t>
      </w:r>
      <w:r>
        <w:rPr>
          <w:rFonts w:ascii="Arial" w:hAnsi="Arial" w:cs="Arial"/>
          <w:b/>
        </w:rPr>
        <w:t>přezkoumat</w:t>
      </w:r>
      <w:r>
        <w:rPr>
          <w:rFonts w:ascii="Arial" w:hAnsi="Arial" w:cs="Arial"/>
        </w:rPr>
        <w:t xml:space="preserve"> soudem.</w:t>
      </w:r>
      <w:r>
        <w:rPr>
          <w:rFonts w:ascii="Arial" w:hAnsi="Arial" w:cs="Arial"/>
          <w:vertAlign w:val="superscript"/>
        </w:rPr>
        <w:footnoteReference w:id="19"/>
      </w:r>
    </w:p>
    <w:p w:rsidR="00A22AFB" w:rsidRDefault="00A22AFB" w:rsidP="00A22AFB">
      <w:pPr>
        <w:spacing w:before="60" w:after="60" w:line="300" w:lineRule="auto"/>
        <w:ind w:firstLine="0"/>
        <w:jc w:val="both"/>
        <w:rPr>
          <w:rFonts w:ascii="Arial" w:hAnsi="Arial" w:cs="Arial"/>
        </w:rPr>
      </w:pPr>
    </w:p>
    <w:p w:rsidR="00A22AFB" w:rsidRDefault="00A22AFB" w:rsidP="00A22AFB">
      <w:pPr>
        <w:spacing w:before="60" w:after="60" w:line="300" w:lineRule="auto"/>
        <w:ind w:firstLine="0"/>
        <w:jc w:val="both"/>
        <w:rPr>
          <w:rFonts w:ascii="Arial" w:hAnsi="Arial" w:cs="Arial"/>
        </w:rPr>
      </w:pPr>
      <w:r>
        <w:rPr>
          <w:rFonts w:ascii="Arial" w:hAnsi="Arial" w:cs="Arial"/>
        </w:rPr>
        <w:tab/>
        <w:t xml:space="preserve">V rámci řízení o přestupcích se objevují tzv. </w:t>
      </w:r>
      <w:r>
        <w:rPr>
          <w:rFonts w:ascii="Arial" w:hAnsi="Arial" w:cs="Arial"/>
          <w:b/>
        </w:rPr>
        <w:t>zkrácené formy řízení</w:t>
      </w:r>
      <w:r>
        <w:rPr>
          <w:rFonts w:ascii="Arial" w:hAnsi="Arial" w:cs="Arial"/>
        </w:rPr>
        <w:t xml:space="preserve">, které zajišťují jednoduchý, rychlý a hospodárný zásah s bezprostředním účinkem. Jsou jimi: </w:t>
      </w:r>
    </w:p>
    <w:p w:rsidR="00A22AFB" w:rsidRDefault="00A22AFB" w:rsidP="00A22AFB">
      <w:pPr>
        <w:numPr>
          <w:ilvl w:val="0"/>
          <w:numId w:val="4"/>
        </w:numPr>
        <w:spacing w:before="60" w:after="60" w:line="300" w:lineRule="auto"/>
        <w:jc w:val="both"/>
        <w:rPr>
          <w:rFonts w:ascii="Arial" w:hAnsi="Arial" w:cs="Arial"/>
        </w:rPr>
      </w:pPr>
      <w:r>
        <w:rPr>
          <w:rFonts w:ascii="Arial" w:hAnsi="Arial" w:cs="Arial"/>
        </w:rPr>
        <w:t>blokové řízení,</w:t>
      </w:r>
    </w:p>
    <w:p w:rsidR="00A22AFB" w:rsidRDefault="00A22AFB" w:rsidP="00A22AFB">
      <w:pPr>
        <w:numPr>
          <w:ilvl w:val="0"/>
          <w:numId w:val="4"/>
        </w:numPr>
        <w:spacing w:before="60" w:after="60" w:line="300" w:lineRule="auto"/>
        <w:jc w:val="both"/>
        <w:rPr>
          <w:rFonts w:ascii="Arial" w:hAnsi="Arial" w:cs="Arial"/>
        </w:rPr>
      </w:pPr>
      <w:r>
        <w:rPr>
          <w:rFonts w:ascii="Arial" w:hAnsi="Arial" w:cs="Arial"/>
        </w:rPr>
        <w:t>příkazní řízení.</w:t>
      </w:r>
    </w:p>
    <w:p w:rsidR="00A22AFB" w:rsidRDefault="00A22AFB" w:rsidP="00A22AFB">
      <w:pPr>
        <w:spacing w:before="60" w:after="60" w:line="300" w:lineRule="auto"/>
        <w:ind w:firstLine="0"/>
        <w:jc w:val="both"/>
        <w:rPr>
          <w:rFonts w:ascii="Arial" w:hAnsi="Arial" w:cs="Arial"/>
        </w:rPr>
      </w:pPr>
      <w:r>
        <w:rPr>
          <w:rFonts w:ascii="Arial" w:hAnsi="Arial" w:cs="Arial"/>
          <w:b/>
        </w:rPr>
        <w:tab/>
        <w:t>Blokové řízení</w:t>
      </w:r>
      <w:r>
        <w:rPr>
          <w:rFonts w:ascii="Arial" w:hAnsi="Arial" w:cs="Arial"/>
        </w:rPr>
        <w:t xml:space="preserve"> probíhá z</w:t>
      </w:r>
      <w:r w:rsidR="00DB59A7">
        <w:rPr>
          <w:rFonts w:ascii="Arial" w:hAnsi="Arial" w:cs="Arial"/>
        </w:rPr>
        <w:t>p</w:t>
      </w:r>
      <w:r>
        <w:rPr>
          <w:rFonts w:ascii="Arial" w:hAnsi="Arial" w:cs="Arial"/>
        </w:rPr>
        <w:t>ravidla na místě spáchání přestupku a bez dalšího projednávání a je při něm uložena tzv. bloková pokuta. Přestupek lze ale projednat v tomto řízení pouze za podmínek vymezených zákonem – skutek byl spolehlivě zjištěn, nestačí domluva a obviněný z přestupku je ochoten pokutu zaplatit. V tomto řízení však nelze projednávat návrhové přestupky.</w:t>
      </w:r>
    </w:p>
    <w:p w:rsidR="00A22AFB" w:rsidRDefault="00A22AFB" w:rsidP="00A22AFB">
      <w:pPr>
        <w:spacing w:before="60" w:after="60" w:line="300" w:lineRule="auto"/>
        <w:ind w:firstLine="0"/>
        <w:jc w:val="both"/>
        <w:rPr>
          <w:rFonts w:ascii="Arial" w:hAnsi="Arial" w:cs="Arial"/>
        </w:rPr>
      </w:pPr>
      <w:r>
        <w:rPr>
          <w:rFonts w:ascii="Arial" w:hAnsi="Arial" w:cs="Arial"/>
        </w:rPr>
        <w:tab/>
        <w:t>Pokuty v blokovém řízení jsou oprávněny ukládat a vybírat správní orgány, v jejichž působnosti je projednávání přestupků, dále jimi pověřené osoby a orgány určené zákonem (např. Policie ČR, obecní policie, dozorové a inspekční správní orgány atp.).</w:t>
      </w:r>
    </w:p>
    <w:p w:rsidR="00A22AFB" w:rsidRDefault="00A22AFB" w:rsidP="00A22AFB">
      <w:pPr>
        <w:spacing w:before="60" w:after="60" w:line="300" w:lineRule="auto"/>
        <w:ind w:firstLine="0"/>
        <w:jc w:val="both"/>
        <w:rPr>
          <w:rFonts w:ascii="Arial" w:hAnsi="Arial" w:cs="Arial"/>
        </w:rPr>
      </w:pPr>
      <w:r>
        <w:rPr>
          <w:rFonts w:ascii="Arial" w:hAnsi="Arial" w:cs="Arial"/>
          <w:b/>
        </w:rPr>
        <w:tab/>
        <w:t>Příkazní řízení</w:t>
      </w:r>
      <w:r>
        <w:rPr>
          <w:rFonts w:ascii="Arial" w:hAnsi="Arial" w:cs="Arial"/>
        </w:rPr>
        <w:t xml:space="preserve"> znamená situaci, kdy správní orgán bez dalšího vydá příkaz o uložení sankce za přestupek. Stejně jako u blokového řízení, musí být pro příkazní řízení splněny zákonné podmínky. Pro příkazní řízení nesmí být pochyb o tom, že obviněný se přestupku dopustil a věc nebyla vyřízena v blokovém řízení. Opět není možné v tomto zkráceném řízení projednávat návrhové přestupky. Dále nelze v příkazním řízení projednávat nárok na náhradu škody. </w:t>
      </w:r>
    </w:p>
    <w:p w:rsidR="00A22AFB" w:rsidRDefault="00A22AFB" w:rsidP="00A22AFB">
      <w:pPr>
        <w:spacing w:before="60" w:after="60" w:line="300" w:lineRule="auto"/>
        <w:ind w:firstLine="0"/>
        <w:jc w:val="both"/>
        <w:rPr>
          <w:rFonts w:ascii="Arial" w:hAnsi="Arial" w:cs="Arial"/>
        </w:rPr>
      </w:pPr>
      <w:r>
        <w:rPr>
          <w:rFonts w:ascii="Arial" w:hAnsi="Arial" w:cs="Arial"/>
        </w:rPr>
        <w:tab/>
        <w:t>Příkaz má písemnou formu a stejné náležitosti jako rozhodnutí o přestupku.</w:t>
      </w:r>
    </w:p>
    <w:p w:rsidR="00A22AFB" w:rsidRDefault="00A22AFB" w:rsidP="00A22AFB">
      <w:pPr>
        <w:spacing w:before="60" w:after="60" w:line="300" w:lineRule="auto"/>
        <w:ind w:firstLine="0"/>
        <w:jc w:val="both"/>
        <w:rPr>
          <w:rFonts w:ascii="Arial" w:hAnsi="Arial" w:cs="Arial"/>
        </w:rPr>
      </w:pPr>
      <w:r>
        <w:rPr>
          <w:rFonts w:ascii="Arial" w:hAnsi="Arial" w:cs="Arial"/>
        </w:rPr>
        <w:tab/>
        <w:t xml:space="preserve">Proti příkazu lze podat </w:t>
      </w:r>
      <w:r>
        <w:rPr>
          <w:rFonts w:ascii="Arial" w:hAnsi="Arial" w:cs="Arial"/>
          <w:b/>
        </w:rPr>
        <w:t>odpor</w:t>
      </w:r>
      <w:r>
        <w:rPr>
          <w:rFonts w:ascii="Arial" w:hAnsi="Arial" w:cs="Arial"/>
        </w:rPr>
        <w:t xml:space="preserve">. Lze jej podat </w:t>
      </w:r>
      <w:r w:rsidRPr="006D77C4">
        <w:rPr>
          <w:rFonts w:ascii="Arial" w:hAnsi="Arial" w:cs="Arial"/>
          <w:i/>
        </w:rPr>
        <w:t>do patnácti dnů</w:t>
      </w:r>
      <w:r>
        <w:rPr>
          <w:rFonts w:ascii="Arial" w:hAnsi="Arial" w:cs="Arial"/>
        </w:rPr>
        <w:t xml:space="preserve"> od doručení příkazu správnímu orgánu, který příkaz vydal. Pokud je odpor podán včas, příkaz se ruší a správní </w:t>
      </w:r>
      <w:r>
        <w:rPr>
          <w:rFonts w:ascii="Arial" w:hAnsi="Arial" w:cs="Arial"/>
        </w:rPr>
        <w:lastRenderedPageBreak/>
        <w:t>orgán pokračuje v řízení obvyklým způsobem, přičemž ale v tomto řízení již nelze uložit vyšší výměru či jiný druh sankce, s výjimkou napomenutí, než byly uvedeny v příkaze. Pokud odpor podán nebyl, má příkaz účinky pravomocného rozhodnutí.</w:t>
      </w:r>
    </w:p>
    <w:p w:rsidR="00A22AFB" w:rsidRDefault="00A22AFB" w:rsidP="00A22AFB">
      <w:pPr>
        <w:spacing w:before="60" w:after="60" w:line="300" w:lineRule="auto"/>
        <w:ind w:firstLine="0"/>
        <w:jc w:val="both"/>
        <w:rPr>
          <w:rFonts w:ascii="Arial" w:hAnsi="Arial" w:cs="Arial"/>
        </w:rPr>
      </w:pPr>
    </w:p>
    <w:p w:rsidR="00A22AFB" w:rsidRDefault="00A22AFB" w:rsidP="00A22AFB">
      <w:pPr>
        <w:spacing w:before="60" w:after="60" w:line="300" w:lineRule="auto"/>
        <w:ind w:firstLine="0"/>
        <w:jc w:val="center"/>
        <w:rPr>
          <w:rFonts w:ascii="Arial" w:hAnsi="Arial" w:cs="Arial"/>
          <w:b/>
          <w:sz w:val="28"/>
          <w:u w:val="single"/>
        </w:rPr>
      </w:pPr>
      <w:r>
        <w:rPr>
          <w:rFonts w:ascii="Arial" w:hAnsi="Arial" w:cs="Arial"/>
          <w:b/>
          <w:sz w:val="28"/>
          <w:u w:val="single"/>
        </w:rPr>
        <w:t>STUDIJNÍ PRAMENY</w:t>
      </w:r>
    </w:p>
    <w:p w:rsidR="00A22AFB" w:rsidRDefault="00A22AFB" w:rsidP="00A22AFB">
      <w:pPr>
        <w:spacing w:before="60" w:after="60" w:line="300" w:lineRule="auto"/>
        <w:ind w:firstLine="0"/>
        <w:jc w:val="both"/>
        <w:rPr>
          <w:rFonts w:ascii="Arial" w:hAnsi="Arial" w:cs="Arial"/>
          <w:b/>
        </w:rPr>
      </w:pPr>
    </w:p>
    <w:p w:rsidR="00A22AFB" w:rsidRDefault="00A22AFB" w:rsidP="00A22AFB">
      <w:pPr>
        <w:spacing w:before="60" w:after="60" w:line="300" w:lineRule="auto"/>
        <w:ind w:firstLine="0"/>
        <w:jc w:val="both"/>
        <w:rPr>
          <w:rFonts w:ascii="Arial" w:hAnsi="Arial" w:cs="Arial"/>
        </w:rPr>
      </w:pPr>
      <w:r>
        <w:rPr>
          <w:rFonts w:ascii="Arial" w:hAnsi="Arial" w:cs="Arial"/>
        </w:rPr>
        <w:tab/>
        <w:t>Skulová, S. a kol.</w:t>
      </w:r>
      <w:r w:rsidR="00DB59A7">
        <w:rPr>
          <w:rFonts w:ascii="Arial" w:hAnsi="Arial" w:cs="Arial"/>
        </w:rPr>
        <w:t>:</w:t>
      </w:r>
      <w:r>
        <w:rPr>
          <w:rFonts w:ascii="Arial" w:hAnsi="Arial" w:cs="Arial"/>
        </w:rPr>
        <w:t xml:space="preserve"> </w:t>
      </w:r>
      <w:r>
        <w:rPr>
          <w:rFonts w:ascii="Arial" w:hAnsi="Arial" w:cs="Arial"/>
          <w:i/>
          <w:iCs/>
        </w:rPr>
        <w:t>Správní právo procesní</w:t>
      </w:r>
      <w:r>
        <w:rPr>
          <w:rFonts w:ascii="Arial" w:hAnsi="Arial" w:cs="Arial"/>
        </w:rPr>
        <w:t>. Plzeň : Vydavatelství a nakladatelství Aleš Čeněk, 2008. 428 s.</w:t>
      </w:r>
    </w:p>
    <w:p w:rsidR="00A22AFB" w:rsidRDefault="00A22AFB" w:rsidP="00A22AFB">
      <w:pPr>
        <w:spacing w:before="60" w:after="60" w:line="300" w:lineRule="auto"/>
        <w:ind w:firstLine="0"/>
        <w:jc w:val="both"/>
        <w:rPr>
          <w:rFonts w:ascii="Arial" w:hAnsi="Arial" w:cs="Arial"/>
        </w:rPr>
      </w:pPr>
      <w:r>
        <w:rPr>
          <w:rFonts w:ascii="Arial" w:hAnsi="Arial" w:cs="Arial"/>
        </w:rPr>
        <w:tab/>
        <w:t xml:space="preserve">Mates, P.: </w:t>
      </w:r>
      <w:r w:rsidRPr="006D77C4">
        <w:rPr>
          <w:rFonts w:ascii="Arial" w:hAnsi="Arial" w:cs="Arial"/>
          <w:i/>
        </w:rPr>
        <w:t>Základy správního práva trestního</w:t>
      </w:r>
      <w:r>
        <w:rPr>
          <w:rFonts w:ascii="Arial" w:hAnsi="Arial" w:cs="Arial"/>
        </w:rPr>
        <w:t xml:space="preserve">, 4. vydání. Praha: </w:t>
      </w:r>
      <w:proofErr w:type="spellStart"/>
      <w:r>
        <w:rPr>
          <w:rFonts w:ascii="Arial" w:hAnsi="Arial" w:cs="Arial"/>
        </w:rPr>
        <w:t>C.H.Beck</w:t>
      </w:r>
      <w:proofErr w:type="spellEnd"/>
      <w:r>
        <w:rPr>
          <w:rFonts w:ascii="Arial" w:hAnsi="Arial" w:cs="Arial"/>
        </w:rPr>
        <w:t xml:space="preserve">, 2008.   </w:t>
      </w:r>
    </w:p>
    <w:p w:rsidR="00A22AFB" w:rsidRDefault="00A22AFB" w:rsidP="00A22AFB">
      <w:pPr>
        <w:spacing w:before="60" w:after="60" w:line="300" w:lineRule="auto"/>
        <w:ind w:firstLine="0"/>
        <w:jc w:val="both"/>
        <w:rPr>
          <w:rFonts w:ascii="Arial" w:hAnsi="Arial" w:cs="Arial"/>
        </w:rPr>
      </w:pPr>
      <w:r>
        <w:rPr>
          <w:rFonts w:ascii="Arial" w:hAnsi="Arial" w:cs="Arial"/>
        </w:rPr>
        <w:tab/>
      </w:r>
      <w:proofErr w:type="spellStart"/>
      <w:r>
        <w:rPr>
          <w:rFonts w:ascii="Arial" w:hAnsi="Arial" w:cs="Arial"/>
        </w:rPr>
        <w:t>Horzinková</w:t>
      </w:r>
      <w:proofErr w:type="spellEnd"/>
      <w:r>
        <w:rPr>
          <w:rFonts w:ascii="Arial" w:hAnsi="Arial" w:cs="Arial"/>
        </w:rPr>
        <w:t>, E.; Čechmánek, B.</w:t>
      </w:r>
      <w:r w:rsidR="00DB59A7">
        <w:rPr>
          <w:rFonts w:ascii="Arial" w:hAnsi="Arial" w:cs="Arial"/>
        </w:rPr>
        <w:t>:</w:t>
      </w:r>
      <w:r>
        <w:rPr>
          <w:rFonts w:ascii="Arial" w:hAnsi="Arial" w:cs="Arial"/>
        </w:rPr>
        <w:t xml:space="preserve"> </w:t>
      </w:r>
      <w:r>
        <w:rPr>
          <w:rFonts w:ascii="Arial" w:hAnsi="Arial" w:cs="Arial"/>
          <w:i/>
          <w:iCs/>
        </w:rPr>
        <w:t>Přestupky a správní trestání</w:t>
      </w:r>
      <w:r>
        <w:rPr>
          <w:rFonts w:ascii="Arial" w:hAnsi="Arial" w:cs="Arial"/>
        </w:rPr>
        <w:t xml:space="preserve">. 4. dopl. vyd. Praha : </w:t>
      </w:r>
      <w:proofErr w:type="spellStart"/>
      <w:r>
        <w:rPr>
          <w:rFonts w:ascii="Arial" w:hAnsi="Arial" w:cs="Arial"/>
        </w:rPr>
        <w:t>Eurounion</w:t>
      </w:r>
      <w:proofErr w:type="spellEnd"/>
      <w:r>
        <w:rPr>
          <w:rFonts w:ascii="Arial" w:hAnsi="Arial" w:cs="Arial"/>
        </w:rPr>
        <w:t>, 2008. 310 s.</w:t>
      </w:r>
    </w:p>
    <w:p w:rsidR="00A22AFB" w:rsidRDefault="00A22AFB" w:rsidP="00A22AFB">
      <w:pPr>
        <w:spacing w:before="60" w:after="60" w:line="300" w:lineRule="auto"/>
        <w:ind w:firstLine="0"/>
        <w:jc w:val="both"/>
        <w:rPr>
          <w:rFonts w:ascii="Arial" w:hAnsi="Arial" w:cs="Arial"/>
        </w:rPr>
      </w:pPr>
      <w:r>
        <w:rPr>
          <w:rFonts w:ascii="Arial" w:hAnsi="Arial" w:cs="Arial"/>
        </w:rPr>
        <w:tab/>
        <w:t>Černý, J. a kol.</w:t>
      </w:r>
      <w:r w:rsidR="00DB59A7">
        <w:rPr>
          <w:rFonts w:ascii="Arial" w:hAnsi="Arial" w:cs="Arial"/>
        </w:rPr>
        <w:t>:</w:t>
      </w:r>
      <w:r>
        <w:rPr>
          <w:rFonts w:ascii="Arial" w:hAnsi="Arial" w:cs="Arial"/>
        </w:rPr>
        <w:t xml:space="preserve"> </w:t>
      </w:r>
      <w:r>
        <w:rPr>
          <w:rFonts w:ascii="Arial" w:hAnsi="Arial" w:cs="Arial"/>
          <w:i/>
        </w:rPr>
        <w:t>Přestupkové řízení : příručka pro praxi přestupkových orgánů obcí, krajských úřadů a dalších správních orgánů : podle stavu k 1. 7. 2009</w:t>
      </w:r>
      <w:r>
        <w:rPr>
          <w:rFonts w:ascii="Arial" w:hAnsi="Arial" w:cs="Arial"/>
        </w:rPr>
        <w:t>. 11. vyd. Praha: Linde, 2009. 742 s.</w:t>
      </w:r>
    </w:p>
    <w:p w:rsidR="00A22AFB" w:rsidRDefault="00A22AFB" w:rsidP="00A22AFB">
      <w:pPr>
        <w:spacing w:before="60" w:after="60" w:line="300" w:lineRule="auto"/>
        <w:ind w:firstLine="0"/>
        <w:jc w:val="both"/>
        <w:rPr>
          <w:rFonts w:ascii="Arial" w:hAnsi="Arial" w:cs="Arial"/>
        </w:rPr>
      </w:pPr>
    </w:p>
    <w:p w:rsidR="00A22AFB" w:rsidRDefault="00A22AFB" w:rsidP="00A22AFB">
      <w:pPr>
        <w:spacing w:before="60" w:after="60" w:line="300" w:lineRule="auto"/>
        <w:ind w:firstLine="0"/>
        <w:jc w:val="center"/>
        <w:rPr>
          <w:rFonts w:ascii="Arial" w:hAnsi="Arial" w:cs="Arial"/>
          <w:b/>
          <w:sz w:val="28"/>
          <w:u w:val="single"/>
        </w:rPr>
      </w:pPr>
      <w:r>
        <w:rPr>
          <w:rFonts w:ascii="Arial" w:hAnsi="Arial" w:cs="Arial"/>
          <w:b/>
          <w:sz w:val="28"/>
          <w:u w:val="single"/>
        </w:rPr>
        <w:t>PRÁVNÍ PŘEDPISY</w:t>
      </w:r>
    </w:p>
    <w:p w:rsidR="00A22AFB" w:rsidRDefault="00A22AFB" w:rsidP="00A22AFB">
      <w:pPr>
        <w:spacing w:before="60" w:after="60" w:line="300" w:lineRule="auto"/>
        <w:ind w:firstLine="0"/>
        <w:jc w:val="both"/>
        <w:rPr>
          <w:rFonts w:ascii="Arial" w:hAnsi="Arial" w:cs="Arial"/>
        </w:rPr>
      </w:pPr>
    </w:p>
    <w:p w:rsidR="00A22AFB" w:rsidRDefault="00A22AFB" w:rsidP="00A22AFB">
      <w:pPr>
        <w:spacing w:before="60" w:after="60" w:line="300" w:lineRule="auto"/>
        <w:ind w:firstLine="0"/>
        <w:jc w:val="both"/>
        <w:rPr>
          <w:rFonts w:ascii="Arial" w:hAnsi="Arial" w:cs="Arial"/>
        </w:rPr>
      </w:pPr>
      <w:r>
        <w:rPr>
          <w:rFonts w:ascii="Arial" w:hAnsi="Arial" w:cs="Arial"/>
        </w:rPr>
        <w:tab/>
        <w:t>Zákon č. 200/1990 Sb., o přestupcích, ve znění pozdějších předpisů.</w:t>
      </w:r>
    </w:p>
    <w:p w:rsidR="00A22AFB" w:rsidRDefault="00A22AFB" w:rsidP="00A22AFB">
      <w:pPr>
        <w:spacing w:before="60" w:after="60" w:line="300" w:lineRule="auto"/>
        <w:ind w:firstLine="0"/>
        <w:jc w:val="both"/>
        <w:rPr>
          <w:rFonts w:ascii="Arial" w:hAnsi="Arial" w:cs="Arial"/>
        </w:rPr>
      </w:pPr>
      <w:r>
        <w:rPr>
          <w:rFonts w:ascii="Arial" w:hAnsi="Arial" w:cs="Arial"/>
        </w:rPr>
        <w:tab/>
        <w:t>Zákon č. 553/1991 Sb., o obecní policii, ve znění pozdějších předpisů.</w:t>
      </w:r>
    </w:p>
    <w:p w:rsidR="00A22AFB" w:rsidRDefault="00A22AFB" w:rsidP="00A22AFB">
      <w:pPr>
        <w:spacing w:before="60" w:after="60" w:line="300" w:lineRule="auto"/>
        <w:ind w:firstLine="0"/>
        <w:jc w:val="both"/>
        <w:rPr>
          <w:rFonts w:ascii="Arial" w:hAnsi="Arial" w:cs="Arial"/>
        </w:rPr>
      </w:pPr>
      <w:r>
        <w:rPr>
          <w:rFonts w:ascii="Arial" w:hAnsi="Arial" w:cs="Arial"/>
        </w:rPr>
        <w:tab/>
        <w:t>Vyhláška Ministerstva vnitra č. 231/1996 Sb., kterou se stanoví paušální částka nákladů řízení o přestupcích, ve znění pozdějších předpisů.</w:t>
      </w:r>
    </w:p>
    <w:p w:rsidR="00A22AFB" w:rsidRDefault="00A22AFB" w:rsidP="00A22AFB">
      <w:pPr>
        <w:spacing w:before="60" w:after="60" w:line="300" w:lineRule="auto"/>
        <w:ind w:firstLine="0"/>
        <w:jc w:val="both"/>
        <w:rPr>
          <w:rFonts w:ascii="Arial" w:hAnsi="Arial" w:cs="Arial"/>
        </w:rPr>
      </w:pPr>
      <w:r>
        <w:rPr>
          <w:rFonts w:ascii="Arial" w:hAnsi="Arial" w:cs="Arial"/>
        </w:rPr>
        <w:tab/>
        <w:t>Zákon č. 128/2000 Sb., o obcích (obecní zřízení), ve znění pozdějších předpisů.</w:t>
      </w:r>
    </w:p>
    <w:p w:rsidR="00A22AFB" w:rsidRDefault="00A22AFB" w:rsidP="00A22AFB">
      <w:pPr>
        <w:spacing w:before="60" w:after="60" w:line="300" w:lineRule="auto"/>
        <w:ind w:firstLine="0"/>
        <w:jc w:val="both"/>
        <w:rPr>
          <w:rFonts w:ascii="Arial" w:hAnsi="Arial" w:cs="Arial"/>
        </w:rPr>
      </w:pPr>
      <w:r>
        <w:rPr>
          <w:rFonts w:ascii="Arial" w:hAnsi="Arial" w:cs="Arial"/>
        </w:rPr>
        <w:tab/>
        <w:t>Zákon č. 500/2004 Sb., správní řád, ve znění pozdějších předpisů.</w:t>
      </w:r>
    </w:p>
    <w:p w:rsidR="00A22AFB" w:rsidRDefault="00A22AFB" w:rsidP="00A22AFB">
      <w:pPr>
        <w:spacing w:before="60" w:after="60" w:line="300" w:lineRule="auto"/>
        <w:ind w:firstLine="0"/>
        <w:jc w:val="both"/>
        <w:rPr>
          <w:rFonts w:ascii="Arial" w:hAnsi="Arial" w:cs="Arial"/>
        </w:rPr>
      </w:pPr>
      <w:r>
        <w:rPr>
          <w:rFonts w:ascii="Arial" w:hAnsi="Arial" w:cs="Arial"/>
        </w:rPr>
        <w:tab/>
        <w:t>Zákon č. 273/2008 Sb., o Policii České republiky, ve znění pozdějších předpisů.</w:t>
      </w:r>
    </w:p>
    <w:p w:rsidR="00A22AFB" w:rsidRDefault="00A22AFB" w:rsidP="00A22AFB">
      <w:pPr>
        <w:spacing w:before="60" w:after="60" w:line="300" w:lineRule="auto"/>
        <w:ind w:firstLine="0"/>
        <w:jc w:val="both"/>
        <w:rPr>
          <w:rFonts w:ascii="Arial" w:hAnsi="Arial" w:cs="Arial"/>
        </w:rPr>
      </w:pPr>
    </w:p>
    <w:p w:rsidR="00A22AFB" w:rsidRDefault="00A22AFB" w:rsidP="00A22AFB">
      <w:pPr>
        <w:spacing w:before="60" w:after="60" w:line="300" w:lineRule="auto"/>
        <w:ind w:firstLine="0"/>
        <w:jc w:val="right"/>
        <w:rPr>
          <w:rFonts w:ascii="Arial" w:hAnsi="Arial" w:cs="Arial"/>
          <w:i/>
        </w:rPr>
      </w:pPr>
    </w:p>
    <w:p w:rsidR="009F7835" w:rsidRDefault="009F7835"/>
    <w:sectPr w:rsidR="009F7835">
      <w:headerReference w:type="default" r:id="rId8"/>
      <w:footerReference w:type="default" r:id="rId9"/>
      <w:headerReference w:type="first" r:id="rId10"/>
      <w:footerReference w:type="first" r:id="rId11"/>
      <w:pgSz w:w="11906" w:h="16838" w:code="9"/>
      <w:pgMar w:top="1304" w:right="1134" w:bottom="1531" w:left="1134" w:header="28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D4B" w:rsidRDefault="002B3D4B" w:rsidP="00A22AFB">
      <w:pPr>
        <w:spacing w:before="0"/>
      </w:pPr>
      <w:r>
        <w:separator/>
      </w:r>
    </w:p>
  </w:endnote>
  <w:endnote w:type="continuationSeparator" w:id="0">
    <w:p w:rsidR="002B3D4B" w:rsidRDefault="002B3D4B" w:rsidP="00A22A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81" w:rsidRDefault="00A22AFB">
    <w:pPr>
      <w:pStyle w:val="Zpat"/>
    </w:pPr>
    <w:r>
      <w:rPr>
        <w:noProof/>
      </w:rPr>
      <w:drawing>
        <wp:anchor distT="0" distB="0" distL="114300" distR="114300" simplePos="0" relativeHeight="251660288" behindDoc="1" locked="1" layoutInCell="1" allowOverlap="1">
          <wp:simplePos x="0" y="0"/>
          <wp:positionH relativeFrom="page">
            <wp:align>left</wp:align>
          </wp:positionH>
          <wp:positionV relativeFrom="paragraph">
            <wp:posOffset>-467995</wp:posOffset>
          </wp:positionV>
          <wp:extent cx="7553325" cy="828675"/>
          <wp:effectExtent l="0" t="0" r="9525" b="9525"/>
          <wp:wrapNone/>
          <wp:docPr id="3" name="Obrázek 3" descr="PF_hlapa_DOT_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_hlapa_DOT_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0C4">
      <w:t xml:space="preserve">str. </w:t>
    </w:r>
    <w:r w:rsidR="009E00C4">
      <w:rPr>
        <w:rStyle w:val="slostrnky"/>
      </w:rPr>
      <w:fldChar w:fldCharType="begin"/>
    </w:r>
    <w:r w:rsidR="009E00C4">
      <w:rPr>
        <w:rStyle w:val="slostrnky"/>
      </w:rPr>
      <w:instrText xml:space="preserve"> PAGE </w:instrText>
    </w:r>
    <w:r w:rsidR="009E00C4">
      <w:rPr>
        <w:rStyle w:val="slostrnky"/>
      </w:rPr>
      <w:fldChar w:fldCharType="separate"/>
    </w:r>
    <w:r w:rsidR="00DB59A7">
      <w:rPr>
        <w:rStyle w:val="slostrnky"/>
        <w:noProof/>
      </w:rPr>
      <w:t>2</w:t>
    </w:r>
    <w:r w:rsidR="009E00C4">
      <w:rPr>
        <w:rStyle w:val="slostrnky"/>
      </w:rPr>
      <w:fldChar w:fldCharType="end"/>
    </w:r>
    <w:r w:rsidR="009E00C4">
      <w:rPr>
        <w:rStyle w:val="slostrnky"/>
      </w:rPr>
      <w:t>/</w:t>
    </w:r>
    <w:r w:rsidR="009E00C4">
      <w:rPr>
        <w:rStyle w:val="slostrnky"/>
      </w:rPr>
      <w:fldChar w:fldCharType="begin"/>
    </w:r>
    <w:r w:rsidR="009E00C4">
      <w:rPr>
        <w:rStyle w:val="slostrnky"/>
      </w:rPr>
      <w:instrText xml:space="preserve"> NUMPAGES </w:instrText>
    </w:r>
    <w:r w:rsidR="009E00C4">
      <w:rPr>
        <w:rStyle w:val="slostrnky"/>
      </w:rPr>
      <w:fldChar w:fldCharType="separate"/>
    </w:r>
    <w:r w:rsidR="00DB59A7">
      <w:rPr>
        <w:rStyle w:val="slostrnky"/>
        <w:noProof/>
      </w:rPr>
      <w:t>5</w:t>
    </w:r>
    <w:r w:rsidR="009E00C4">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81" w:rsidRDefault="00A22AFB">
    <w:pPr>
      <w:pStyle w:val="Zpat"/>
    </w:pPr>
    <w:r>
      <w:rPr>
        <w:noProof/>
      </w:rPr>
      <w:drawing>
        <wp:anchor distT="0" distB="0" distL="114300" distR="114300" simplePos="0" relativeHeight="251661312" behindDoc="1" locked="0" layoutInCell="1" allowOverlap="1">
          <wp:simplePos x="0" y="0"/>
          <wp:positionH relativeFrom="page">
            <wp:align>left</wp:align>
          </wp:positionH>
          <wp:positionV relativeFrom="paragraph">
            <wp:posOffset>-467995</wp:posOffset>
          </wp:positionV>
          <wp:extent cx="7562850" cy="828675"/>
          <wp:effectExtent l="0" t="0" r="0" b="9525"/>
          <wp:wrapNone/>
          <wp:docPr id="1" name="Obrázek 1" descr="PF_hlapa_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F_hlapa_D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0C4">
      <w:t xml:space="preserve">str. </w:t>
    </w:r>
    <w:r w:rsidR="009E00C4">
      <w:rPr>
        <w:rStyle w:val="slostrnky"/>
      </w:rPr>
      <w:fldChar w:fldCharType="begin"/>
    </w:r>
    <w:r w:rsidR="009E00C4">
      <w:rPr>
        <w:rStyle w:val="slostrnky"/>
      </w:rPr>
      <w:instrText xml:space="preserve"> PAGE </w:instrText>
    </w:r>
    <w:r w:rsidR="009E00C4">
      <w:rPr>
        <w:rStyle w:val="slostrnky"/>
      </w:rPr>
      <w:fldChar w:fldCharType="separate"/>
    </w:r>
    <w:r w:rsidR="00DB59A7">
      <w:rPr>
        <w:rStyle w:val="slostrnky"/>
        <w:noProof/>
      </w:rPr>
      <w:t>1</w:t>
    </w:r>
    <w:r w:rsidR="009E00C4">
      <w:rPr>
        <w:rStyle w:val="slostrnky"/>
      </w:rPr>
      <w:fldChar w:fldCharType="end"/>
    </w:r>
    <w:r w:rsidR="009E00C4">
      <w:rPr>
        <w:rStyle w:val="slostrnky"/>
      </w:rPr>
      <w:t>/</w:t>
    </w:r>
    <w:r w:rsidR="009E00C4">
      <w:rPr>
        <w:rStyle w:val="slostrnky"/>
      </w:rPr>
      <w:fldChar w:fldCharType="begin"/>
    </w:r>
    <w:r w:rsidR="009E00C4">
      <w:rPr>
        <w:rStyle w:val="slostrnky"/>
      </w:rPr>
      <w:instrText xml:space="preserve"> NUMPAGES </w:instrText>
    </w:r>
    <w:r w:rsidR="009E00C4">
      <w:rPr>
        <w:rStyle w:val="slostrnky"/>
      </w:rPr>
      <w:fldChar w:fldCharType="separate"/>
    </w:r>
    <w:r w:rsidR="00DB59A7">
      <w:rPr>
        <w:rStyle w:val="slostrnky"/>
        <w:noProof/>
      </w:rPr>
      <w:t>5</w:t>
    </w:r>
    <w:r w:rsidR="009E00C4">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D4B" w:rsidRDefault="002B3D4B" w:rsidP="00A22AFB">
      <w:pPr>
        <w:spacing w:before="0"/>
      </w:pPr>
      <w:r>
        <w:separator/>
      </w:r>
    </w:p>
  </w:footnote>
  <w:footnote w:type="continuationSeparator" w:id="0">
    <w:p w:rsidR="002B3D4B" w:rsidRDefault="002B3D4B" w:rsidP="00A22AFB">
      <w:pPr>
        <w:spacing w:before="0"/>
      </w:pPr>
      <w:r>
        <w:continuationSeparator/>
      </w:r>
    </w:p>
  </w:footnote>
  <w:footnote w:id="1">
    <w:p w:rsidR="00A22AFB" w:rsidRDefault="00A22AFB" w:rsidP="00A22AFB">
      <w:pPr>
        <w:pStyle w:val="Textpoznpodarou"/>
      </w:pPr>
      <w:r>
        <w:rPr>
          <w:rStyle w:val="Znakapoznpodarou"/>
        </w:rPr>
        <w:footnoteRef/>
      </w:r>
      <w:r>
        <w:t xml:space="preserve"> Dále jen „zákon o přestupcích“.</w:t>
      </w:r>
    </w:p>
  </w:footnote>
  <w:footnote w:id="2">
    <w:p w:rsidR="00A22AFB" w:rsidRDefault="00A22AFB" w:rsidP="00A22AFB">
      <w:pPr>
        <w:pStyle w:val="Textpoznpodarou"/>
      </w:pPr>
      <w:r>
        <w:rPr>
          <w:rStyle w:val="Znakapoznpodarou"/>
        </w:rPr>
        <w:footnoteRef/>
      </w:r>
      <w:r>
        <w:t xml:space="preserve"> Zákon č. 500/2004</w:t>
      </w:r>
      <w:r w:rsidR="00DB59A7">
        <w:t xml:space="preserve"> </w:t>
      </w:r>
      <w:r>
        <w:t>Sb., správní řád, ve znění pozdějších předpisů.</w:t>
      </w:r>
    </w:p>
  </w:footnote>
  <w:footnote w:id="3">
    <w:p w:rsidR="00A22AFB" w:rsidRDefault="00A22AFB" w:rsidP="00A22AFB">
      <w:pPr>
        <w:pStyle w:val="Textpoznpodarou"/>
      </w:pPr>
      <w:r>
        <w:rPr>
          <w:rStyle w:val="Znakapoznpodarou"/>
        </w:rPr>
        <w:footnoteRef/>
      </w:r>
      <w:r>
        <w:t xml:space="preserve"> Viz §§ 52 a 53 zákona o přestupcích.</w:t>
      </w:r>
    </w:p>
  </w:footnote>
  <w:footnote w:id="4">
    <w:p w:rsidR="00A22AFB" w:rsidRDefault="00A22AFB" w:rsidP="00A22AFB">
      <w:pPr>
        <w:pStyle w:val="Textpoznpodarou"/>
      </w:pPr>
      <w:r>
        <w:rPr>
          <w:rStyle w:val="Znakapoznpodarou"/>
        </w:rPr>
        <w:footnoteRef/>
      </w:r>
      <w:r>
        <w:t xml:space="preserve"> Kvůli usnadnění projednání nebo jiného důležitého důvodu. </w:t>
      </w:r>
      <w:proofErr w:type="gramStart"/>
      <w:r>
        <w:t>viz</w:t>
      </w:r>
      <w:proofErr w:type="gramEnd"/>
      <w:r>
        <w:t xml:space="preserve"> § 55 odst. 3) zákona o přestupcích.</w:t>
      </w:r>
    </w:p>
  </w:footnote>
  <w:footnote w:id="5">
    <w:p w:rsidR="00A22AFB" w:rsidRDefault="00A22AFB" w:rsidP="00A22AFB">
      <w:pPr>
        <w:pStyle w:val="Textpoznpodarou"/>
      </w:pPr>
      <w:r>
        <w:rPr>
          <w:rStyle w:val="Znakapoznpodarou"/>
        </w:rPr>
        <w:footnoteRef/>
      </w:r>
      <w:r>
        <w:t xml:space="preserve"> Komise jednají a rozhodují v tříčlenném složení, za předsednictví osoby s právnickým vzděláním či se zvláštní odbornou způsobilostí. </w:t>
      </w:r>
      <w:proofErr w:type="gramStart"/>
      <w:r>
        <w:t>viz</w:t>
      </w:r>
      <w:proofErr w:type="gramEnd"/>
      <w:r>
        <w:t xml:space="preserve"> § 53 odst. 3) zákona o přestupcích.</w:t>
      </w:r>
    </w:p>
  </w:footnote>
  <w:footnote w:id="6">
    <w:p w:rsidR="00A22AFB" w:rsidRDefault="00A22AFB" w:rsidP="00A22AFB">
      <w:pPr>
        <w:pStyle w:val="Textpoznpodarou"/>
      </w:pPr>
      <w:r>
        <w:rPr>
          <w:rStyle w:val="Znakapoznpodarou"/>
        </w:rPr>
        <w:footnoteRef/>
      </w:r>
      <w:r>
        <w:t xml:space="preserve"> § 68 zákona o přestupcích.</w:t>
      </w:r>
    </w:p>
  </w:footnote>
  <w:footnote w:id="7">
    <w:p w:rsidR="00A22AFB" w:rsidRDefault="00A22AFB" w:rsidP="00A22AFB">
      <w:pPr>
        <w:pStyle w:val="Textpoznpodarou"/>
      </w:pPr>
      <w:r>
        <w:rPr>
          <w:rStyle w:val="Znakapoznpodarou"/>
        </w:rPr>
        <w:footnoteRef/>
      </w:r>
      <w:r>
        <w:t xml:space="preserve"> K odložení věci (usnesením) může orgán přistoupit v případě, že osoba podezřelá ze spáchání přestupku požívá výsad a imunit podle zákona či mezinárodního práva, nebo v době </w:t>
      </w:r>
      <w:proofErr w:type="spellStart"/>
      <w:r>
        <w:t>spáchní</w:t>
      </w:r>
      <w:proofErr w:type="spellEnd"/>
      <w:r>
        <w:t xml:space="preserve"> přestupku nedovršila patnáctý rok věku, případně trpěla duševní poruchou, či zemřela před zahájením řízení. Dále správní orgán věc odloží pro bezvýznamnost sankce vedle trestu, který byl nebo bude uložen za jiný čin v trestním řízení (§ 66 zákona o přestupcích).</w:t>
      </w:r>
    </w:p>
  </w:footnote>
  <w:footnote w:id="8">
    <w:p w:rsidR="00A22AFB" w:rsidRDefault="00A22AFB" w:rsidP="00A22AFB">
      <w:pPr>
        <w:pStyle w:val="Textpoznpodarou"/>
      </w:pPr>
      <w:r>
        <w:rPr>
          <w:rStyle w:val="Znakapoznpodarou"/>
        </w:rPr>
        <w:footnoteRef/>
      </w:r>
      <w:r>
        <w:t xml:space="preserve"> Postoupení lze uvažovat v případě, že jednání se projednává podle zvláštních předpisů, či jde o jiný správní delikt, nebo okolnosti nasvědčují, že jde o trestný čin.</w:t>
      </w:r>
    </w:p>
  </w:footnote>
  <w:footnote w:id="9">
    <w:p w:rsidR="00A22AFB" w:rsidRDefault="00A22AFB" w:rsidP="00A22AFB">
      <w:pPr>
        <w:pStyle w:val="Textpoznpodarou"/>
      </w:pPr>
      <w:r>
        <w:rPr>
          <w:rStyle w:val="Znakapoznpodarou"/>
        </w:rPr>
        <w:footnoteRef/>
      </w:r>
      <w:r>
        <w:t xml:space="preserve"> § 68 odst. 2 zákona o přestupcích.</w:t>
      </w:r>
    </w:p>
  </w:footnote>
  <w:footnote w:id="10">
    <w:p w:rsidR="00A22AFB" w:rsidRDefault="00A22AFB" w:rsidP="00A22AFB">
      <w:pPr>
        <w:pStyle w:val="Textpoznpodarou"/>
      </w:pPr>
      <w:r>
        <w:rPr>
          <w:rStyle w:val="Znakapoznpodarou"/>
        </w:rPr>
        <w:footnoteRef/>
      </w:r>
      <w:r>
        <w:t xml:space="preserve"> „Obviněným“ se občan stává okamžikem, kdy je vůči němu ze strany správního orgánu učiněn první úkon. Platí zde presumpce </w:t>
      </w:r>
      <w:proofErr w:type="spellStart"/>
      <w:r>
        <w:t>nevíny</w:t>
      </w:r>
      <w:proofErr w:type="spellEnd"/>
      <w:r>
        <w:t xml:space="preserve"> a do pravomocného rozhodnutí o jeho vině se na něj hledí, jako by byl nevinen.</w:t>
      </w:r>
    </w:p>
  </w:footnote>
  <w:footnote w:id="11">
    <w:p w:rsidR="00A22AFB" w:rsidRDefault="00A22AFB" w:rsidP="00A22AFB">
      <w:pPr>
        <w:pStyle w:val="Textpoznpodarou"/>
      </w:pPr>
      <w:r>
        <w:rPr>
          <w:rStyle w:val="Znakapoznpodarou"/>
        </w:rPr>
        <w:footnoteRef/>
      </w:r>
      <w:r>
        <w:t xml:space="preserve"> V té části, v níž se projednává náhrada škody.</w:t>
      </w:r>
    </w:p>
  </w:footnote>
  <w:footnote w:id="12">
    <w:p w:rsidR="00A22AFB" w:rsidRDefault="00A22AFB" w:rsidP="00A22AFB">
      <w:pPr>
        <w:pStyle w:val="Textpoznpodarou"/>
      </w:pPr>
      <w:r>
        <w:rPr>
          <w:rStyle w:val="Znakapoznpodarou"/>
        </w:rPr>
        <w:footnoteRef/>
      </w:r>
      <w:r>
        <w:t xml:space="preserve"> V části, týkající se zabrání věci.</w:t>
      </w:r>
    </w:p>
  </w:footnote>
  <w:footnote w:id="13">
    <w:p w:rsidR="00A22AFB" w:rsidRDefault="00A22AFB" w:rsidP="00A22AFB">
      <w:pPr>
        <w:pStyle w:val="Textpoznpodarou"/>
      </w:pPr>
      <w:r>
        <w:rPr>
          <w:rStyle w:val="Znakapoznpodarou"/>
        </w:rPr>
        <w:footnoteRef/>
      </w:r>
      <w:r>
        <w:t xml:space="preserve"> U návrhových přestupků, viz výše.</w:t>
      </w:r>
    </w:p>
  </w:footnote>
  <w:footnote w:id="14">
    <w:p w:rsidR="00A22AFB" w:rsidRDefault="00A22AFB" w:rsidP="00A22AFB">
      <w:pPr>
        <w:pStyle w:val="Textpoznpodarou"/>
      </w:pPr>
      <w:r>
        <w:rPr>
          <w:rStyle w:val="Znakapoznpodarou"/>
        </w:rPr>
        <w:footnoteRef/>
      </w:r>
      <w:r>
        <w:t xml:space="preserve"> Výjimečně lze projednávat v nepřítomnosti obviněného, pokud byl řádně předvolán a k jednání se nedostavil bez řádné omluvy nebo důležitého důvodu, nebo se dostavit odmítl. Viz § 74 odst. 1 zákona o přestupcích.</w:t>
      </w:r>
    </w:p>
  </w:footnote>
  <w:footnote w:id="15">
    <w:p w:rsidR="00A22AFB" w:rsidRDefault="00A22AFB" w:rsidP="00A22AFB">
      <w:pPr>
        <w:pStyle w:val="Textpoznpodarou"/>
      </w:pPr>
      <w:r>
        <w:rPr>
          <w:rStyle w:val="Znakapoznpodarou"/>
        </w:rPr>
        <w:footnoteRef/>
      </w:r>
      <w:r>
        <w:t xml:space="preserve"> §76 zákona o přestupcích. Důvodem je například zánik odpovědnosti za přestupek atp.</w:t>
      </w:r>
    </w:p>
  </w:footnote>
  <w:footnote w:id="16">
    <w:p w:rsidR="00A22AFB" w:rsidRDefault="00A22AFB" w:rsidP="00A22AFB">
      <w:pPr>
        <w:pStyle w:val="Textpoznpodarou"/>
      </w:pPr>
      <w:r>
        <w:rPr>
          <w:rStyle w:val="Znakapoznpodarou"/>
        </w:rPr>
        <w:footnoteRef/>
      </w:r>
      <w:r>
        <w:t xml:space="preserve"> §78 zákona o přestupcích. Ke smíru může dojít při projednávání přestupku urážky na cti, kdy se správní orgán primárně o smír pokusí. Pokud k němu dojde, řízení se zastaví.</w:t>
      </w:r>
    </w:p>
  </w:footnote>
  <w:footnote w:id="17">
    <w:p w:rsidR="00A22AFB" w:rsidRDefault="00A22AFB" w:rsidP="00A22AFB">
      <w:pPr>
        <w:pStyle w:val="Textpoznpodarou"/>
      </w:pPr>
      <w:r>
        <w:rPr>
          <w:rStyle w:val="Znakapoznpodarou"/>
        </w:rPr>
        <w:footnoteRef/>
      </w:r>
      <w:r>
        <w:t xml:space="preserve"> Náhradu nákladů řízení uloží správní orgán občanov</w:t>
      </w:r>
      <w:r w:rsidR="00DB59A7">
        <w:t>i</w:t>
      </w:r>
      <w:r>
        <w:t>, který byl uznán vinným, dále navrhovateli, pokud bylo řízení zahájené na návrh ze zákonem jmenovaných důvodů zastaveno. Náklady řízení se hradí paušálně, ve výši určené prováděcím předpisem – vyhláškou Ministerstva vnitra č. 231/1996 Sb., kterou se stanoví paušální částka nákladů řízení o přestupcích, v aktuálním znění.</w:t>
      </w:r>
    </w:p>
  </w:footnote>
  <w:footnote w:id="18">
    <w:p w:rsidR="00A22AFB" w:rsidRDefault="00A22AFB" w:rsidP="00A22AFB">
      <w:pPr>
        <w:pStyle w:val="Textpoznpodarou"/>
      </w:pPr>
      <w:r>
        <w:rPr>
          <w:rStyle w:val="Znakapoznpodarou"/>
        </w:rPr>
        <w:footnoteRef/>
      </w:r>
      <w:r>
        <w:t xml:space="preserve"> Viz § 77 zákona o přestupcích.</w:t>
      </w:r>
    </w:p>
  </w:footnote>
  <w:footnote w:id="19">
    <w:p w:rsidR="00A22AFB" w:rsidRDefault="00A22AFB" w:rsidP="00A22AFB">
      <w:pPr>
        <w:pStyle w:val="Textpoznpodarou"/>
      </w:pPr>
      <w:r>
        <w:rPr>
          <w:rStyle w:val="Znakapoznpodarou"/>
        </w:rPr>
        <w:footnoteRef/>
      </w:r>
      <w:r>
        <w:t xml:space="preserve"> Viz § 83 zákona o přestupcích.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81" w:rsidRDefault="00A22AFB">
    <w:pPr>
      <w:pStyle w:val="Zhlav"/>
    </w:pPr>
    <w:r>
      <w:rPr>
        <w:noProof/>
      </w:rPr>
      <w:drawing>
        <wp:anchor distT="0" distB="0" distL="114300" distR="114300" simplePos="0" relativeHeight="251659264" behindDoc="1" locked="1" layoutInCell="1" allowOverlap="1">
          <wp:simplePos x="0" y="0"/>
          <wp:positionH relativeFrom="page">
            <wp:align>left</wp:align>
          </wp:positionH>
          <wp:positionV relativeFrom="page">
            <wp:align>top</wp:align>
          </wp:positionV>
          <wp:extent cx="7553325" cy="685800"/>
          <wp:effectExtent l="0" t="0" r="9525" b="0"/>
          <wp:wrapNone/>
          <wp:docPr id="4" name="Obrázek 4" descr="PF_hlapa_DOT_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_hlapa_DOT_2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81" w:rsidRDefault="00A22AFB">
    <w:pPr>
      <w:pStyle w:val="Zhlav"/>
    </w:pPr>
    <w:r>
      <w:rPr>
        <w:noProof/>
      </w:rPr>
      <w:drawing>
        <wp:anchor distT="0" distB="0" distL="114300" distR="114300" simplePos="0" relativeHeight="251662336" behindDoc="1" locked="1" layoutInCell="1" allowOverlap="1">
          <wp:simplePos x="0" y="0"/>
          <wp:positionH relativeFrom="page">
            <wp:align>left</wp:align>
          </wp:positionH>
          <wp:positionV relativeFrom="page">
            <wp:align>top</wp:align>
          </wp:positionV>
          <wp:extent cx="7562850" cy="1981200"/>
          <wp:effectExtent l="0" t="0" r="0" b="0"/>
          <wp:wrapNone/>
          <wp:docPr id="2" name="Obrázek 2" descr="PF_hlapa_DOT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F_hlapa_DOT_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615FA"/>
    <w:multiLevelType w:val="hybridMultilevel"/>
    <w:tmpl w:val="666CCD16"/>
    <w:lvl w:ilvl="0" w:tplc="3F783868">
      <w:start w:val="1"/>
      <w:numFmt w:val="bullet"/>
      <w:lvlText w:val=""/>
      <w:lvlJc w:val="left"/>
      <w:pPr>
        <w:ind w:left="1046" w:hanging="360"/>
      </w:pPr>
      <w:rPr>
        <w:rFonts w:ascii="Symbol" w:hAnsi="Symbol" w:hint="default"/>
      </w:rPr>
    </w:lvl>
    <w:lvl w:ilvl="1" w:tplc="04050003" w:tentative="1">
      <w:start w:val="1"/>
      <w:numFmt w:val="bullet"/>
      <w:lvlText w:val="o"/>
      <w:lvlJc w:val="left"/>
      <w:pPr>
        <w:ind w:left="1766" w:hanging="360"/>
      </w:pPr>
      <w:rPr>
        <w:rFonts w:ascii="Courier New" w:hAnsi="Courier New" w:cs="Courier New" w:hint="default"/>
      </w:rPr>
    </w:lvl>
    <w:lvl w:ilvl="2" w:tplc="04050005" w:tentative="1">
      <w:start w:val="1"/>
      <w:numFmt w:val="bullet"/>
      <w:lvlText w:val=""/>
      <w:lvlJc w:val="left"/>
      <w:pPr>
        <w:ind w:left="2486" w:hanging="360"/>
      </w:pPr>
      <w:rPr>
        <w:rFonts w:ascii="Wingdings" w:hAnsi="Wingdings" w:hint="default"/>
      </w:rPr>
    </w:lvl>
    <w:lvl w:ilvl="3" w:tplc="04050001" w:tentative="1">
      <w:start w:val="1"/>
      <w:numFmt w:val="bullet"/>
      <w:lvlText w:val=""/>
      <w:lvlJc w:val="left"/>
      <w:pPr>
        <w:ind w:left="3206" w:hanging="360"/>
      </w:pPr>
      <w:rPr>
        <w:rFonts w:ascii="Symbol" w:hAnsi="Symbol" w:hint="default"/>
      </w:rPr>
    </w:lvl>
    <w:lvl w:ilvl="4" w:tplc="04050003" w:tentative="1">
      <w:start w:val="1"/>
      <w:numFmt w:val="bullet"/>
      <w:lvlText w:val="o"/>
      <w:lvlJc w:val="left"/>
      <w:pPr>
        <w:ind w:left="3926" w:hanging="360"/>
      </w:pPr>
      <w:rPr>
        <w:rFonts w:ascii="Courier New" w:hAnsi="Courier New" w:cs="Courier New" w:hint="default"/>
      </w:rPr>
    </w:lvl>
    <w:lvl w:ilvl="5" w:tplc="04050005" w:tentative="1">
      <w:start w:val="1"/>
      <w:numFmt w:val="bullet"/>
      <w:lvlText w:val=""/>
      <w:lvlJc w:val="left"/>
      <w:pPr>
        <w:ind w:left="4646" w:hanging="360"/>
      </w:pPr>
      <w:rPr>
        <w:rFonts w:ascii="Wingdings" w:hAnsi="Wingdings" w:hint="default"/>
      </w:rPr>
    </w:lvl>
    <w:lvl w:ilvl="6" w:tplc="04050001" w:tentative="1">
      <w:start w:val="1"/>
      <w:numFmt w:val="bullet"/>
      <w:lvlText w:val=""/>
      <w:lvlJc w:val="left"/>
      <w:pPr>
        <w:ind w:left="5366" w:hanging="360"/>
      </w:pPr>
      <w:rPr>
        <w:rFonts w:ascii="Symbol" w:hAnsi="Symbol" w:hint="default"/>
      </w:rPr>
    </w:lvl>
    <w:lvl w:ilvl="7" w:tplc="04050003" w:tentative="1">
      <w:start w:val="1"/>
      <w:numFmt w:val="bullet"/>
      <w:lvlText w:val="o"/>
      <w:lvlJc w:val="left"/>
      <w:pPr>
        <w:ind w:left="6086" w:hanging="360"/>
      </w:pPr>
      <w:rPr>
        <w:rFonts w:ascii="Courier New" w:hAnsi="Courier New" w:cs="Courier New" w:hint="default"/>
      </w:rPr>
    </w:lvl>
    <w:lvl w:ilvl="8" w:tplc="04050005" w:tentative="1">
      <w:start w:val="1"/>
      <w:numFmt w:val="bullet"/>
      <w:lvlText w:val=""/>
      <w:lvlJc w:val="left"/>
      <w:pPr>
        <w:ind w:left="6806" w:hanging="360"/>
      </w:pPr>
      <w:rPr>
        <w:rFonts w:ascii="Wingdings" w:hAnsi="Wingdings" w:hint="default"/>
      </w:rPr>
    </w:lvl>
  </w:abstractNum>
  <w:abstractNum w:abstractNumId="1">
    <w:nsid w:val="4B890405"/>
    <w:multiLevelType w:val="hybridMultilevel"/>
    <w:tmpl w:val="4F56F85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67980287"/>
    <w:multiLevelType w:val="hybridMultilevel"/>
    <w:tmpl w:val="98A4739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69E12203"/>
    <w:multiLevelType w:val="hybridMultilevel"/>
    <w:tmpl w:val="D566295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CE"/>
    <w:rsid w:val="002108CE"/>
    <w:rsid w:val="002B3D4B"/>
    <w:rsid w:val="00593381"/>
    <w:rsid w:val="009E00C4"/>
    <w:rsid w:val="009F7835"/>
    <w:rsid w:val="00A22AFB"/>
    <w:rsid w:val="00DB59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2AFB"/>
    <w:pPr>
      <w:tabs>
        <w:tab w:val="left" w:pos="340"/>
      </w:tabs>
      <w:spacing w:before="280" w:after="0" w:line="240" w:lineRule="auto"/>
      <w:ind w:firstLine="340"/>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A22AFB"/>
    <w:pPr>
      <w:tabs>
        <w:tab w:val="center" w:pos="4536"/>
        <w:tab w:val="right" w:pos="9072"/>
      </w:tabs>
      <w:spacing w:before="0"/>
      <w:ind w:firstLine="0"/>
    </w:pPr>
  </w:style>
  <w:style w:type="character" w:customStyle="1" w:styleId="ZhlavChar">
    <w:name w:val="Záhlaví Char"/>
    <w:basedOn w:val="Standardnpsmoodstavce"/>
    <w:link w:val="Zhlav"/>
    <w:semiHidden/>
    <w:rsid w:val="00A22AFB"/>
    <w:rPr>
      <w:rFonts w:ascii="Times New Roman" w:eastAsia="Times New Roman" w:hAnsi="Times New Roman" w:cs="Times New Roman"/>
      <w:sz w:val="24"/>
      <w:szCs w:val="24"/>
      <w:lang w:eastAsia="cs-CZ"/>
    </w:rPr>
  </w:style>
  <w:style w:type="paragraph" w:styleId="Zpat">
    <w:name w:val="footer"/>
    <w:basedOn w:val="Normln"/>
    <w:link w:val="ZpatChar"/>
    <w:semiHidden/>
    <w:rsid w:val="00A22AFB"/>
    <w:pPr>
      <w:tabs>
        <w:tab w:val="right" w:pos="9639"/>
      </w:tabs>
      <w:spacing w:before="0"/>
      <w:ind w:firstLine="0"/>
      <w:jc w:val="right"/>
    </w:pPr>
    <w:rPr>
      <w:sz w:val="16"/>
    </w:rPr>
  </w:style>
  <w:style w:type="character" w:customStyle="1" w:styleId="ZpatChar">
    <w:name w:val="Zápatí Char"/>
    <w:basedOn w:val="Standardnpsmoodstavce"/>
    <w:link w:val="Zpat"/>
    <w:semiHidden/>
    <w:rsid w:val="00A22AFB"/>
    <w:rPr>
      <w:rFonts w:ascii="Times New Roman" w:eastAsia="Times New Roman" w:hAnsi="Times New Roman" w:cs="Times New Roman"/>
      <w:sz w:val="16"/>
      <w:szCs w:val="24"/>
      <w:lang w:eastAsia="cs-CZ"/>
    </w:rPr>
  </w:style>
  <w:style w:type="character" w:styleId="slostrnky">
    <w:name w:val="page number"/>
    <w:basedOn w:val="Standardnpsmoodstavce"/>
    <w:semiHidden/>
    <w:rsid w:val="00A22AFB"/>
    <w:rPr>
      <w:b/>
    </w:rPr>
  </w:style>
  <w:style w:type="paragraph" w:styleId="Textpoznpodarou">
    <w:name w:val="footnote text"/>
    <w:basedOn w:val="Normln"/>
    <w:link w:val="TextpoznpodarouChar"/>
    <w:semiHidden/>
    <w:unhideWhenUsed/>
    <w:rsid w:val="00A22AFB"/>
    <w:pPr>
      <w:tabs>
        <w:tab w:val="clear" w:pos="340"/>
      </w:tabs>
      <w:spacing w:before="0"/>
      <w:ind w:firstLine="0"/>
    </w:pPr>
    <w:rPr>
      <w:sz w:val="20"/>
      <w:szCs w:val="20"/>
    </w:rPr>
  </w:style>
  <w:style w:type="character" w:customStyle="1" w:styleId="TextpoznpodarouChar">
    <w:name w:val="Text pozn. pod čarou Char"/>
    <w:basedOn w:val="Standardnpsmoodstavce"/>
    <w:link w:val="Textpoznpodarou"/>
    <w:semiHidden/>
    <w:rsid w:val="00A22AFB"/>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A22A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2AFB"/>
    <w:pPr>
      <w:tabs>
        <w:tab w:val="left" w:pos="340"/>
      </w:tabs>
      <w:spacing w:before="280" w:after="0" w:line="240" w:lineRule="auto"/>
      <w:ind w:firstLine="340"/>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A22AFB"/>
    <w:pPr>
      <w:tabs>
        <w:tab w:val="center" w:pos="4536"/>
        <w:tab w:val="right" w:pos="9072"/>
      </w:tabs>
      <w:spacing w:before="0"/>
      <w:ind w:firstLine="0"/>
    </w:pPr>
  </w:style>
  <w:style w:type="character" w:customStyle="1" w:styleId="ZhlavChar">
    <w:name w:val="Záhlaví Char"/>
    <w:basedOn w:val="Standardnpsmoodstavce"/>
    <w:link w:val="Zhlav"/>
    <w:semiHidden/>
    <w:rsid w:val="00A22AFB"/>
    <w:rPr>
      <w:rFonts w:ascii="Times New Roman" w:eastAsia="Times New Roman" w:hAnsi="Times New Roman" w:cs="Times New Roman"/>
      <w:sz w:val="24"/>
      <w:szCs w:val="24"/>
      <w:lang w:eastAsia="cs-CZ"/>
    </w:rPr>
  </w:style>
  <w:style w:type="paragraph" w:styleId="Zpat">
    <w:name w:val="footer"/>
    <w:basedOn w:val="Normln"/>
    <w:link w:val="ZpatChar"/>
    <w:semiHidden/>
    <w:rsid w:val="00A22AFB"/>
    <w:pPr>
      <w:tabs>
        <w:tab w:val="right" w:pos="9639"/>
      </w:tabs>
      <w:spacing w:before="0"/>
      <w:ind w:firstLine="0"/>
      <w:jc w:val="right"/>
    </w:pPr>
    <w:rPr>
      <w:sz w:val="16"/>
    </w:rPr>
  </w:style>
  <w:style w:type="character" w:customStyle="1" w:styleId="ZpatChar">
    <w:name w:val="Zápatí Char"/>
    <w:basedOn w:val="Standardnpsmoodstavce"/>
    <w:link w:val="Zpat"/>
    <w:semiHidden/>
    <w:rsid w:val="00A22AFB"/>
    <w:rPr>
      <w:rFonts w:ascii="Times New Roman" w:eastAsia="Times New Roman" w:hAnsi="Times New Roman" w:cs="Times New Roman"/>
      <w:sz w:val="16"/>
      <w:szCs w:val="24"/>
      <w:lang w:eastAsia="cs-CZ"/>
    </w:rPr>
  </w:style>
  <w:style w:type="character" w:styleId="slostrnky">
    <w:name w:val="page number"/>
    <w:basedOn w:val="Standardnpsmoodstavce"/>
    <w:semiHidden/>
    <w:rsid w:val="00A22AFB"/>
    <w:rPr>
      <w:b/>
    </w:rPr>
  </w:style>
  <w:style w:type="paragraph" w:styleId="Textpoznpodarou">
    <w:name w:val="footnote text"/>
    <w:basedOn w:val="Normln"/>
    <w:link w:val="TextpoznpodarouChar"/>
    <w:semiHidden/>
    <w:unhideWhenUsed/>
    <w:rsid w:val="00A22AFB"/>
    <w:pPr>
      <w:tabs>
        <w:tab w:val="clear" w:pos="340"/>
      </w:tabs>
      <w:spacing w:before="0"/>
      <w:ind w:firstLine="0"/>
    </w:pPr>
    <w:rPr>
      <w:sz w:val="20"/>
      <w:szCs w:val="20"/>
    </w:rPr>
  </w:style>
  <w:style w:type="character" w:customStyle="1" w:styleId="TextpoznpodarouChar">
    <w:name w:val="Text pozn. pod čarou Char"/>
    <w:basedOn w:val="Standardnpsmoodstavce"/>
    <w:link w:val="Textpoznpodarou"/>
    <w:semiHidden/>
    <w:rsid w:val="00A22AFB"/>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A22A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1233</Words>
  <Characters>7276</Characters>
  <Application>Microsoft Office Word</Application>
  <DocSecurity>0</DocSecurity>
  <Lines>60</Lines>
  <Paragraphs>16</Paragraphs>
  <ScaleCrop>false</ScaleCrop>
  <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 Skulová</dc:creator>
  <cp:keywords/>
  <dc:description/>
  <cp:lastModifiedBy>Soňa Skulová</cp:lastModifiedBy>
  <cp:revision>3</cp:revision>
  <dcterms:created xsi:type="dcterms:W3CDTF">2012-02-06T16:22:00Z</dcterms:created>
  <dcterms:modified xsi:type="dcterms:W3CDTF">2012-02-06T16:25:00Z</dcterms:modified>
</cp:coreProperties>
</file>