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F0" w:rsidRDefault="00C06DF0" w:rsidP="00C06DF0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C06DF0" w:rsidRDefault="00C06DF0" w:rsidP="00C06DF0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C06DF0" w:rsidRDefault="00C06DF0" w:rsidP="00C06DF0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C06DF0" w:rsidRDefault="00C06DF0" w:rsidP="00C06DF0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C06DF0" w:rsidRDefault="00C06DF0" w:rsidP="00C06DF0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  <w:r>
        <w:rPr>
          <w:rFonts w:ascii="Syntax LT CE Black" w:hAnsi="Syntax LT CE Black"/>
          <w:b/>
          <w:i/>
          <w:sz w:val="22"/>
          <w:szCs w:val="22"/>
        </w:rPr>
        <w:sym w:font="Wingdings" w:char="F0F0"/>
      </w:r>
      <w:r>
        <w:rPr>
          <w:rFonts w:ascii="Syntax LT CE Black" w:hAnsi="Syntax LT CE Black"/>
          <w:b/>
          <w:i/>
          <w:sz w:val="22"/>
          <w:szCs w:val="22"/>
        </w:rPr>
        <w:t xml:space="preserve"> Navazující magisterský studijní program „Veřejná správa“, jaro 201</w:t>
      </w:r>
      <w:r w:rsidR="00AB1A98">
        <w:rPr>
          <w:rFonts w:ascii="Syntax LT CE Black" w:hAnsi="Syntax LT CE Black"/>
          <w:b/>
          <w:i/>
          <w:sz w:val="22"/>
          <w:szCs w:val="22"/>
        </w:rPr>
        <w:t>5</w:t>
      </w:r>
      <w:r>
        <w:rPr>
          <w:rFonts w:ascii="Syntax LT CE Black" w:hAnsi="Syntax LT CE Black"/>
          <w:b/>
          <w:i/>
          <w:sz w:val="22"/>
          <w:szCs w:val="22"/>
        </w:rPr>
        <w:t xml:space="preserve">, 2. semestr </w:t>
      </w:r>
      <w:r>
        <w:rPr>
          <w:rFonts w:ascii="Syntax LT CE Black" w:hAnsi="Syntax LT CE Black"/>
          <w:b/>
          <w:i/>
          <w:sz w:val="22"/>
          <w:szCs w:val="22"/>
        </w:rPr>
        <w:sym w:font="Wingdings" w:char="F0EF"/>
      </w:r>
    </w:p>
    <w:p w:rsidR="00C06DF0" w:rsidRDefault="00C06DF0" w:rsidP="00C06DF0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b/>
          <w:sz w:val="40"/>
          <w:szCs w:val="40"/>
          <w:u w:val="single"/>
        </w:rPr>
        <w:t>NP201Zk, CNP201Zk Činnost veřejné správy</w:t>
      </w:r>
    </w:p>
    <w:p w:rsidR="00C06DF0" w:rsidRDefault="00C06DF0" w:rsidP="00C06DF0">
      <w:pPr>
        <w:spacing w:before="60" w:after="60" w:line="300" w:lineRule="auto"/>
        <w:jc w:val="center"/>
        <w:rPr>
          <w:rFonts w:ascii="Syntax LT CE" w:hAnsi="Syntax LT CE"/>
          <w:b/>
        </w:rPr>
      </w:pPr>
      <w:r>
        <w:rPr>
          <w:rFonts w:ascii="Syntax LT CE" w:hAnsi="Syntax LT CE"/>
        </w:rPr>
        <w:t>Garant:</w:t>
      </w:r>
      <w:proofErr w:type="spellStart"/>
      <w:proofErr w:type="gramStart"/>
      <w:r>
        <w:rPr>
          <w:rFonts w:ascii="Syntax LT CE" w:hAnsi="Syntax LT CE"/>
          <w:b/>
        </w:rPr>
        <w:t>doc.JUDr</w:t>
      </w:r>
      <w:proofErr w:type="spellEnd"/>
      <w:r>
        <w:rPr>
          <w:rFonts w:ascii="Syntax LT CE" w:hAnsi="Syntax LT CE"/>
          <w:b/>
        </w:rPr>
        <w:t>.</w:t>
      </w:r>
      <w:proofErr w:type="gramEnd"/>
      <w:r>
        <w:rPr>
          <w:rFonts w:ascii="Syntax LT CE" w:hAnsi="Syntax LT CE"/>
          <w:b/>
        </w:rPr>
        <w:t xml:space="preserve"> Soňa Skulová,  Ph.D.</w:t>
      </w:r>
    </w:p>
    <w:p w:rsidR="00C06DF0" w:rsidRDefault="00C06DF0" w:rsidP="00C06DF0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C06DF0" w:rsidRDefault="00C06DF0" w:rsidP="00C06DF0">
      <w:pPr>
        <w:pStyle w:val="Zkladntext"/>
        <w:spacing w:before="60" w:after="60" w:line="300" w:lineRule="auto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b/>
          <w:sz w:val="22"/>
          <w:szCs w:val="22"/>
          <w:u w:val="single"/>
        </w:rPr>
        <w:t>Rozsah předmětu:</w:t>
      </w:r>
      <w:r>
        <w:rPr>
          <w:rFonts w:ascii="Syntax LT CE" w:hAnsi="Syntax LT CE"/>
          <w:sz w:val="22"/>
          <w:szCs w:val="22"/>
        </w:rPr>
        <w:tab/>
        <w:t>12/0 (tři čtyřhodinové bloky)</w:t>
      </w:r>
    </w:p>
    <w:p w:rsidR="00C06DF0" w:rsidRDefault="00C06DF0" w:rsidP="00C06DF0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/>
          <w:b/>
          <w:sz w:val="22"/>
          <w:szCs w:val="22"/>
          <w:u w:val="single"/>
        </w:rPr>
        <w:t>Ukončení:</w:t>
      </w:r>
      <w:r>
        <w:rPr>
          <w:rFonts w:ascii="Syntax LT CE" w:hAnsi="Syntax LT CE"/>
          <w:b/>
          <w:sz w:val="22"/>
          <w:szCs w:val="22"/>
        </w:rPr>
        <w:tab/>
      </w:r>
      <w:r>
        <w:rPr>
          <w:rFonts w:ascii="Syntax LT CE" w:hAnsi="Syntax LT CE"/>
          <w:sz w:val="22"/>
          <w:szCs w:val="22"/>
        </w:rPr>
        <w:tab/>
        <w:t>zkouška (kombinovaná)</w:t>
      </w:r>
    </w:p>
    <w:p w:rsidR="00C06DF0" w:rsidRDefault="00C06DF0" w:rsidP="00C06DF0">
      <w:pPr>
        <w:autoSpaceDE w:val="0"/>
        <w:autoSpaceDN w:val="0"/>
        <w:adjustRightInd w:val="0"/>
        <w:jc w:val="both"/>
        <w:rPr>
          <w:rFonts w:ascii="Segoe UI Semibold" w:hAnsi="Segoe UI Semibold" w:cs="SyntaxLTCE-Roman"/>
        </w:rPr>
      </w:pPr>
      <w:r>
        <w:rPr>
          <w:rFonts w:ascii="Syntax LT CE" w:hAnsi="Syntax LT CE"/>
          <w:b/>
          <w:sz w:val="22"/>
          <w:szCs w:val="22"/>
          <w:u w:val="single"/>
        </w:rPr>
        <w:t>Anotace:</w:t>
      </w:r>
      <w:r>
        <w:rPr>
          <w:rFonts w:ascii="Syntax LT CE" w:hAnsi="Syntax LT CE"/>
          <w:sz w:val="22"/>
          <w:szCs w:val="22"/>
        </w:rPr>
        <w:tab/>
      </w:r>
      <w:r>
        <w:rPr>
          <w:rFonts w:ascii="Syntax LT CE" w:hAnsi="Syntax LT CE"/>
          <w:sz w:val="22"/>
          <w:szCs w:val="22"/>
        </w:rPr>
        <w:tab/>
      </w:r>
      <w:r>
        <w:rPr>
          <w:rFonts w:ascii="Segoe UI Semibold" w:hAnsi="Segoe UI Semibold"/>
        </w:rPr>
        <w:t>Cílem předmětu je poskytnout hlubší teoretický základ problematiky činnosti veřejné správy, zejména jejích právních aspektů, a to z pohledu systémového, dále právních a neprávních forem realizace veřejné správy, jejich hlavních druhů a znaků, některých specifických součástí pravomoci správních orgánů (normotvorná, diskreční, dozorová, sankční), dále nároků kladených na činnost veřejné správy jako součásti veřejné moci, vztah správy k adresátům jejího působení, principů dobré správy, a vytváření a působení evropského správního prostoru, kontroly vykonávané vůči veřejné správě a odpovědnosti veřejné správy.</w:t>
      </w:r>
    </w:p>
    <w:p w:rsidR="00C06DF0" w:rsidRDefault="00C06DF0" w:rsidP="00C06DF0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</w:p>
    <w:p w:rsidR="00C06DF0" w:rsidRDefault="00C06DF0" w:rsidP="00C06DF0">
      <w:pPr>
        <w:tabs>
          <w:tab w:val="clear" w:pos="340"/>
          <w:tab w:val="left" w:pos="708"/>
        </w:tabs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</w:p>
    <w:p w:rsidR="00C06DF0" w:rsidRDefault="00C06DF0" w:rsidP="00C06DF0">
      <w:pPr>
        <w:tabs>
          <w:tab w:val="clear" w:pos="340"/>
          <w:tab w:val="left" w:pos="708"/>
        </w:tabs>
        <w:spacing w:before="60" w:after="60" w:line="300" w:lineRule="auto"/>
        <w:ind w:firstLine="0"/>
        <w:jc w:val="both"/>
        <w:rPr>
          <w:rFonts w:ascii="Syntax LT CE" w:hAnsi="Syntax LT CE"/>
          <w:b/>
          <w:u w:val="single"/>
        </w:rPr>
      </w:pPr>
      <w:r>
        <w:rPr>
          <w:rFonts w:ascii="Syntax LT CE" w:hAnsi="Syntax LT CE"/>
          <w:b/>
          <w:u w:val="single"/>
        </w:rPr>
        <w:t>Kombinovaná zkouška</w:t>
      </w:r>
    </w:p>
    <w:p w:rsidR="00C06DF0" w:rsidRDefault="00C06DF0" w:rsidP="00C06DF0">
      <w:pPr>
        <w:autoSpaceDE w:val="0"/>
        <w:autoSpaceDN w:val="0"/>
        <w:adjustRightInd w:val="0"/>
        <w:jc w:val="both"/>
        <w:rPr>
          <w:rFonts w:ascii="SyntaxLTCE-Roman" w:hAnsi="SyntaxLTCE-Roman" w:cs="SyntaxLTCE-Roman"/>
        </w:rPr>
      </w:pPr>
      <w:r>
        <w:rPr>
          <w:rFonts w:ascii="Syntax LT CE" w:hAnsi="Syntax LT CE"/>
        </w:rPr>
        <w:t xml:space="preserve">První část zkoušky představuje zpracování a obhajoba písemné eseje (o rozsahu 10 normostran) na studentem samostatně zvolené téma z oblasti činnosti veřejné správy (téma musí být </w:t>
      </w:r>
      <w:proofErr w:type="spellStart"/>
      <w:r>
        <w:rPr>
          <w:rFonts w:ascii="Syntax LT CE" w:hAnsi="Syntax LT CE"/>
        </w:rPr>
        <w:t>podřaditelné</w:t>
      </w:r>
      <w:proofErr w:type="spellEnd"/>
      <w:r>
        <w:rPr>
          <w:rFonts w:ascii="Syntax LT CE" w:hAnsi="Syntax LT CE"/>
        </w:rPr>
        <w:t xml:space="preserve"> pod některý z tematických okruhů uvedených v programu kolektivních konzultací, resp. být jeho konkretizací). Písemná esej musí být odevzdána (v elektronické podobě do Odevzdávány předmětu v IS MU nejpozději </w:t>
      </w:r>
      <w:r>
        <w:rPr>
          <w:rFonts w:ascii="SyntaxLTCE-Roman" w:hAnsi="SyntaxLTCE-Roman" w:cs="SyntaxLTCE-Roman"/>
        </w:rPr>
        <w:t xml:space="preserve">MU </w:t>
      </w:r>
      <w:r>
        <w:rPr>
          <w:rFonts w:ascii="SyntaxLTCE-Roman" w:hAnsi="SyntaxLTCE-Roman" w:cs="SyntaxLTCE-Roman"/>
          <w:i/>
        </w:rPr>
        <w:t xml:space="preserve">nejpozději </w:t>
      </w:r>
      <w:proofErr w:type="gramStart"/>
      <w:r>
        <w:rPr>
          <w:rFonts w:ascii="SyntaxLTCE-Roman" w:hAnsi="SyntaxLTCE-Roman" w:cs="SyntaxLTCE-Roman"/>
          <w:i/>
        </w:rPr>
        <w:t xml:space="preserve">do </w:t>
      </w:r>
      <w:r w:rsidR="00AB1A98">
        <w:rPr>
          <w:rFonts w:ascii="SyntaxLTCE-Roman" w:hAnsi="SyntaxLTCE-Roman" w:cs="SyntaxLTCE-Roman"/>
          <w:i/>
        </w:rPr>
        <w:t>3</w:t>
      </w:r>
      <w:r>
        <w:rPr>
          <w:rFonts w:ascii="SyntaxLTCE-Roman" w:hAnsi="SyntaxLTCE-Roman" w:cs="SyntaxLTCE-Roman"/>
          <w:i/>
        </w:rPr>
        <w:t>.května</w:t>
      </w:r>
      <w:proofErr w:type="gramEnd"/>
      <w:r>
        <w:rPr>
          <w:rFonts w:ascii="SyntaxLTCE-Roman" w:hAnsi="SyntaxLTCE-Roman" w:cs="SyntaxLTCE-Roman"/>
          <w:i/>
        </w:rPr>
        <w:t xml:space="preserve"> 201</w:t>
      </w:r>
      <w:r w:rsidR="00AB1A98">
        <w:rPr>
          <w:rFonts w:ascii="SyntaxLTCE-Roman" w:hAnsi="SyntaxLTCE-Roman" w:cs="SyntaxLTCE-Roman"/>
          <w:i/>
        </w:rPr>
        <w:t>5</w:t>
      </w:r>
      <w:r>
        <w:rPr>
          <w:rFonts w:ascii="SyntaxLTCE-Roman" w:hAnsi="SyntaxLTCE-Roman" w:cs="SyntaxLTCE-Roman"/>
        </w:rPr>
        <w:t>. Jinak student ztrácí právo na konání zkoušky ve zkouškovém období tohoto semestru.</w:t>
      </w:r>
    </w:p>
    <w:p w:rsidR="0034204E" w:rsidRDefault="0034204E" w:rsidP="0034204E">
      <w:pPr>
        <w:spacing w:before="6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204E">
        <w:rPr>
          <w:rFonts w:ascii="Arial" w:hAnsi="Arial" w:cs="Arial"/>
        </w:rPr>
        <w:t xml:space="preserve">Písemná esej musí být vlastním zpracováním zvoleného tématu, nikoliv pouhým popisem, bez jakékoliv přidané hodnoty. Bude zpracována v obvyklé struktuře písemné práce, tedy </w:t>
      </w:r>
      <w:proofErr w:type="gramStart"/>
      <w:r w:rsidRPr="0034204E">
        <w:rPr>
          <w:rFonts w:ascii="Arial" w:hAnsi="Arial" w:cs="Arial"/>
        </w:rPr>
        <w:t>obsahovat  úvod</w:t>
      </w:r>
      <w:proofErr w:type="gramEnd"/>
      <w:r w:rsidRPr="0034204E">
        <w:rPr>
          <w:rFonts w:ascii="Arial" w:hAnsi="Arial" w:cs="Arial"/>
        </w:rPr>
        <w:t xml:space="preserve">, hlavní stať a závěr, s uvedením použitých pramenů. Text může být členěn, s příslušným označením kapitol, resp. oddílů.  </w:t>
      </w:r>
    </w:p>
    <w:p w:rsidR="00AB1A98" w:rsidRPr="0034204E" w:rsidRDefault="00AB1A98" w:rsidP="0034204E">
      <w:pPr>
        <w:spacing w:before="60"/>
        <w:ind w:firstLine="0"/>
        <w:jc w:val="both"/>
        <w:rPr>
          <w:rFonts w:ascii="Arial" w:hAnsi="Arial" w:cs="Arial"/>
        </w:rPr>
      </w:pPr>
    </w:p>
    <w:p w:rsidR="0034204E" w:rsidRPr="0034204E" w:rsidRDefault="0034204E" w:rsidP="0034204E">
      <w:pPr>
        <w:tabs>
          <w:tab w:val="clear" w:pos="340"/>
        </w:tabs>
        <w:autoSpaceDE w:val="0"/>
        <w:autoSpaceDN w:val="0"/>
        <w:adjustRightInd w:val="0"/>
        <w:spacing w:before="0"/>
        <w:ind w:firstLine="0"/>
        <w:jc w:val="both"/>
        <w:rPr>
          <w:rFonts w:ascii="Arial" w:hAnsi="Arial" w:cs="Arial"/>
        </w:rPr>
      </w:pPr>
      <w:r w:rsidRPr="0034204E">
        <w:rPr>
          <w:rFonts w:ascii="Arial" w:hAnsi="Arial" w:cs="Arial"/>
        </w:rPr>
        <w:t xml:space="preserve">      Písemná esej musí odpovídat </w:t>
      </w:r>
      <w:proofErr w:type="gramStart"/>
      <w:r w:rsidRPr="0034204E">
        <w:rPr>
          <w:rFonts w:ascii="Arial" w:hAnsi="Arial" w:cs="Arial"/>
        </w:rPr>
        <w:t>požadavkům  Směrnice</w:t>
      </w:r>
      <w:proofErr w:type="gramEnd"/>
      <w:r w:rsidRPr="0034204E">
        <w:rPr>
          <w:rFonts w:ascii="Arial" w:hAnsi="Arial" w:cs="Arial"/>
        </w:rPr>
        <w:t xml:space="preserve"> děkana č. 4/201</w:t>
      </w:r>
      <w:r w:rsidR="00AB1A98">
        <w:rPr>
          <w:rFonts w:ascii="Arial" w:hAnsi="Arial" w:cs="Arial"/>
        </w:rPr>
        <w:t>3</w:t>
      </w:r>
      <w:r w:rsidRPr="0034204E">
        <w:rPr>
          <w:rFonts w:ascii="Arial" w:hAnsi="Arial" w:cs="Arial"/>
        </w:rPr>
        <w:t>, o citaci dokumentů užívaných v pracích podávaných na právnické fakultě MU.</w:t>
      </w:r>
    </w:p>
    <w:p w:rsidR="00C06DF0" w:rsidRDefault="00C06DF0" w:rsidP="00C06DF0">
      <w:pPr>
        <w:autoSpaceDE w:val="0"/>
        <w:autoSpaceDN w:val="0"/>
        <w:adjustRightInd w:val="0"/>
        <w:jc w:val="both"/>
        <w:rPr>
          <w:rFonts w:ascii="SyntaxLTCE-Roman" w:hAnsi="SyntaxLTCE-Roman" w:cs="SyntaxLTCE-Roman"/>
        </w:rPr>
      </w:pPr>
      <w:bookmarkStart w:id="0" w:name="_GoBack"/>
      <w:bookmarkEnd w:id="0"/>
      <w:r>
        <w:rPr>
          <w:rFonts w:ascii="SyntaxLTCE-Roman" w:hAnsi="SyntaxLTCE-Roman" w:cs="SyntaxLTCE-Roman"/>
        </w:rPr>
        <w:t xml:space="preserve">Práci v listinné podobě student </w:t>
      </w:r>
      <w:r w:rsidRPr="00AB1A98">
        <w:rPr>
          <w:rFonts w:ascii="SyntaxLTCE-Roman" w:hAnsi="SyntaxLTCE-Roman" w:cs="SyntaxLTCE-Roman"/>
          <w:i/>
        </w:rPr>
        <w:t>přinese s sebou k obhajobě písemné práce</w:t>
      </w:r>
      <w:r>
        <w:rPr>
          <w:rFonts w:ascii="SyntaxLTCE-Roman" w:hAnsi="SyntaxLTCE-Roman" w:cs="SyntaxLTCE-Roman"/>
        </w:rPr>
        <w:t>.</w:t>
      </w:r>
    </w:p>
    <w:p w:rsidR="00C06DF0" w:rsidRDefault="00C06DF0" w:rsidP="00C06DF0">
      <w:pPr>
        <w:autoSpaceDE w:val="0"/>
        <w:autoSpaceDN w:val="0"/>
        <w:adjustRightInd w:val="0"/>
        <w:jc w:val="both"/>
        <w:rPr>
          <w:rFonts w:ascii="SyntaxLTCE-Roman" w:hAnsi="SyntaxLTCE-Roman" w:cs="SyntaxLTCE-Roman"/>
        </w:rPr>
      </w:pPr>
      <w:r>
        <w:rPr>
          <w:rFonts w:ascii="SyntaxLTCE-Roman" w:hAnsi="SyntaxLTCE-Roman" w:cs="SyntaxLTCE-Roman"/>
        </w:rPr>
        <w:t xml:space="preserve">Obhajoba písemné eseje probíhá ve zkouškovém období současně s ústní zkouškou. </w:t>
      </w:r>
    </w:p>
    <w:p w:rsidR="0034204E" w:rsidRDefault="0034204E" w:rsidP="0034204E">
      <w:pPr>
        <w:spacing w:before="60"/>
        <w:ind w:firstLine="0"/>
        <w:jc w:val="both"/>
        <w:rPr>
          <w:rFonts w:ascii="Arial" w:hAnsi="Arial" w:cs="Arial"/>
        </w:rPr>
      </w:pPr>
    </w:p>
    <w:p w:rsidR="0034204E" w:rsidRPr="0034204E" w:rsidRDefault="0034204E" w:rsidP="0034204E">
      <w:pPr>
        <w:spacing w:before="60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06DF0" w:rsidRDefault="00C06DF0" w:rsidP="00C06DF0">
      <w:pPr>
        <w:autoSpaceDE w:val="0"/>
        <w:autoSpaceDN w:val="0"/>
        <w:adjustRightInd w:val="0"/>
        <w:jc w:val="both"/>
        <w:rPr>
          <w:rFonts w:ascii="SyntaxLTCE-Roman" w:hAnsi="SyntaxLTCE-Roman" w:cs="SyntaxLTCE-Roman"/>
        </w:rPr>
      </w:pPr>
      <w:r>
        <w:rPr>
          <w:rFonts w:ascii="SyntaxLTCE-Roman" w:hAnsi="SyntaxLTCE-Roman" w:cs="SyntaxLTCE-Roman"/>
          <w:b/>
        </w:rPr>
        <w:t xml:space="preserve">2. </w:t>
      </w:r>
      <w:r>
        <w:rPr>
          <w:rFonts w:ascii="SyntaxLTCE-Roman" w:hAnsi="SyntaxLTCE-Roman" w:cs="SyntaxLTCE-Roman"/>
          <w:b/>
          <w:i/>
        </w:rPr>
        <w:t>Druhou část zkoušky</w:t>
      </w:r>
      <w:r>
        <w:rPr>
          <w:rFonts w:ascii="SyntaxLTCE-Roman" w:hAnsi="SyntaxLTCE-Roman" w:cs="SyntaxLTCE-Roman"/>
        </w:rPr>
        <w:t xml:space="preserve"> představuje ústní zkouška obsahově zaměřená na jednu vylosovanou otázku z předem zveřejněného seznamu</w:t>
      </w:r>
      <w:r w:rsidR="00AB1A98">
        <w:rPr>
          <w:rFonts w:ascii="SyntaxLTCE-Roman" w:hAnsi="SyntaxLTCE-Roman" w:cs="SyntaxLTCE-Roman"/>
        </w:rPr>
        <w:t xml:space="preserve"> (uvedeny níže)</w:t>
      </w:r>
      <w:r>
        <w:rPr>
          <w:rFonts w:ascii="SyntaxLTCE-Roman" w:hAnsi="SyntaxLTCE-Roman" w:cs="SyntaxLTCE-Roman"/>
        </w:rPr>
        <w:t xml:space="preserve">. </w:t>
      </w:r>
    </w:p>
    <w:p w:rsidR="00C06DF0" w:rsidRDefault="00C06DF0" w:rsidP="00C06DF0">
      <w:pPr>
        <w:autoSpaceDE w:val="0"/>
        <w:autoSpaceDN w:val="0"/>
        <w:adjustRightInd w:val="0"/>
        <w:rPr>
          <w:rFonts w:ascii="SyntaxLTCE-Roman" w:hAnsi="SyntaxLTCE-Roman" w:cs="SyntaxLTCE-Roman"/>
        </w:rPr>
      </w:pPr>
    </w:p>
    <w:p w:rsidR="00AB1A98" w:rsidRDefault="00AB1A98" w:rsidP="00AB1A98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ZKOUŠKOVÉ OTÁZKY</w:t>
      </w:r>
    </w:p>
    <w:p w:rsidR="00AB1A98" w:rsidRDefault="00AB1A98" w:rsidP="00AB1A98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PRO ÚSTNÍ ČÁST ZKOUŠKY</w:t>
      </w:r>
    </w:p>
    <w:p w:rsidR="00AB1A98" w:rsidRDefault="00AB1A98" w:rsidP="00AB1A98">
      <w:pPr>
        <w:spacing w:before="60" w:after="60" w:line="300" w:lineRule="auto"/>
        <w:ind w:firstLine="0"/>
        <w:jc w:val="both"/>
        <w:rPr>
          <w:rFonts w:ascii="Syntax LT CE" w:hAnsi="Syntax LT CE"/>
          <w:b/>
          <w:u w:val="single"/>
        </w:rPr>
      </w:pP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 xml:space="preserve">Veřejná správa jako činnost a jako systém. </w:t>
      </w:r>
      <w:proofErr w:type="gramStart"/>
      <w:r>
        <w:rPr>
          <w:rFonts w:ascii="Syntax LT CE" w:hAnsi="Syntax LT CE"/>
        </w:rPr>
        <w:t>Ústavněprávní  základy</w:t>
      </w:r>
      <w:proofErr w:type="gramEnd"/>
      <w:r>
        <w:rPr>
          <w:rFonts w:ascii="Syntax LT CE" w:hAnsi="Syntax LT CE"/>
        </w:rPr>
        <w:t xml:space="preserve"> činnosti veřejné správy.  Princip legality veřejné správy.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 xml:space="preserve">Formy realizace veřejné správy. Právní a neprávní formy realizace, a </w:t>
      </w:r>
      <w:proofErr w:type="gramStart"/>
      <w:r>
        <w:rPr>
          <w:rFonts w:ascii="Syntax LT CE" w:hAnsi="Syntax LT CE"/>
        </w:rPr>
        <w:t>jejich  vztah</w:t>
      </w:r>
      <w:proofErr w:type="gramEnd"/>
      <w:r>
        <w:rPr>
          <w:rFonts w:ascii="Syntax LT CE" w:hAnsi="Syntax LT CE"/>
        </w:rPr>
        <w:t>.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Druhy a znaky hlavních právních forem realizace veřejné správy.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Normotvorná pravomoc veřejné správy. Interní předpisy.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 xml:space="preserve">Metody právní interpretace. Neurčité pojmy. Správní uvážení.  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Správní řád jako základ úpravy procesních postupů správních orgánů. Rozsah působnosti správního řádu. Subsidiarita správního řádu.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 xml:space="preserve"> Základní zásady činnosti správních orgánů. Principy dobré správy.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Systém vnější kontroly vykonávané vůči veřejné správě.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Soudní kontrola veřejné správy. Význam judikatury.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Odpovědnost správních orgánů za škodu a nemateriální újmu způsobenou nezákonným rozhodnutím nebo nesprávným úředním postupem.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Dozorová pravomoc veřejné správy.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Syntax LT CE" w:hAnsi="Syntax LT CE"/>
        </w:rPr>
      </w:pPr>
      <w:r>
        <w:rPr>
          <w:rFonts w:ascii="Syntax LT CE" w:hAnsi="Syntax LT CE"/>
        </w:rPr>
        <w:t>Státní kontrola, tzv. kontrolní řád.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Správně-právní odpovědnost, systém a druhy správních deliktů.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Postihy přestupků a jiných správních deliktů.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Účast občanů na veřejné  správě.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Veřejný ochránce práv.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Transparentnost veřejné správy.</w:t>
      </w:r>
    </w:p>
    <w:p w:rsidR="00AB1A98" w:rsidRDefault="00AB1A98" w:rsidP="00AB1A98">
      <w:pPr>
        <w:numPr>
          <w:ilvl w:val="0"/>
          <w:numId w:val="1"/>
        </w:numPr>
        <w:spacing w:before="60"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Ochrana utajovaných informací ve veřejné správě.   Ochrana osobních údajů.</w:t>
      </w:r>
    </w:p>
    <w:p w:rsidR="00AB1A98" w:rsidRDefault="00AB1A98" w:rsidP="00AB1A98">
      <w:pPr>
        <w:tabs>
          <w:tab w:val="clear" w:pos="340"/>
          <w:tab w:val="left" w:pos="708"/>
        </w:tabs>
        <w:spacing w:before="60" w:after="60" w:line="300" w:lineRule="auto"/>
        <w:jc w:val="both"/>
        <w:rPr>
          <w:rFonts w:ascii="Syntax LT CE" w:hAnsi="Syntax LT CE"/>
        </w:rPr>
      </w:pPr>
    </w:p>
    <w:p w:rsidR="00D84253" w:rsidRDefault="00D84253"/>
    <w:sectPr w:rsidR="00D84253" w:rsidSect="00554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87" w:usb1="00000000" w:usb2="00000000" w:usb3="00000000" w:csb0="0000009B" w:csb1="00000000"/>
  </w:font>
  <w:font w:name="Segoe UI Semibold">
    <w:altName w:val="Segoe UI"/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SyntaxLTCE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81AC1"/>
    <w:multiLevelType w:val="hybridMultilevel"/>
    <w:tmpl w:val="FEE64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6AED"/>
    <w:rsid w:val="0034204E"/>
    <w:rsid w:val="003B6AED"/>
    <w:rsid w:val="00554CC5"/>
    <w:rsid w:val="00AB1A98"/>
    <w:rsid w:val="00C06DF0"/>
    <w:rsid w:val="00D8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DF0"/>
    <w:pPr>
      <w:tabs>
        <w:tab w:val="left" w:pos="340"/>
      </w:tabs>
      <w:spacing w:before="280" w:after="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06DF0"/>
    <w:pPr>
      <w:keepNext/>
      <w:tabs>
        <w:tab w:val="clear" w:pos="340"/>
      </w:tabs>
      <w:snapToGrid w:val="0"/>
      <w:spacing w:before="0"/>
      <w:ind w:firstLine="0"/>
      <w:jc w:val="center"/>
      <w:outlineLvl w:val="7"/>
    </w:pPr>
    <w:rPr>
      <w:rFonts w:ascii="Book Antiqua" w:hAnsi="Book Antiqu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C06DF0"/>
    <w:rPr>
      <w:rFonts w:ascii="Book Antiqua" w:eastAsia="Times New Roman" w:hAnsi="Book Antiqua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06DF0"/>
    <w:pPr>
      <w:tabs>
        <w:tab w:val="clear" w:pos="340"/>
      </w:tabs>
      <w:spacing w:before="0"/>
      <w:ind w:firstLine="0"/>
      <w:jc w:val="center"/>
    </w:pPr>
    <w:rPr>
      <w:spacing w:val="2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C06DF0"/>
    <w:rPr>
      <w:rFonts w:ascii="Times New Roman" w:eastAsia="Times New Roman" w:hAnsi="Times New Roman" w:cs="Times New Roman"/>
      <w:spacing w:val="2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06DF0"/>
    <w:pPr>
      <w:tabs>
        <w:tab w:val="clear" w:pos="340"/>
      </w:tabs>
      <w:snapToGrid w:val="0"/>
      <w:spacing w:before="0"/>
      <w:ind w:firstLine="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06D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DF0"/>
    <w:pPr>
      <w:tabs>
        <w:tab w:val="left" w:pos="340"/>
      </w:tabs>
      <w:spacing w:before="280" w:after="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06DF0"/>
    <w:pPr>
      <w:keepNext/>
      <w:tabs>
        <w:tab w:val="clear" w:pos="340"/>
      </w:tabs>
      <w:snapToGrid w:val="0"/>
      <w:spacing w:before="0"/>
      <w:ind w:firstLine="0"/>
      <w:jc w:val="center"/>
      <w:outlineLvl w:val="7"/>
    </w:pPr>
    <w:rPr>
      <w:rFonts w:ascii="Book Antiqua" w:hAnsi="Book Antiqu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C06DF0"/>
    <w:rPr>
      <w:rFonts w:ascii="Book Antiqua" w:eastAsia="Times New Roman" w:hAnsi="Book Antiqua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06DF0"/>
    <w:pPr>
      <w:tabs>
        <w:tab w:val="clear" w:pos="340"/>
      </w:tabs>
      <w:spacing w:before="0"/>
      <w:ind w:firstLine="0"/>
      <w:jc w:val="center"/>
    </w:pPr>
    <w:rPr>
      <w:spacing w:val="2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C06DF0"/>
    <w:rPr>
      <w:rFonts w:ascii="Times New Roman" w:eastAsia="Times New Roman" w:hAnsi="Times New Roman" w:cs="Times New Roman"/>
      <w:spacing w:val="2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06DF0"/>
    <w:pPr>
      <w:tabs>
        <w:tab w:val="clear" w:pos="340"/>
      </w:tabs>
      <w:snapToGrid w:val="0"/>
      <w:spacing w:before="0"/>
      <w:ind w:firstLine="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06D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489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Skulová</dc:creator>
  <cp:keywords/>
  <dc:description/>
  <cp:lastModifiedBy>Lenovo</cp:lastModifiedBy>
  <cp:revision>4</cp:revision>
  <dcterms:created xsi:type="dcterms:W3CDTF">2012-01-30T12:44:00Z</dcterms:created>
  <dcterms:modified xsi:type="dcterms:W3CDTF">2015-03-01T17:26:00Z</dcterms:modified>
</cp:coreProperties>
</file>