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C8" w:rsidRDefault="00F970C8">
      <w:pPr>
        <w:spacing w:after="227"/>
        <w:rPr>
          <w:sz w:val="36"/>
          <w:szCs w:val="36"/>
        </w:rPr>
      </w:pPr>
    </w:p>
    <w:p w:rsidR="00F970C8" w:rsidRPr="006D2A5E" w:rsidRDefault="00FB545D">
      <w:pPr>
        <w:spacing w:after="227"/>
        <w:rPr>
          <w:b/>
          <w:color w:val="C00000"/>
          <w:sz w:val="36"/>
          <w:szCs w:val="36"/>
        </w:rPr>
      </w:pPr>
      <w:r w:rsidRPr="006D2A5E">
        <w:rPr>
          <w:b/>
          <w:color w:val="C00000"/>
          <w:sz w:val="36"/>
          <w:szCs w:val="36"/>
        </w:rPr>
        <w:t>N V S</w:t>
      </w:r>
    </w:p>
    <w:p w:rsidR="00F970C8" w:rsidRDefault="006D2A5E">
      <w:pPr>
        <w:spacing w:after="227"/>
        <w:rPr>
          <w:b/>
          <w:color w:val="C00000"/>
          <w:sz w:val="36"/>
          <w:szCs w:val="36"/>
        </w:rPr>
      </w:pPr>
      <w:r w:rsidRPr="006D2A5E">
        <w:rPr>
          <w:b/>
          <w:color w:val="C00000"/>
          <w:sz w:val="36"/>
          <w:szCs w:val="36"/>
        </w:rPr>
        <w:t>Okruhy k postupové zkoušce 2015</w:t>
      </w:r>
    </w:p>
    <w:p w:rsidR="006D2A5E" w:rsidRPr="006D2A5E" w:rsidRDefault="006D2A5E">
      <w:pPr>
        <w:spacing w:after="227"/>
        <w:rPr>
          <w:b/>
          <w:color w:val="C00000"/>
          <w:sz w:val="36"/>
          <w:szCs w:val="36"/>
        </w:rPr>
      </w:pPr>
      <w:bookmarkStart w:id="0" w:name="_GoBack"/>
      <w:bookmarkEnd w:id="0"/>
    </w:p>
    <w:p w:rsidR="00F970C8" w:rsidRPr="006D2A5E" w:rsidRDefault="00FB545D">
      <w:pPr>
        <w:spacing w:after="227"/>
        <w:rPr>
          <w:sz w:val="28"/>
          <w:szCs w:val="28"/>
        </w:rPr>
      </w:pPr>
      <w:r w:rsidRPr="006D2A5E">
        <w:rPr>
          <w:sz w:val="28"/>
          <w:szCs w:val="28"/>
        </w:rPr>
        <w:t>1. Úvod do mezinárodního práva - podstata, charakter, zvláštnosti</w:t>
      </w:r>
      <w:r w:rsidR="006D2A5E" w:rsidRPr="006D2A5E">
        <w:rPr>
          <w:sz w:val="28"/>
          <w:szCs w:val="28"/>
        </w:rPr>
        <w:t>, stát jako subjekt</w:t>
      </w:r>
    </w:p>
    <w:p w:rsidR="00F970C8" w:rsidRPr="006D2A5E" w:rsidRDefault="00FB545D">
      <w:pPr>
        <w:spacing w:after="227"/>
        <w:rPr>
          <w:sz w:val="28"/>
          <w:szCs w:val="28"/>
        </w:rPr>
      </w:pPr>
      <w:r w:rsidRPr="006D2A5E">
        <w:rPr>
          <w:sz w:val="28"/>
          <w:szCs w:val="28"/>
        </w:rPr>
        <w:t>2. Mezinárodní smlouva jako pramen mezinárodního i vnitrostátního práva</w:t>
      </w:r>
    </w:p>
    <w:p w:rsidR="006D2A5E" w:rsidRPr="006D2A5E" w:rsidRDefault="006D2A5E">
      <w:pPr>
        <w:spacing w:after="227"/>
        <w:rPr>
          <w:sz w:val="28"/>
          <w:szCs w:val="28"/>
        </w:rPr>
      </w:pPr>
      <w:r w:rsidRPr="006D2A5E">
        <w:rPr>
          <w:sz w:val="28"/>
          <w:szCs w:val="28"/>
        </w:rPr>
        <w:t>Okruhy 1 – 2 v rozsahu skript Týč: Úvod do mezinárodního a evropského práva („žlutá skripta“).</w:t>
      </w:r>
    </w:p>
    <w:p w:rsidR="00F970C8" w:rsidRPr="006D2A5E" w:rsidRDefault="00FB545D">
      <w:pPr>
        <w:spacing w:after="227"/>
        <w:rPr>
          <w:sz w:val="28"/>
          <w:szCs w:val="28"/>
        </w:rPr>
      </w:pPr>
      <w:r w:rsidRPr="006D2A5E">
        <w:rPr>
          <w:sz w:val="28"/>
          <w:szCs w:val="28"/>
        </w:rPr>
        <w:t>3. Evropská unie - charakteristika, nadstátnost, vývoj, pravomoci, institucionální struktura</w:t>
      </w:r>
    </w:p>
    <w:p w:rsidR="00F970C8" w:rsidRPr="006D2A5E" w:rsidRDefault="00FB545D">
      <w:pPr>
        <w:spacing w:after="227"/>
        <w:rPr>
          <w:sz w:val="28"/>
          <w:szCs w:val="28"/>
        </w:rPr>
      </w:pPr>
      <w:r w:rsidRPr="006D2A5E">
        <w:rPr>
          <w:sz w:val="28"/>
          <w:szCs w:val="28"/>
        </w:rPr>
        <w:t>4. Právo EU - charakteristika, prameny</w:t>
      </w:r>
    </w:p>
    <w:p w:rsidR="00F970C8" w:rsidRPr="006D2A5E" w:rsidRDefault="00FB545D">
      <w:pPr>
        <w:spacing w:after="227"/>
        <w:rPr>
          <w:sz w:val="28"/>
          <w:szCs w:val="28"/>
        </w:rPr>
      </w:pPr>
      <w:r w:rsidRPr="006D2A5E">
        <w:rPr>
          <w:sz w:val="28"/>
          <w:szCs w:val="28"/>
        </w:rPr>
        <w:t xml:space="preserve">5. Aplikace práva EU v členských státech - přednost, přímý účinek, </w:t>
      </w:r>
      <w:r w:rsidR="006D2A5E" w:rsidRPr="006D2A5E">
        <w:rPr>
          <w:sz w:val="28"/>
          <w:szCs w:val="28"/>
        </w:rPr>
        <w:t xml:space="preserve">nepřímý účinek, </w:t>
      </w:r>
      <w:r w:rsidRPr="006D2A5E">
        <w:rPr>
          <w:sz w:val="28"/>
          <w:szCs w:val="28"/>
        </w:rPr>
        <w:t>odpovědnost Francovich</w:t>
      </w:r>
    </w:p>
    <w:p w:rsidR="00F970C8" w:rsidRPr="006D2A5E" w:rsidRDefault="00FB545D">
      <w:pPr>
        <w:spacing w:after="227"/>
        <w:rPr>
          <w:sz w:val="28"/>
          <w:szCs w:val="28"/>
        </w:rPr>
      </w:pPr>
      <w:r w:rsidRPr="006D2A5E">
        <w:rPr>
          <w:sz w:val="28"/>
          <w:szCs w:val="28"/>
        </w:rPr>
        <w:t>6. Vynucování práva EU, typy řízení před Soudním dvorem EU</w:t>
      </w:r>
      <w:r w:rsidR="006D2A5E" w:rsidRPr="006D2A5E">
        <w:rPr>
          <w:sz w:val="28"/>
          <w:szCs w:val="28"/>
        </w:rPr>
        <w:t>, průběh řízení, typy rozhodnutí</w:t>
      </w:r>
    </w:p>
    <w:p w:rsidR="00F970C8" w:rsidRPr="006D2A5E" w:rsidRDefault="00FB545D">
      <w:pPr>
        <w:spacing w:after="227"/>
        <w:rPr>
          <w:sz w:val="28"/>
          <w:szCs w:val="28"/>
        </w:rPr>
      </w:pPr>
      <w:r w:rsidRPr="006D2A5E">
        <w:rPr>
          <w:sz w:val="28"/>
          <w:szCs w:val="28"/>
        </w:rPr>
        <w:t>7. Vnitřní trh EU</w:t>
      </w:r>
      <w:r w:rsidR="006D2A5E" w:rsidRPr="006D2A5E">
        <w:rPr>
          <w:sz w:val="28"/>
          <w:szCs w:val="28"/>
        </w:rPr>
        <w:t xml:space="preserve"> (4 základní svobody)</w:t>
      </w:r>
    </w:p>
    <w:p w:rsidR="00F970C8" w:rsidRPr="006D2A5E" w:rsidRDefault="00FB545D">
      <w:pPr>
        <w:spacing w:after="227"/>
        <w:rPr>
          <w:sz w:val="28"/>
          <w:szCs w:val="28"/>
        </w:rPr>
      </w:pPr>
      <w:r w:rsidRPr="006D2A5E">
        <w:rPr>
          <w:sz w:val="28"/>
          <w:szCs w:val="28"/>
        </w:rPr>
        <w:t>8. Prostor svobody, bezpečnosti a práva</w:t>
      </w:r>
    </w:p>
    <w:p w:rsidR="006D2A5E" w:rsidRPr="006D2A5E" w:rsidRDefault="00FB545D">
      <w:pPr>
        <w:spacing w:after="227"/>
        <w:rPr>
          <w:sz w:val="28"/>
          <w:szCs w:val="28"/>
        </w:rPr>
      </w:pPr>
      <w:r w:rsidRPr="006D2A5E">
        <w:rPr>
          <w:sz w:val="28"/>
          <w:szCs w:val="28"/>
        </w:rPr>
        <w:t xml:space="preserve">9. </w:t>
      </w:r>
      <w:r w:rsidR="006D2A5E" w:rsidRPr="006D2A5E">
        <w:rPr>
          <w:sz w:val="28"/>
          <w:szCs w:val="28"/>
        </w:rPr>
        <w:t>EU jako celní unie</w:t>
      </w:r>
    </w:p>
    <w:p w:rsidR="006D2A5E" w:rsidRPr="006D2A5E" w:rsidRDefault="006D2A5E">
      <w:pPr>
        <w:spacing w:after="227"/>
        <w:rPr>
          <w:sz w:val="28"/>
          <w:szCs w:val="28"/>
        </w:rPr>
      </w:pPr>
      <w:r w:rsidRPr="006D2A5E">
        <w:rPr>
          <w:sz w:val="28"/>
          <w:szCs w:val="28"/>
        </w:rPr>
        <w:t>10. Harmonizace daní v EU</w:t>
      </w:r>
    </w:p>
    <w:p w:rsidR="006D2A5E" w:rsidRPr="006D2A5E" w:rsidRDefault="006D2A5E">
      <w:pPr>
        <w:spacing w:after="227"/>
        <w:rPr>
          <w:sz w:val="28"/>
          <w:szCs w:val="28"/>
        </w:rPr>
      </w:pPr>
      <w:r w:rsidRPr="006D2A5E">
        <w:rPr>
          <w:sz w:val="28"/>
          <w:szCs w:val="28"/>
        </w:rPr>
        <w:t>11. Ochrana lidských práv v EU</w:t>
      </w:r>
    </w:p>
    <w:p w:rsidR="00F970C8" w:rsidRPr="006D2A5E" w:rsidRDefault="00F970C8">
      <w:pPr>
        <w:spacing w:after="227"/>
        <w:rPr>
          <w:sz w:val="28"/>
          <w:szCs w:val="28"/>
        </w:rPr>
      </w:pPr>
    </w:p>
    <w:p w:rsidR="006D2A5E" w:rsidRPr="006D2A5E" w:rsidRDefault="006D2A5E">
      <w:pPr>
        <w:spacing w:after="227"/>
        <w:rPr>
          <w:sz w:val="28"/>
          <w:szCs w:val="28"/>
        </w:rPr>
      </w:pPr>
      <w:r w:rsidRPr="006D2A5E">
        <w:rPr>
          <w:sz w:val="28"/>
          <w:szCs w:val="28"/>
        </w:rPr>
        <w:t>Studijní literatura:</w:t>
      </w:r>
    </w:p>
    <w:p w:rsidR="006D2A5E" w:rsidRPr="006D2A5E" w:rsidRDefault="006D2A5E">
      <w:pPr>
        <w:spacing w:after="227"/>
        <w:rPr>
          <w:sz w:val="28"/>
          <w:szCs w:val="28"/>
        </w:rPr>
      </w:pPr>
      <w:r w:rsidRPr="006D2A5E">
        <w:rPr>
          <w:sz w:val="28"/>
          <w:szCs w:val="28"/>
        </w:rPr>
        <w:t xml:space="preserve">V. </w:t>
      </w:r>
      <w:r w:rsidRPr="006D2A5E">
        <w:rPr>
          <w:sz w:val="28"/>
          <w:szCs w:val="28"/>
        </w:rPr>
        <w:t>Týč: Úvod do mezinárodního a evropského práva</w:t>
      </w:r>
      <w:r w:rsidRPr="006D2A5E">
        <w:rPr>
          <w:sz w:val="28"/>
          <w:szCs w:val="28"/>
        </w:rPr>
        <w:t>, MU (skripta), 2. vydání</w:t>
      </w:r>
    </w:p>
    <w:p w:rsidR="006D2A5E" w:rsidRPr="006D2A5E" w:rsidRDefault="006D2A5E">
      <w:pPr>
        <w:spacing w:after="227"/>
        <w:rPr>
          <w:sz w:val="28"/>
          <w:szCs w:val="28"/>
        </w:rPr>
      </w:pPr>
      <w:r w:rsidRPr="006D2A5E">
        <w:rPr>
          <w:sz w:val="28"/>
          <w:szCs w:val="28"/>
        </w:rPr>
        <w:t>V. Týč: Základy práva EU pro ekonomy, Leges, 2010 (6. vydání)</w:t>
      </w:r>
    </w:p>
    <w:p w:rsidR="006D2A5E" w:rsidRPr="006D2A5E" w:rsidRDefault="006D2A5E">
      <w:pPr>
        <w:spacing w:after="227"/>
        <w:rPr>
          <w:sz w:val="28"/>
          <w:szCs w:val="28"/>
        </w:rPr>
      </w:pPr>
      <w:r w:rsidRPr="006D2A5E">
        <w:rPr>
          <w:sz w:val="28"/>
          <w:szCs w:val="28"/>
        </w:rPr>
        <w:t>Úplné znění sv. 1025 (Evropské právo, základní dokumenty)</w:t>
      </w:r>
    </w:p>
    <w:sectPr w:rsidR="006D2A5E" w:rsidRPr="006D2A5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C8"/>
    <w:rsid w:val="006D2A5E"/>
    <w:rsid w:val="00F970C8"/>
    <w:rsid w:val="00FB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Týč</dc:creator>
  <cp:lastModifiedBy>Vladimír Týč</cp:lastModifiedBy>
  <cp:revision>2</cp:revision>
  <cp:lastPrinted>2015-03-13T10:40:00Z</cp:lastPrinted>
  <dcterms:created xsi:type="dcterms:W3CDTF">2015-04-10T08:55:00Z</dcterms:created>
  <dcterms:modified xsi:type="dcterms:W3CDTF">2015-04-10T08:55:00Z</dcterms:modified>
  <dc:language>cs-CZ</dc:language>
</cp:coreProperties>
</file>