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3C" w:rsidRPr="003E0A88" w:rsidRDefault="002E793C" w:rsidP="002E793C">
      <w:pPr>
        <w:spacing w:before="240" w:after="240" w:line="240" w:lineRule="auto"/>
        <w:jc w:val="center"/>
        <w:rPr>
          <w:rFonts w:ascii="Syntax LT CE Black" w:hAnsi="Syntax LT CE Black"/>
          <w:b/>
          <w:sz w:val="32"/>
          <w:szCs w:val="32"/>
          <w:u w:val="single"/>
        </w:rPr>
      </w:pPr>
      <w:r w:rsidRPr="003E0A88">
        <w:rPr>
          <w:rFonts w:ascii="Syntax LT CE Black" w:hAnsi="Syntax LT CE Black"/>
          <w:b/>
          <w:sz w:val="32"/>
          <w:szCs w:val="32"/>
          <w:u w:val="single"/>
        </w:rPr>
        <w:t>Okruhy otázek pro zkoušku z p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ř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edm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ě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tu</w:t>
      </w:r>
    </w:p>
    <w:p w:rsidR="002E793C" w:rsidRPr="003E0A88" w:rsidRDefault="002E793C" w:rsidP="002E793C">
      <w:pPr>
        <w:spacing w:before="240" w:after="240" w:line="240" w:lineRule="auto"/>
        <w:jc w:val="center"/>
        <w:rPr>
          <w:rFonts w:ascii="Syntax LT CE Black" w:hAnsi="Syntax LT CE Black"/>
          <w:b/>
          <w:sz w:val="32"/>
          <w:szCs w:val="32"/>
          <w:u w:val="single"/>
        </w:rPr>
      </w:pPr>
      <w:proofErr w:type="spellStart"/>
      <w:r w:rsidRPr="003E0A88">
        <w:rPr>
          <w:rFonts w:ascii="Syntax LT CE Black" w:hAnsi="Syntax LT CE Black"/>
          <w:b/>
          <w:sz w:val="32"/>
          <w:szCs w:val="32"/>
          <w:u w:val="single"/>
        </w:rPr>
        <w:t>Právotvorba</w:t>
      </w:r>
      <w:proofErr w:type="spellEnd"/>
      <w:r w:rsidRPr="003E0A88">
        <w:rPr>
          <w:rFonts w:ascii="Syntax LT CE Black" w:hAnsi="Syntax LT CE Black"/>
          <w:b/>
          <w:sz w:val="32"/>
          <w:szCs w:val="32"/>
          <w:u w:val="single"/>
        </w:rPr>
        <w:t xml:space="preserve"> pro ve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ř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ejnou správu</w:t>
      </w:r>
    </w:p>
    <w:p w:rsidR="002E793C" w:rsidRPr="00D30678" w:rsidRDefault="002E793C" w:rsidP="002E793C">
      <w:pPr>
        <w:spacing w:before="240" w:after="240" w:line="240" w:lineRule="auto"/>
        <w:jc w:val="both"/>
        <w:rPr>
          <w:rFonts w:ascii="Syntax LT CE" w:hAnsi="Syntax LT CE"/>
          <w:b/>
          <w:i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 xml:space="preserve">Pojem </w:t>
      </w:r>
      <w:proofErr w:type="spellStart"/>
      <w:r w:rsidRPr="00D30678">
        <w:rPr>
          <w:rFonts w:ascii="Syntax LT CE" w:hAnsi="Syntax LT CE"/>
          <w:b/>
        </w:rPr>
        <w:t>právotvorba</w:t>
      </w:r>
      <w:proofErr w:type="spellEnd"/>
      <w:r w:rsidRPr="00D30678">
        <w:rPr>
          <w:rFonts w:ascii="Syntax LT CE" w:hAnsi="Syntax LT CE"/>
          <w:b/>
        </w:rPr>
        <w:t xml:space="preserve"> v teorii a praxi. Složky teorie legislativy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Vztah pojm</w:t>
      </w:r>
      <w:r w:rsidRPr="00D30678">
        <w:rPr>
          <w:rFonts w:ascii="Syntax LT CE" w:hAnsi="Syntax LT CE" w:hint="eastAsia"/>
          <w:b/>
        </w:rPr>
        <w:t>ů</w:t>
      </w:r>
      <w:r w:rsidRPr="00D30678">
        <w:rPr>
          <w:rFonts w:ascii="Syntax LT CE" w:hAnsi="Syntax LT CE"/>
          <w:b/>
        </w:rPr>
        <w:t xml:space="preserve"> právní </w:t>
      </w:r>
      <w:r w:rsidRPr="00D30678">
        <w:rPr>
          <w:rFonts w:ascii="Syntax LT CE" w:hAnsi="Syntax LT CE" w:hint="eastAsia"/>
          <w:b/>
        </w:rPr>
        <w:t>řá</w:t>
      </w:r>
      <w:r w:rsidRPr="00D30678">
        <w:rPr>
          <w:rFonts w:ascii="Syntax LT CE" w:hAnsi="Syntax LT CE"/>
          <w:b/>
        </w:rPr>
        <w:t>d a systém práva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i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Klasifikace a systemizace právních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edpis</w:t>
      </w:r>
      <w:r w:rsidRPr="00D30678">
        <w:rPr>
          <w:rFonts w:ascii="Syntax LT CE" w:hAnsi="Syntax LT CE" w:hint="eastAsia"/>
          <w:b/>
        </w:rPr>
        <w:t>ů</w:t>
      </w:r>
      <w:r w:rsidRPr="00D30678">
        <w:rPr>
          <w:rFonts w:ascii="Syntax LT CE" w:hAnsi="Syntax LT CE"/>
          <w:b/>
        </w:rPr>
        <w:t xml:space="preserve"> a právního </w:t>
      </w:r>
      <w:r w:rsidRPr="00D30678">
        <w:rPr>
          <w:rFonts w:ascii="Syntax LT CE" w:hAnsi="Syntax LT CE" w:hint="eastAsia"/>
          <w:b/>
        </w:rPr>
        <w:t>řá</w:t>
      </w:r>
      <w:r w:rsidRPr="00D30678">
        <w:rPr>
          <w:rFonts w:ascii="Syntax LT CE" w:hAnsi="Syntax LT CE"/>
          <w:b/>
        </w:rPr>
        <w:t>du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i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 xml:space="preserve">Právní a interní úprava tvorby práva 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Legislativní pravidla vlády – základní charakteristika obsahu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Mechanismus tvorby práva – obecný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ehled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Teorie legislativy a její složky – základní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ehled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i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Zákon, zákonodárství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právního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edpisu – základní fáze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Pojem hodnocení dopadu právní regulace – RIA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Systematika právního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Vztah zákona a podzákonného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edpisu. Zmoc</w:t>
      </w:r>
      <w:r w:rsidRPr="00015CB6">
        <w:rPr>
          <w:rFonts w:ascii="Syntax LT CE" w:hAnsi="Syntax LT CE" w:hint="eastAsia"/>
          <w:b/>
        </w:rPr>
        <w:t>ň</w:t>
      </w:r>
      <w:r w:rsidRPr="00015CB6">
        <w:rPr>
          <w:rFonts w:ascii="Syntax LT CE" w:hAnsi="Syntax LT CE"/>
          <w:b/>
        </w:rPr>
        <w:t>ovací ustanovení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  <w:bookmarkStart w:id="0" w:name="_GoBack"/>
      <w:bookmarkEnd w:id="0"/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Účinnost, platnost a použitelnost právního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</w:t>
      </w:r>
    </w:p>
    <w:p w:rsidR="001C7125" w:rsidRDefault="001C7125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Právní jazyk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 xml:space="preserve">Implementace práva EU do právního </w:t>
      </w:r>
      <w:r w:rsidRPr="00015CB6">
        <w:rPr>
          <w:rFonts w:ascii="Syntax LT CE" w:hAnsi="Syntax LT CE" w:hint="eastAsia"/>
          <w:b/>
        </w:rPr>
        <w:t>řá</w:t>
      </w:r>
      <w:r w:rsidRPr="00015CB6">
        <w:rPr>
          <w:rFonts w:ascii="Syntax LT CE" w:hAnsi="Syntax LT CE"/>
          <w:b/>
        </w:rPr>
        <w:t>du ČR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v Poslanecké sn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>movn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 xml:space="preserve"> </w:t>
      </w:r>
    </w:p>
    <w:p w:rsidR="002E793C" w:rsidRDefault="002E793C" w:rsidP="001C7125">
      <w:pPr>
        <w:pStyle w:val="Odstavecseseznamem"/>
        <w:spacing w:before="240" w:after="240" w:line="360" w:lineRule="auto"/>
        <w:ind w:left="357"/>
        <w:jc w:val="both"/>
        <w:rPr>
          <w:rFonts w:ascii="Syntax LT CE" w:hAnsi="Syntax LT CE"/>
          <w:b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ind w:left="357" w:hanging="357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v Senátu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v dob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 xml:space="preserve"> mimo</w:t>
      </w:r>
      <w:r w:rsidRPr="00015CB6">
        <w:rPr>
          <w:rFonts w:ascii="Syntax LT CE" w:hAnsi="Syntax LT CE" w:hint="eastAsia"/>
          <w:b/>
        </w:rPr>
        <w:t>řá</w:t>
      </w:r>
      <w:r w:rsidRPr="00015CB6">
        <w:rPr>
          <w:rFonts w:ascii="Syntax LT CE" w:hAnsi="Syntax LT CE"/>
          <w:b/>
        </w:rPr>
        <w:t>dných stav</w:t>
      </w:r>
      <w:r w:rsidRPr="00015CB6">
        <w:rPr>
          <w:rFonts w:ascii="Syntax LT CE" w:hAnsi="Syntax LT CE" w:hint="eastAsia"/>
          <w:b/>
        </w:rPr>
        <w:t>ů</w:t>
      </w:r>
      <w:r w:rsidRPr="00015CB6">
        <w:rPr>
          <w:rFonts w:ascii="Syntax LT CE" w:hAnsi="Syntax LT CE"/>
          <w:b/>
        </w:rPr>
        <w:t xml:space="preserve"> a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i pln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>ní mezinárodních závazk</w:t>
      </w:r>
      <w:r w:rsidRPr="00015CB6">
        <w:rPr>
          <w:rFonts w:ascii="Syntax LT CE" w:hAnsi="Syntax LT CE" w:hint="eastAsia"/>
          <w:b/>
        </w:rPr>
        <w:t>ů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015CB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a státní rozpočet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na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zení vlády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D30678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vyhlášky úst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edního nebo jiného správního ú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adu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3413D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Publikace právních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</w:t>
      </w:r>
      <w:r w:rsidRPr="003413D6">
        <w:rPr>
          <w:rFonts w:ascii="Syntax LT CE" w:hAnsi="Syntax LT CE" w:hint="eastAsia"/>
          <w:b/>
        </w:rPr>
        <w:t>ů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3413D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Elektronizace legislativního procesu a publikace právních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</w:t>
      </w:r>
      <w:r w:rsidRPr="003413D6">
        <w:rPr>
          <w:rFonts w:ascii="Syntax LT CE" w:hAnsi="Syntax LT CE" w:hint="eastAsia"/>
          <w:b/>
        </w:rPr>
        <w:t>ů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</w:rPr>
      </w:pPr>
    </w:p>
    <w:p w:rsidR="002E793C" w:rsidRPr="003413D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Judikatura Ústavního soudu v otázkách legislativy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3413D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teoretická a ústavn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 xml:space="preserve">právní východiska, místo v právním </w:t>
      </w:r>
      <w:r w:rsidRPr="003413D6">
        <w:rPr>
          <w:rFonts w:ascii="Syntax LT CE" w:hAnsi="Syntax LT CE" w:hint="eastAsia"/>
          <w:b/>
        </w:rPr>
        <w:t>řá</w:t>
      </w:r>
      <w:r w:rsidRPr="003413D6">
        <w:rPr>
          <w:rFonts w:ascii="Syntax LT CE" w:hAnsi="Syntax LT CE"/>
          <w:b/>
        </w:rPr>
        <w:t>du, sankcionování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3413D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legislativní proces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3413D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edm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>t právní úpravy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3413D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Obecn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 xml:space="preserve"> závazné vyhlášky obcí regulující místní záležitosti ve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ejného po</w:t>
      </w:r>
      <w:r w:rsidRPr="003413D6">
        <w:rPr>
          <w:rFonts w:ascii="Syntax LT CE" w:hAnsi="Syntax LT CE" w:hint="eastAsia"/>
          <w:b/>
        </w:rPr>
        <w:t>řá</w:t>
      </w:r>
      <w:r w:rsidRPr="003413D6">
        <w:rPr>
          <w:rFonts w:ascii="Syntax LT CE" w:hAnsi="Syntax LT CE"/>
          <w:b/>
        </w:rPr>
        <w:t>dku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2E793C" w:rsidRPr="003413D6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státní dozor</w:t>
      </w:r>
    </w:p>
    <w:p w:rsidR="002E793C" w:rsidRDefault="002E793C" w:rsidP="001C7125">
      <w:pPr>
        <w:pStyle w:val="Odstavecseseznamem"/>
        <w:spacing w:before="240" w:after="240" w:line="360" w:lineRule="auto"/>
        <w:ind w:left="360"/>
        <w:jc w:val="both"/>
        <w:rPr>
          <w:rFonts w:ascii="Syntax LT CE" w:hAnsi="Syntax LT CE"/>
          <w:b/>
        </w:rPr>
      </w:pPr>
    </w:p>
    <w:p w:rsidR="00B8293E" w:rsidRDefault="002E793C" w:rsidP="001C7125">
      <w:pPr>
        <w:pStyle w:val="Odstavecseseznamem"/>
        <w:numPr>
          <w:ilvl w:val="0"/>
          <w:numId w:val="1"/>
        </w:numPr>
        <w:spacing w:before="240" w:after="240" w:line="360" w:lineRule="auto"/>
        <w:jc w:val="both"/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judikatura Ústavního soudu od prosince 2007</w:t>
      </w:r>
    </w:p>
    <w:sectPr w:rsidR="00B8293E" w:rsidSect="009F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9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445"/>
    <w:multiLevelType w:val="hybridMultilevel"/>
    <w:tmpl w:val="063C72C8"/>
    <w:lvl w:ilvl="0" w:tplc="EBCCAC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C"/>
    <w:rsid w:val="0018522B"/>
    <w:rsid w:val="001C7125"/>
    <w:rsid w:val="002E793C"/>
    <w:rsid w:val="00303703"/>
    <w:rsid w:val="005545AB"/>
    <w:rsid w:val="005D63E6"/>
    <w:rsid w:val="0074602B"/>
    <w:rsid w:val="0079480D"/>
    <w:rsid w:val="009A3A2C"/>
    <w:rsid w:val="00B8293E"/>
    <w:rsid w:val="00C761CE"/>
    <w:rsid w:val="00D535C9"/>
    <w:rsid w:val="00F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93C"/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E793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E79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93C"/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E793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E79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2</cp:revision>
  <dcterms:created xsi:type="dcterms:W3CDTF">2014-02-17T07:45:00Z</dcterms:created>
  <dcterms:modified xsi:type="dcterms:W3CDTF">2014-02-17T07:45:00Z</dcterms:modified>
</cp:coreProperties>
</file>