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4C" w:rsidRDefault="00FC0E4C" w:rsidP="004C0DDF"/>
    <w:p w:rsidR="004C0DDF" w:rsidRDefault="004C0DDF" w:rsidP="004C0DDF"/>
    <w:p w:rsidR="004C0DDF" w:rsidRDefault="004C0DDF" w:rsidP="004C0DDF"/>
    <w:p w:rsidR="004C0DDF" w:rsidRDefault="004C0DDF" w:rsidP="004C0DDF"/>
    <w:p w:rsidR="008978DD" w:rsidRPr="008978DD" w:rsidRDefault="008978DD" w:rsidP="008978DD">
      <w:pPr>
        <w:tabs>
          <w:tab w:val="clear" w:pos="340"/>
        </w:tabs>
        <w:spacing w:before="0"/>
        <w:ind w:firstLine="0"/>
        <w:jc w:val="center"/>
        <w:rPr>
          <w:rFonts w:ascii="Garamond" w:hAnsi="Garamond"/>
          <w:b/>
        </w:rPr>
      </w:pPr>
      <w:r w:rsidRPr="008978DD">
        <w:rPr>
          <w:rFonts w:ascii="Garamond" w:hAnsi="Garamond"/>
          <w:b/>
        </w:rPr>
        <w:t>Prameny správního práva trestního:</w:t>
      </w: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rPr>
          <w:rFonts w:ascii="Garamond" w:hAnsi="Garamond"/>
        </w:rPr>
      </w:pP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jc w:val="both"/>
        <w:rPr>
          <w:rFonts w:ascii="Garamond" w:hAnsi="Garamond"/>
          <w:b/>
        </w:rPr>
      </w:pPr>
      <w:r w:rsidRPr="008978DD">
        <w:rPr>
          <w:rFonts w:ascii="Garamond" w:hAnsi="Garamond"/>
          <w:b/>
        </w:rPr>
        <w:t>Český právní řád:</w:t>
      </w: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jc w:val="both"/>
        <w:rPr>
          <w:rFonts w:ascii="Garamond" w:hAnsi="Garamond"/>
        </w:rPr>
      </w:pPr>
      <w:r w:rsidRPr="008978DD">
        <w:rPr>
          <w:rFonts w:ascii="Garamond" w:hAnsi="Garamond"/>
          <w:i/>
        </w:rPr>
        <w:t>Listina základních práv a svobod</w:t>
      </w:r>
      <w:r w:rsidRPr="008978DD">
        <w:rPr>
          <w:rFonts w:ascii="Garamond" w:hAnsi="Garamond"/>
        </w:rPr>
        <w:t xml:space="preserve"> – čl. 36 až 40</w:t>
      </w: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jc w:val="both"/>
        <w:rPr>
          <w:rFonts w:ascii="Garamond" w:hAnsi="Garamond"/>
        </w:rPr>
      </w:pPr>
      <w:r w:rsidRPr="008978DD">
        <w:rPr>
          <w:rFonts w:ascii="Garamond" w:hAnsi="Garamond"/>
          <w:i/>
        </w:rPr>
        <w:t>Správní řád</w:t>
      </w:r>
      <w:r w:rsidRPr="008978DD">
        <w:rPr>
          <w:rFonts w:ascii="Garamond" w:hAnsi="Garamond"/>
        </w:rPr>
        <w:t xml:space="preserve"> (zákon č. 500/2004 Sb.)</w:t>
      </w: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jc w:val="both"/>
        <w:rPr>
          <w:rFonts w:ascii="Garamond" w:hAnsi="Garamond"/>
        </w:rPr>
      </w:pPr>
      <w:r w:rsidRPr="008978DD">
        <w:rPr>
          <w:rFonts w:ascii="Garamond" w:hAnsi="Garamond"/>
          <w:i/>
        </w:rPr>
        <w:t>Soudní řád správní</w:t>
      </w:r>
      <w:r w:rsidRPr="008978DD">
        <w:rPr>
          <w:rFonts w:ascii="Garamond" w:hAnsi="Garamond"/>
        </w:rPr>
        <w:t xml:space="preserve"> (zákon č. 150/2002 Sb.)</w:t>
      </w: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jc w:val="both"/>
        <w:rPr>
          <w:rFonts w:ascii="Garamond" w:hAnsi="Garamond"/>
        </w:rPr>
      </w:pPr>
      <w:r w:rsidRPr="008978DD">
        <w:rPr>
          <w:rFonts w:ascii="Garamond" w:hAnsi="Garamond"/>
          <w:i/>
        </w:rPr>
        <w:t>Zákon o přestupcích</w:t>
      </w:r>
      <w:r w:rsidRPr="008978DD">
        <w:rPr>
          <w:rFonts w:ascii="Garamond" w:hAnsi="Garamond"/>
        </w:rPr>
        <w:t xml:space="preserve"> (č. 200/1990 Sb.)</w:t>
      </w: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jc w:val="both"/>
        <w:rPr>
          <w:rFonts w:ascii="Garamond" w:hAnsi="Garamond"/>
        </w:rPr>
      </w:pP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jc w:val="both"/>
        <w:rPr>
          <w:rFonts w:ascii="Garamond" w:hAnsi="Garamond"/>
          <w:b/>
        </w:rPr>
      </w:pPr>
      <w:r w:rsidRPr="008978DD">
        <w:rPr>
          <w:rFonts w:ascii="Garamond" w:hAnsi="Garamond"/>
          <w:b/>
        </w:rPr>
        <w:t>Mezinárodní smlouvy:</w:t>
      </w: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jc w:val="both"/>
        <w:rPr>
          <w:rFonts w:ascii="Garamond" w:hAnsi="Garamond"/>
        </w:rPr>
      </w:pPr>
      <w:r w:rsidRPr="008978DD">
        <w:rPr>
          <w:rFonts w:ascii="Garamond" w:hAnsi="Garamond"/>
          <w:i/>
        </w:rPr>
        <w:t>Evropská úmluva o ochraně lidských práv a základních svobod</w:t>
      </w:r>
      <w:r w:rsidRPr="008978DD">
        <w:rPr>
          <w:rFonts w:ascii="Garamond" w:hAnsi="Garamond"/>
        </w:rPr>
        <w:t xml:space="preserve"> (č. 209/1992 Sb.) – čl. </w:t>
      </w:r>
      <w:smartTag w:uri="urn:schemas-microsoft-com:office:smarttags" w:element="metricconverter">
        <w:smartTagPr>
          <w:attr w:name="ProductID" w:val="6 a"/>
        </w:smartTagPr>
        <w:r w:rsidRPr="008978DD">
          <w:rPr>
            <w:rFonts w:ascii="Garamond" w:hAnsi="Garamond"/>
          </w:rPr>
          <w:t>6 a</w:t>
        </w:r>
      </w:smartTag>
      <w:r w:rsidRPr="008978DD">
        <w:rPr>
          <w:rFonts w:ascii="Garamond" w:hAnsi="Garamond"/>
        </w:rPr>
        <w:t xml:space="preserve"> k tomu související judikatura </w:t>
      </w:r>
      <w:r w:rsidRPr="008978DD">
        <w:rPr>
          <w:rFonts w:ascii="Garamond" w:hAnsi="Garamond"/>
          <w:i/>
        </w:rPr>
        <w:t>Evropského soudu pro lidská práva</w:t>
      </w:r>
      <w:r w:rsidRPr="008978DD">
        <w:rPr>
          <w:rFonts w:ascii="Garamond" w:hAnsi="Garamond"/>
        </w:rPr>
        <w:t xml:space="preserve"> (zejména </w:t>
      </w:r>
      <w:proofErr w:type="spellStart"/>
      <w:r w:rsidRPr="008978DD">
        <w:rPr>
          <w:rFonts w:ascii="Garamond" w:hAnsi="Garamond"/>
        </w:rPr>
        <w:t>Engel</w:t>
      </w:r>
      <w:proofErr w:type="spellEnd"/>
      <w:r w:rsidRPr="008978DD">
        <w:rPr>
          <w:rFonts w:ascii="Garamond" w:hAnsi="Garamond"/>
        </w:rPr>
        <w:t xml:space="preserve"> v. Nizozemí či </w:t>
      </w:r>
      <w:proofErr w:type="spellStart"/>
      <w:r w:rsidRPr="008978DD">
        <w:rPr>
          <w:rFonts w:ascii="Garamond" w:hAnsi="Garamond"/>
        </w:rPr>
        <w:t>Zolotukhin</w:t>
      </w:r>
      <w:proofErr w:type="spellEnd"/>
      <w:r w:rsidRPr="008978DD">
        <w:rPr>
          <w:rFonts w:ascii="Garamond" w:hAnsi="Garamond"/>
        </w:rPr>
        <w:t xml:space="preserve"> v. Rusko)</w:t>
      </w: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jc w:val="both"/>
        <w:rPr>
          <w:rFonts w:ascii="Garamond" w:hAnsi="Garamond"/>
        </w:rPr>
      </w:pP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jc w:val="both"/>
        <w:rPr>
          <w:rFonts w:ascii="Garamond" w:hAnsi="Garamond"/>
          <w:b/>
        </w:rPr>
      </w:pPr>
      <w:r w:rsidRPr="008978DD">
        <w:rPr>
          <w:rFonts w:ascii="Garamond" w:hAnsi="Garamond"/>
          <w:b/>
        </w:rPr>
        <w:t>Doporučení Rady Evropy:</w:t>
      </w: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jc w:val="both"/>
        <w:rPr>
          <w:rFonts w:ascii="Garamond" w:hAnsi="Garamond"/>
        </w:rPr>
      </w:pPr>
      <w:r w:rsidRPr="008978DD">
        <w:rPr>
          <w:rFonts w:ascii="Garamond" w:hAnsi="Garamond"/>
        </w:rPr>
        <w:t xml:space="preserve">Doporučení Výboru ministrů Rady Evropy (91) 1 </w:t>
      </w:r>
      <w:r w:rsidRPr="008978DD">
        <w:rPr>
          <w:rFonts w:ascii="Garamond" w:hAnsi="Garamond"/>
          <w:i/>
        </w:rPr>
        <w:t>o správních sankcích</w:t>
      </w: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jc w:val="both"/>
        <w:rPr>
          <w:rFonts w:ascii="Garamond" w:hAnsi="Garamond"/>
        </w:rPr>
      </w:pPr>
      <w:r w:rsidRPr="008978DD">
        <w:rPr>
          <w:rFonts w:ascii="Garamond" w:hAnsi="Garamond"/>
        </w:rPr>
        <w:t xml:space="preserve">Rezoluce Výboru ministrů Rady Evropy (77) 31 </w:t>
      </w:r>
      <w:r w:rsidRPr="008978DD">
        <w:rPr>
          <w:rFonts w:ascii="Garamond" w:hAnsi="Garamond"/>
          <w:i/>
        </w:rPr>
        <w:t>o ochraně jednotlivců ve vztahu k aktům správy</w:t>
      </w: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jc w:val="both"/>
        <w:rPr>
          <w:rFonts w:ascii="Garamond" w:hAnsi="Garamond"/>
        </w:rPr>
      </w:pPr>
      <w:r w:rsidRPr="008978DD">
        <w:rPr>
          <w:rFonts w:ascii="Garamond" w:hAnsi="Garamond"/>
        </w:rPr>
        <w:t xml:space="preserve">Doporučení Výboru ministrů Rady Evropy (80) 2 </w:t>
      </w:r>
      <w:r w:rsidRPr="008978DD">
        <w:rPr>
          <w:rFonts w:ascii="Garamond" w:hAnsi="Garamond"/>
          <w:i/>
        </w:rPr>
        <w:t>o správním uvážení</w:t>
      </w: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jc w:val="both"/>
        <w:rPr>
          <w:rFonts w:ascii="Garamond" w:hAnsi="Garamond"/>
        </w:rPr>
      </w:pPr>
      <w:r w:rsidRPr="008978DD">
        <w:rPr>
          <w:rFonts w:ascii="Garamond" w:hAnsi="Garamond"/>
        </w:rPr>
        <w:t xml:space="preserve">Doporučení Výboru ministrů Rady Evropy (89) 8 </w:t>
      </w:r>
      <w:r w:rsidRPr="008978DD">
        <w:rPr>
          <w:rFonts w:ascii="Garamond" w:hAnsi="Garamond"/>
          <w:i/>
        </w:rPr>
        <w:t>o prozatímní soudní ochraně ve věcech správních</w:t>
      </w:r>
    </w:p>
    <w:p w:rsidR="008978DD" w:rsidRPr="008978DD" w:rsidRDefault="008978DD" w:rsidP="008978DD">
      <w:pPr>
        <w:tabs>
          <w:tab w:val="clear" w:pos="340"/>
        </w:tabs>
        <w:spacing w:before="0"/>
        <w:ind w:firstLine="0"/>
        <w:jc w:val="both"/>
        <w:rPr>
          <w:rFonts w:ascii="Garamond" w:hAnsi="Garamond"/>
        </w:rPr>
      </w:pPr>
      <w:r w:rsidRPr="008978DD">
        <w:rPr>
          <w:rFonts w:ascii="Garamond" w:hAnsi="Garamond"/>
        </w:rPr>
        <w:t xml:space="preserve">Doporučení Výboru ministrů Rady Evropy (2004) 20 </w:t>
      </w:r>
      <w:r w:rsidRPr="008978DD">
        <w:rPr>
          <w:rFonts w:ascii="Garamond" w:hAnsi="Garamond"/>
          <w:i/>
        </w:rPr>
        <w:t>o soudní kontrole správních aktů</w:t>
      </w:r>
      <w:r w:rsidRPr="008978DD">
        <w:rPr>
          <w:rFonts w:ascii="Garamond" w:hAnsi="Garamond"/>
        </w:rPr>
        <w:t xml:space="preserve">  </w:t>
      </w:r>
    </w:p>
    <w:p w:rsidR="004C0DDF" w:rsidRDefault="004C0DDF" w:rsidP="004C0DDF">
      <w:bookmarkStart w:id="0" w:name="_GoBack"/>
      <w:bookmarkEnd w:id="0"/>
    </w:p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907929">
      <w:pPr>
        <w:ind w:firstLine="0"/>
      </w:pPr>
    </w:p>
    <w:sectPr w:rsidR="004C0DDF" w:rsidSect="00307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DF" w:rsidRDefault="004C0DDF">
      <w:r>
        <w:separator/>
      </w:r>
    </w:p>
  </w:endnote>
  <w:endnote w:type="continuationSeparator" w:id="0">
    <w:p w:rsidR="004C0DDF" w:rsidRDefault="004C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ntax LT CE"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5B" w:rsidRDefault="00905E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907929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56" name="obrázek 56" descr="PF_hlapa_DOT_K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PF_hlapa_DOT_K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8978DD"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8978DD"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5B" w:rsidRDefault="00905E5B" w:rsidP="00907929">
    <w:pPr>
      <w:pStyle w:val="Zhlav"/>
      <w:jc w:val="center"/>
      <w:rPr>
        <w:rFonts w:ascii="Syntax LT CE" w:hAnsi="Syntax LT CE"/>
        <w:b/>
        <w:sz w:val="20"/>
        <w:szCs w:val="20"/>
      </w:rPr>
    </w:pPr>
  </w:p>
  <w:p w:rsidR="00907929" w:rsidRPr="00907929" w:rsidRDefault="008521EE" w:rsidP="00907929">
    <w:pPr>
      <w:pStyle w:val="Zhlav"/>
      <w:jc w:val="center"/>
      <w:rPr>
        <w:noProof/>
      </w:rPr>
    </w:pPr>
    <w:r w:rsidRPr="0069244C">
      <w:rPr>
        <w:rFonts w:ascii="Syntax LT CE" w:hAnsi="Syntax LT CE"/>
        <w:b/>
        <w:sz w:val="20"/>
        <w:szCs w:val="20"/>
      </w:rPr>
      <w:t>Zaměstnáním čerstvých absolventů doktorského</w:t>
    </w:r>
    <w:r w:rsidR="00907929">
      <w:rPr>
        <w:noProof/>
      </w:rPr>
      <w:t xml:space="preserve"> </w:t>
    </w:r>
    <w:r w:rsidRPr="0069244C">
      <w:rPr>
        <w:rFonts w:ascii="Syntax LT CE" w:hAnsi="Syntax LT CE"/>
        <w:b/>
        <w:sz w:val="20"/>
        <w:szCs w:val="20"/>
      </w:rPr>
      <w:t>studia k vědecké excelenci (CZ.1.07/2.3.00/30.0009)</w:t>
    </w:r>
  </w:p>
  <w:p w:rsidR="00907929" w:rsidRDefault="00907929" w:rsidP="008521EE">
    <w:pPr>
      <w:pStyle w:val="Zhlav"/>
      <w:rPr>
        <w:rFonts w:ascii="Syntax LT CE" w:hAnsi="Syntax LT CE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9B3078D" wp14:editId="34357534">
          <wp:simplePos x="0" y="0"/>
          <wp:positionH relativeFrom="column">
            <wp:posOffset>1432560</wp:posOffset>
          </wp:positionH>
          <wp:positionV relativeFrom="paragraph">
            <wp:posOffset>5080</wp:posOffset>
          </wp:positionV>
          <wp:extent cx="3380105" cy="647065"/>
          <wp:effectExtent l="0" t="0" r="0" b="635"/>
          <wp:wrapNone/>
          <wp:docPr id="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10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7929" w:rsidRPr="0069244C" w:rsidRDefault="00907929" w:rsidP="008521EE">
    <w:pPr>
      <w:pStyle w:val="Zhlav"/>
      <w:rPr>
        <w:rFonts w:ascii="Syntax LT CE" w:hAnsi="Syntax LT CE"/>
        <w:b/>
        <w:sz w:val="20"/>
        <w:szCs w:val="20"/>
      </w:rPr>
    </w:pPr>
  </w:p>
  <w:p w:rsidR="008521EE" w:rsidRDefault="008521EE" w:rsidP="008521EE">
    <w:pPr>
      <w:pStyle w:val="Zhlav"/>
      <w:rPr>
        <w:b/>
        <w:sz w:val="22"/>
        <w:szCs w:val="22"/>
      </w:rPr>
    </w:pPr>
  </w:p>
  <w:p w:rsidR="00907929" w:rsidRDefault="00907929" w:rsidP="008521EE">
    <w:pPr>
      <w:pStyle w:val="Zhlav"/>
      <w:rPr>
        <w:b/>
        <w:sz w:val="22"/>
        <w:szCs w:val="22"/>
      </w:rPr>
    </w:pPr>
  </w:p>
  <w:p w:rsidR="008521EE" w:rsidRDefault="008521EE" w:rsidP="008521EE">
    <w:pPr>
      <w:pStyle w:val="Zhlav"/>
      <w:rPr>
        <w:b/>
        <w:sz w:val="22"/>
        <w:szCs w:val="22"/>
      </w:rPr>
    </w:pPr>
  </w:p>
  <w:p w:rsidR="008521EE" w:rsidRDefault="008521EE" w:rsidP="008521EE">
    <w:pPr>
      <w:pStyle w:val="Zhlav"/>
      <w:rPr>
        <w:b/>
        <w:sz w:val="22"/>
        <w:szCs w:val="22"/>
      </w:rPr>
    </w:pPr>
  </w:p>
  <w:p w:rsidR="00D739BA" w:rsidRDefault="00907929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1DE2296" wp14:editId="41E18E0A">
          <wp:simplePos x="0" y="0"/>
          <wp:positionH relativeFrom="page">
            <wp:posOffset>0</wp:posOffset>
          </wp:positionH>
          <wp:positionV relativeFrom="paragraph">
            <wp:posOffset>-439420</wp:posOffset>
          </wp:positionV>
          <wp:extent cx="7562850" cy="828675"/>
          <wp:effectExtent l="0" t="0" r="0" b="9525"/>
          <wp:wrapNone/>
          <wp:docPr id="59" name="obrázek 59" descr="PF_hlapa_DOT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PF_hlapa_DOT_ce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8978DD"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8978DD">
      <w:rPr>
        <w:rStyle w:val="slostrnky"/>
        <w:noProof/>
      </w:rPr>
      <w:t>1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DF" w:rsidRDefault="004C0DDF">
      <w:r>
        <w:separator/>
      </w:r>
    </w:p>
  </w:footnote>
  <w:footnote w:type="continuationSeparator" w:id="0">
    <w:p w:rsidR="004C0DDF" w:rsidRDefault="004C0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5B" w:rsidRDefault="00905E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Pr="0030796F" w:rsidRDefault="00907929">
    <w:pPr>
      <w:pStyle w:val="Zhlav"/>
    </w:pPr>
    <w:r>
      <w:rPr>
        <w:noProof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55" name="obrázek 55" descr="PF_hlapa_DOT_K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PF_hlapa_DOT_K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907929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57" name="obrázek 57" descr="PF_hlapa_DOT_K_CZ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F_hlapa_DOT_K_CZ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DF"/>
    <w:rsid w:val="00005DD1"/>
    <w:rsid w:val="000B3AC7"/>
    <w:rsid w:val="0019348F"/>
    <w:rsid w:val="001C1447"/>
    <w:rsid w:val="002B68BB"/>
    <w:rsid w:val="002E3674"/>
    <w:rsid w:val="0030796F"/>
    <w:rsid w:val="00320A2F"/>
    <w:rsid w:val="00355EDC"/>
    <w:rsid w:val="003C3308"/>
    <w:rsid w:val="003E45D6"/>
    <w:rsid w:val="004048EB"/>
    <w:rsid w:val="004C0DDF"/>
    <w:rsid w:val="004C6CF8"/>
    <w:rsid w:val="005117CF"/>
    <w:rsid w:val="00513789"/>
    <w:rsid w:val="00537805"/>
    <w:rsid w:val="005438A0"/>
    <w:rsid w:val="00556A9C"/>
    <w:rsid w:val="005A1686"/>
    <w:rsid w:val="005A1855"/>
    <w:rsid w:val="005A258C"/>
    <w:rsid w:val="005F1C5F"/>
    <w:rsid w:val="0060322A"/>
    <w:rsid w:val="0067458D"/>
    <w:rsid w:val="0069244C"/>
    <w:rsid w:val="006C2F0F"/>
    <w:rsid w:val="006E5C16"/>
    <w:rsid w:val="007015D9"/>
    <w:rsid w:val="00734A38"/>
    <w:rsid w:val="00764199"/>
    <w:rsid w:val="0078402F"/>
    <w:rsid w:val="00790218"/>
    <w:rsid w:val="007963E9"/>
    <w:rsid w:val="00836E0C"/>
    <w:rsid w:val="008521EE"/>
    <w:rsid w:val="00866F16"/>
    <w:rsid w:val="008978DD"/>
    <w:rsid w:val="008D3503"/>
    <w:rsid w:val="008E1FC5"/>
    <w:rsid w:val="00905E5B"/>
    <w:rsid w:val="00907929"/>
    <w:rsid w:val="009141C5"/>
    <w:rsid w:val="00967C73"/>
    <w:rsid w:val="009C597A"/>
    <w:rsid w:val="00A70B6E"/>
    <w:rsid w:val="00A77C3B"/>
    <w:rsid w:val="00A934A5"/>
    <w:rsid w:val="00A97BA3"/>
    <w:rsid w:val="00AA186D"/>
    <w:rsid w:val="00B04BE9"/>
    <w:rsid w:val="00B37363"/>
    <w:rsid w:val="00BE539F"/>
    <w:rsid w:val="00BE6697"/>
    <w:rsid w:val="00BF6E38"/>
    <w:rsid w:val="00C153DB"/>
    <w:rsid w:val="00C34C14"/>
    <w:rsid w:val="00C45ED1"/>
    <w:rsid w:val="00C74575"/>
    <w:rsid w:val="00C759C4"/>
    <w:rsid w:val="00C80218"/>
    <w:rsid w:val="00CA5CD6"/>
    <w:rsid w:val="00CC1FB6"/>
    <w:rsid w:val="00CE44BA"/>
    <w:rsid w:val="00D3366F"/>
    <w:rsid w:val="00D47058"/>
    <w:rsid w:val="00D70E03"/>
    <w:rsid w:val="00D739BA"/>
    <w:rsid w:val="00DB3184"/>
    <w:rsid w:val="00DE223A"/>
    <w:rsid w:val="00E30696"/>
    <w:rsid w:val="00E51124"/>
    <w:rsid w:val="00E51D5E"/>
    <w:rsid w:val="00ED70E8"/>
    <w:rsid w:val="00F27DA0"/>
    <w:rsid w:val="00F32F10"/>
    <w:rsid w:val="00FC0E4C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rsid w:val="00FC0E4C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table" w:styleId="Mkatabulky">
    <w:name w:val="Table Grid"/>
    <w:basedOn w:val="Normlntabulka"/>
    <w:rsid w:val="00CA5CD6"/>
    <w:pPr>
      <w:tabs>
        <w:tab w:val="left" w:pos="340"/>
      </w:tabs>
      <w:spacing w:before="280"/>
      <w:ind w:firstLine="3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">
    <w:name w:val="Adresa"/>
    <w:basedOn w:val="Normln"/>
    <w:rsid w:val="00F32F10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 w:val="20"/>
      <w:szCs w:val="20"/>
    </w:rPr>
  </w:style>
  <w:style w:type="paragraph" w:styleId="Textpoznpodarou">
    <w:name w:val="footnote text"/>
    <w:basedOn w:val="Normln"/>
    <w:link w:val="TextpoznpodarouChar"/>
    <w:rsid w:val="004C0D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DDF"/>
  </w:style>
  <w:style w:type="character" w:styleId="Znakapoznpodarou">
    <w:name w:val="footnote reference"/>
    <w:basedOn w:val="Standardnpsmoodstavce"/>
    <w:rsid w:val="004C0DDF"/>
    <w:rPr>
      <w:vertAlign w:val="superscript"/>
    </w:rPr>
  </w:style>
  <w:style w:type="character" w:customStyle="1" w:styleId="ZhlavChar">
    <w:name w:val="Záhlaví Char"/>
    <w:link w:val="Zhlav"/>
    <w:uiPriority w:val="99"/>
    <w:rsid w:val="008521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rsid w:val="00FC0E4C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table" w:styleId="Mkatabulky">
    <w:name w:val="Table Grid"/>
    <w:basedOn w:val="Normlntabulka"/>
    <w:rsid w:val="00CA5CD6"/>
    <w:pPr>
      <w:tabs>
        <w:tab w:val="left" w:pos="340"/>
      </w:tabs>
      <w:spacing w:before="280"/>
      <w:ind w:firstLine="3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">
    <w:name w:val="Adresa"/>
    <w:basedOn w:val="Normln"/>
    <w:rsid w:val="00F32F10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 w:val="20"/>
      <w:szCs w:val="20"/>
    </w:rPr>
  </w:style>
  <w:style w:type="paragraph" w:styleId="Textpoznpodarou">
    <w:name w:val="footnote text"/>
    <w:basedOn w:val="Normln"/>
    <w:link w:val="TextpoznpodarouChar"/>
    <w:rsid w:val="004C0D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DDF"/>
  </w:style>
  <w:style w:type="character" w:styleId="Znakapoznpodarou">
    <w:name w:val="footnote reference"/>
    <w:basedOn w:val="Standardnpsmoodstavce"/>
    <w:rsid w:val="004C0DDF"/>
    <w:rPr>
      <w:vertAlign w:val="superscript"/>
    </w:rPr>
  </w:style>
  <w:style w:type="character" w:customStyle="1" w:styleId="ZhlavChar">
    <w:name w:val="Záhlaví Char"/>
    <w:link w:val="Zhlav"/>
    <w:uiPriority w:val="99"/>
    <w:rsid w:val="00852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2B32-BC23-43EA-AA65-ADCF1B85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dokumentu</vt:lpstr>
      <vt:lpstr>Šablona dokumentu</vt:lpstr>
    </vt:vector>
  </TitlesOfParts>
  <Company>EXACTDESIGN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Iva Minaříková</dc:creator>
  <cp:lastModifiedBy>JUDr. Lukas Potesil, Ph.D.</cp:lastModifiedBy>
  <cp:revision>2</cp:revision>
  <cp:lastPrinted>2006-02-04T19:18:00Z</cp:lastPrinted>
  <dcterms:created xsi:type="dcterms:W3CDTF">2013-01-10T07:48:00Z</dcterms:created>
  <dcterms:modified xsi:type="dcterms:W3CDTF">2013-01-10T07:48:00Z</dcterms:modified>
</cp:coreProperties>
</file>