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D1" w:rsidRDefault="009D6779" w:rsidP="003C5498">
      <w:pPr>
        <w:spacing w:after="0"/>
        <w:jc w:val="center"/>
        <w:rPr>
          <w:b/>
        </w:rPr>
      </w:pPr>
      <w:r>
        <w:rPr>
          <w:b/>
        </w:rPr>
        <w:t xml:space="preserve">OP III </w:t>
      </w:r>
      <w:r w:rsidR="009E1ABC">
        <w:rPr>
          <w:b/>
        </w:rPr>
        <w:t>Seminář č.</w:t>
      </w:r>
      <w:r w:rsidR="00FB2177">
        <w:rPr>
          <w:b/>
        </w:rPr>
        <w:t xml:space="preserve"> </w:t>
      </w:r>
      <w:r w:rsidR="0046298E">
        <w:rPr>
          <w:b/>
        </w:rPr>
        <w:t>2</w:t>
      </w:r>
      <w:r w:rsidR="009E1ABC">
        <w:rPr>
          <w:b/>
        </w:rPr>
        <w:t xml:space="preserve"> </w:t>
      </w:r>
      <w:r w:rsidR="00FB04D1">
        <w:rPr>
          <w:b/>
        </w:rPr>
        <w:t>–</w:t>
      </w:r>
      <w:r w:rsidR="00FB04D1" w:rsidRPr="00702BB5">
        <w:rPr>
          <w:b/>
        </w:rPr>
        <w:t xml:space="preserve"> </w:t>
      </w:r>
      <w:r w:rsidR="00223CB0">
        <w:rPr>
          <w:b/>
        </w:rPr>
        <w:t>Režim závazkových vztahů</w:t>
      </w:r>
      <w:r w:rsidR="000B187B">
        <w:rPr>
          <w:b/>
        </w:rPr>
        <w:t xml:space="preserve"> v novém a starém obchodním právu</w:t>
      </w:r>
    </w:p>
    <w:p w:rsidR="00FB04D1" w:rsidRDefault="00FB04D1" w:rsidP="003C5498">
      <w:pPr>
        <w:spacing w:after="0"/>
        <w:jc w:val="center"/>
      </w:pPr>
      <w:r>
        <w:t>Vyučující:  Jaromír Kožiak</w:t>
      </w:r>
    </w:p>
    <w:p w:rsidR="00F92E06" w:rsidRDefault="00F92E06" w:rsidP="003C5498">
      <w:pPr>
        <w:spacing w:after="0"/>
        <w:jc w:val="center"/>
      </w:pPr>
    </w:p>
    <w:p w:rsidR="00EE6374" w:rsidRDefault="00EE6374">
      <w:pPr>
        <w:rPr>
          <w:b/>
        </w:rPr>
      </w:pPr>
      <w:proofErr w:type="spellStart"/>
      <w:r>
        <w:rPr>
          <w:b/>
        </w:rPr>
        <w:t>Relevatní</w:t>
      </w:r>
      <w:proofErr w:type="spellEnd"/>
      <w:r>
        <w:rPr>
          <w:b/>
        </w:rPr>
        <w:t xml:space="preserve"> právní předpisy:</w:t>
      </w:r>
    </w:p>
    <w:p w:rsidR="008D0047" w:rsidRPr="00E74CB8" w:rsidRDefault="008D0047" w:rsidP="00FE1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4CB8">
        <w:rPr>
          <w:rFonts w:ascii="Calibri" w:hAnsi="Calibri" w:cs="Calibri"/>
          <w:b/>
        </w:rPr>
        <w:t>ObchZ</w:t>
      </w:r>
      <w:r w:rsidRPr="00E74CB8">
        <w:rPr>
          <w:rFonts w:ascii="Calibri" w:hAnsi="Calibri" w:cs="Calibri"/>
        </w:rPr>
        <w:t xml:space="preserve"> </w:t>
      </w:r>
      <w:r w:rsidR="00E74CB8" w:rsidRPr="00E74CB8">
        <w:rPr>
          <w:rFonts w:ascii="Calibri" w:hAnsi="Calibri" w:cs="Calibri"/>
        </w:rPr>
        <w:tab/>
        <w:t>–</w:t>
      </w:r>
      <w:r w:rsidRPr="00E74CB8">
        <w:rPr>
          <w:rFonts w:ascii="Calibri" w:hAnsi="Calibri" w:cs="Calibri"/>
        </w:rPr>
        <w:t xml:space="preserve"> Zákon č. 513/1991 Sb., obchodní zákoník</w:t>
      </w:r>
    </w:p>
    <w:p w:rsidR="008D0047" w:rsidRPr="00E74CB8" w:rsidRDefault="008D0047" w:rsidP="00FE1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4CB8">
        <w:rPr>
          <w:rFonts w:ascii="Calibri" w:hAnsi="Calibri" w:cs="Calibri"/>
          <w:b/>
        </w:rPr>
        <w:t>OZ</w:t>
      </w:r>
      <w:r w:rsidRPr="00E74CB8">
        <w:rPr>
          <w:rFonts w:ascii="Calibri" w:hAnsi="Calibri" w:cs="Calibri"/>
        </w:rPr>
        <w:t xml:space="preserve"> </w:t>
      </w:r>
      <w:r w:rsidR="00E74CB8" w:rsidRPr="00E74CB8">
        <w:rPr>
          <w:rFonts w:ascii="Calibri" w:hAnsi="Calibri" w:cs="Calibri"/>
        </w:rPr>
        <w:tab/>
      </w:r>
      <w:r w:rsidRPr="00E74CB8">
        <w:rPr>
          <w:rFonts w:ascii="Calibri" w:hAnsi="Calibri" w:cs="Calibri"/>
        </w:rPr>
        <w:t>– Zákon č. 40/1964 Sb., občanský zákoník</w:t>
      </w:r>
    </w:p>
    <w:p w:rsidR="008D0047" w:rsidRPr="00E74CB8" w:rsidRDefault="008D0047" w:rsidP="00FE1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4CB8">
        <w:rPr>
          <w:rFonts w:ascii="Calibri" w:hAnsi="Calibri" w:cs="Calibri"/>
          <w:b/>
        </w:rPr>
        <w:t>NOZ</w:t>
      </w:r>
      <w:r w:rsidRPr="00E74CB8">
        <w:rPr>
          <w:rFonts w:ascii="Calibri" w:hAnsi="Calibri" w:cs="Calibri"/>
        </w:rPr>
        <w:t xml:space="preserve"> </w:t>
      </w:r>
      <w:r w:rsidR="00E74CB8" w:rsidRPr="00E74CB8">
        <w:rPr>
          <w:rFonts w:ascii="Calibri" w:hAnsi="Calibri" w:cs="Calibri"/>
        </w:rPr>
        <w:tab/>
      </w:r>
      <w:r w:rsidRPr="00E74CB8">
        <w:rPr>
          <w:rFonts w:ascii="Calibri" w:hAnsi="Calibri" w:cs="Calibri"/>
        </w:rPr>
        <w:t>– Zákon č. 89/2012 Sb., občanský zákoník</w:t>
      </w:r>
      <w:r w:rsidR="009D6779">
        <w:rPr>
          <w:rFonts w:ascii="Calibri" w:hAnsi="Calibri" w:cs="Calibri"/>
        </w:rPr>
        <w:t xml:space="preserve"> </w:t>
      </w:r>
      <w:r w:rsidRPr="00E74CB8">
        <w:rPr>
          <w:rFonts w:ascii="Calibri" w:hAnsi="Calibri" w:cs="Calibri"/>
        </w:rPr>
        <w:t>účinný od 1.1.2014</w:t>
      </w:r>
    </w:p>
    <w:p w:rsidR="00642B6B" w:rsidRDefault="00642B6B" w:rsidP="00F64D94">
      <w:pPr>
        <w:jc w:val="both"/>
        <w:rPr>
          <w:b/>
        </w:rPr>
      </w:pPr>
    </w:p>
    <w:p w:rsidR="003F35A0" w:rsidRDefault="00306751" w:rsidP="00F64D94">
      <w:pPr>
        <w:jc w:val="both"/>
        <w:rPr>
          <w:b/>
        </w:rPr>
      </w:pPr>
      <w:r>
        <w:rPr>
          <w:b/>
        </w:rPr>
        <w:t>Příklady</w:t>
      </w:r>
      <w:r w:rsidR="00CF2FFB">
        <w:rPr>
          <w:b/>
        </w:rPr>
        <w:t xml:space="preserve"> prosím na seminář přineste již vypracované</w:t>
      </w:r>
      <w:r w:rsidR="003F35A0">
        <w:rPr>
          <w:b/>
        </w:rPr>
        <w:t>:</w:t>
      </w:r>
    </w:p>
    <w:p w:rsidR="00BB6F43" w:rsidRDefault="00BB6F43" w:rsidP="00F64D94">
      <w:pPr>
        <w:jc w:val="both"/>
        <w:rPr>
          <w:b/>
        </w:rPr>
      </w:pPr>
      <w:r>
        <w:rPr>
          <w:b/>
        </w:rPr>
        <w:t>I. Přechodná ustanovení</w:t>
      </w:r>
    </w:p>
    <w:p w:rsidR="0009756A" w:rsidRPr="003F35A0" w:rsidRDefault="0009756A" w:rsidP="00F64D94">
      <w:pPr>
        <w:jc w:val="both"/>
      </w:pPr>
      <w:r w:rsidRPr="003F35A0">
        <w:t>Dva podnikatelé uzavřeli smlouvu o dílo 1.11.2013. Zhodnoťte vliv přechodných ustanovení NOZ na následující otázky:</w:t>
      </w:r>
    </w:p>
    <w:p w:rsidR="0009756A" w:rsidRPr="003F35A0" w:rsidRDefault="0009756A" w:rsidP="0009756A">
      <w:pPr>
        <w:pStyle w:val="Odstavecseseznamem"/>
        <w:numPr>
          <w:ilvl w:val="0"/>
          <w:numId w:val="18"/>
        </w:numPr>
        <w:jc w:val="both"/>
      </w:pPr>
      <w:r w:rsidRPr="003F35A0">
        <w:t xml:space="preserve">Bude se tato smlouva řídit ObchZ nebo NOZ? </w:t>
      </w:r>
      <w:r w:rsidR="00A92147">
        <w:t>Posuzovala by se věc jinak,  místo o dílo šlo o nájem nebo účet?</w:t>
      </w:r>
      <w:r w:rsidR="00CF2FFB">
        <w:t xml:space="preserve"> Je rozhodné, zda podnikatel začal podnikat před účinností nového OZ? Případně, kdyby šlo o společnost, zda byla před účinností nového OZ založena? </w:t>
      </w:r>
    </w:p>
    <w:p w:rsidR="0009756A" w:rsidRDefault="0009756A" w:rsidP="0009756A">
      <w:pPr>
        <w:pStyle w:val="Odstavecseseznamem"/>
        <w:numPr>
          <w:ilvl w:val="0"/>
          <w:numId w:val="18"/>
        </w:numPr>
        <w:jc w:val="both"/>
      </w:pPr>
      <w:r w:rsidRPr="003F35A0">
        <w:t xml:space="preserve">31.1.2014 podal zhotovitel </w:t>
      </w:r>
      <w:r w:rsidR="003F35A0">
        <w:t>ústně výpověď</w:t>
      </w:r>
      <w:r w:rsidRPr="003F35A0">
        <w:t xml:space="preserve"> smlouvy. </w:t>
      </w:r>
      <w:r w:rsidR="003F35A0">
        <w:t xml:space="preserve">Ohledně výpovědi vznikl spor, zda musí být podána písemně. </w:t>
      </w:r>
      <w:r w:rsidRPr="003F35A0">
        <w:t>Jaká právní úprava bude pro výpověď rozhodná?</w:t>
      </w:r>
    </w:p>
    <w:p w:rsidR="003F35A0" w:rsidRDefault="003F35A0" w:rsidP="003F35A0">
      <w:pPr>
        <w:pStyle w:val="Odstavecseseznamem"/>
        <w:numPr>
          <w:ilvl w:val="0"/>
          <w:numId w:val="18"/>
        </w:numPr>
        <w:jc w:val="both"/>
      </w:pPr>
      <w:r>
        <w:t xml:space="preserve">12.2.2014 byl uplatněn objednatelem nárok na sjednanou smluvní pokutu z titulu porušení smluvní povinnosti zhotovitelem. </w:t>
      </w:r>
      <w:r w:rsidRPr="003F35A0">
        <w:t>Jaká právní úprava bu</w:t>
      </w:r>
      <w:r w:rsidR="00A76E50">
        <w:t xml:space="preserve">de </w:t>
      </w:r>
      <w:r w:rsidRPr="003F35A0">
        <w:t>rozhodná?</w:t>
      </w:r>
    </w:p>
    <w:p w:rsidR="00A76E50" w:rsidRDefault="00A76E50" w:rsidP="0009756A">
      <w:pPr>
        <w:pStyle w:val="Odstavecseseznamem"/>
        <w:numPr>
          <w:ilvl w:val="0"/>
          <w:numId w:val="18"/>
        </w:numPr>
        <w:jc w:val="both"/>
      </w:pPr>
      <w:r>
        <w:t>Zhotoviteli vzniklo dne 22.2.2014 právo na zaplacení ceny díla – bude se promlčovat ve čtyřleté (ObchZ) nebo tříleté promlče</w:t>
      </w:r>
      <w:r w:rsidR="005C6331">
        <w:t xml:space="preserve">cí lhůtě (NOZ)? </w:t>
      </w:r>
    </w:p>
    <w:p w:rsidR="00A76E50" w:rsidRPr="003F35A0" w:rsidRDefault="00A76E50" w:rsidP="00A76E50">
      <w:pPr>
        <w:pStyle w:val="Odstavecseseznamem"/>
        <w:numPr>
          <w:ilvl w:val="0"/>
          <w:numId w:val="18"/>
        </w:numPr>
        <w:jc w:val="both"/>
      </w:pPr>
      <w:r>
        <w:t>30.4.2014 objednatel provedl započtení pohledávky zhotovitele na cenu díla proti své pohledávce za zhotovitelem z titulu smluvní pokuty. Pohledávku ze smluvní pokuty považuje zhotovitel za spornou a argumentuje tím, že podle NOZ nelze započíst proti sobě sporné pohledávky.</w:t>
      </w:r>
      <w:r w:rsidRPr="00A76E50">
        <w:t xml:space="preserve"> </w:t>
      </w:r>
      <w:r w:rsidRPr="003F35A0">
        <w:t>Jaká právní úprava bu</w:t>
      </w:r>
      <w:r>
        <w:t xml:space="preserve">de </w:t>
      </w:r>
      <w:r w:rsidRPr="003F35A0">
        <w:t>rozhodná?</w:t>
      </w:r>
    </w:p>
    <w:p w:rsidR="0009756A" w:rsidRDefault="0009756A" w:rsidP="0009756A">
      <w:pPr>
        <w:pStyle w:val="Odstavecseseznamem"/>
        <w:numPr>
          <w:ilvl w:val="0"/>
          <w:numId w:val="18"/>
        </w:numPr>
        <w:jc w:val="both"/>
      </w:pPr>
      <w:r w:rsidRPr="003F35A0">
        <w:t xml:space="preserve">Ohledně smlouvy vznikne později spor – jedna </w:t>
      </w:r>
      <w:r w:rsidR="003F35A0">
        <w:t xml:space="preserve">ze stran se domáhá </w:t>
      </w:r>
      <w:r w:rsidRPr="003F35A0">
        <w:t xml:space="preserve">vyřešení sporu dle principů spravedlnosti a zásad, na nichž spočívá NOZ ve smyslu § 10 NOZ. </w:t>
      </w:r>
      <w:r w:rsidR="003F35A0">
        <w:t>Je možné toto ustanovení aplikovat na smlouvu uzavřenou před 31.12.2013?</w:t>
      </w:r>
    </w:p>
    <w:p w:rsidR="00BB6F43" w:rsidRDefault="00BB6F43" w:rsidP="00F64D94">
      <w:pPr>
        <w:jc w:val="both"/>
        <w:rPr>
          <w:b/>
        </w:rPr>
      </w:pPr>
      <w:r>
        <w:rPr>
          <w:b/>
        </w:rPr>
        <w:t>II. Režim závazkových</w:t>
      </w:r>
      <w:r w:rsidR="0046298E">
        <w:rPr>
          <w:b/>
        </w:rPr>
        <w:t xml:space="preserve"> vztahů řídících se právem účinným o 31.12.2013</w:t>
      </w:r>
    </w:p>
    <w:p w:rsidR="00223CB0" w:rsidRDefault="00223CB0" w:rsidP="00F64D94">
      <w:pPr>
        <w:jc w:val="both"/>
      </w:pPr>
      <w:r w:rsidRPr="00223CB0">
        <w:t xml:space="preserve">Určete u každého příkladu právní režim, kterým se bude daný vztah </w:t>
      </w:r>
      <w:r w:rsidR="00CF2FFB">
        <w:t xml:space="preserve">založený před účinností nového OZ </w:t>
      </w:r>
      <w:r w:rsidRPr="00223CB0">
        <w:t>řídit (uvedením</w:t>
      </w:r>
      <w:r w:rsidR="00CF2FFB">
        <w:t xml:space="preserve"> toho</w:t>
      </w:r>
      <w:r w:rsidRPr="00223CB0">
        <w:t>, které předpisy</w:t>
      </w:r>
      <w:r w:rsidR="00CF2FFB">
        <w:t xml:space="preserve"> a</w:t>
      </w:r>
      <w:r w:rsidRPr="00223CB0">
        <w:t xml:space="preserve"> </w:t>
      </w:r>
      <w:r w:rsidR="00CF2FFB">
        <w:t>v jaké míře</w:t>
      </w:r>
      <w:r w:rsidR="00CF2FFB" w:rsidRPr="00223CB0">
        <w:t xml:space="preserve"> </w:t>
      </w:r>
      <w:r w:rsidRPr="00223CB0">
        <w:t>se na daný případ</w:t>
      </w:r>
      <w:r w:rsidR="00CF2FFB">
        <w:t xml:space="preserve"> </w:t>
      </w:r>
      <w:r w:rsidRPr="00223CB0">
        <w:t>použijí včetně zdůvodnění).</w:t>
      </w:r>
      <w:r w:rsidR="00CF2FFB">
        <w:t xml:space="preserve"> Používejte především §  261 a </w:t>
      </w:r>
      <w:proofErr w:type="spellStart"/>
      <w:r w:rsidR="00CF2FFB">
        <w:t>násl</w:t>
      </w:r>
      <w:proofErr w:type="spellEnd"/>
      <w:r w:rsidR="00CF2FFB">
        <w:t xml:space="preserve">. </w:t>
      </w:r>
      <w:proofErr w:type="spellStart"/>
      <w:r w:rsidR="00CF2FFB">
        <w:t>ObchZ</w:t>
      </w:r>
      <w:proofErr w:type="spellEnd"/>
      <w:r w:rsidR="00CF2FFB">
        <w:t>.</w:t>
      </w:r>
    </w:p>
    <w:p w:rsidR="003245C4" w:rsidRDefault="004860C1" w:rsidP="003245C4">
      <w:pPr>
        <w:pStyle w:val="Odstavecseseznamem"/>
        <w:numPr>
          <w:ilvl w:val="0"/>
          <w:numId w:val="17"/>
        </w:numPr>
        <w:jc w:val="both"/>
      </w:pPr>
      <w:r>
        <w:t xml:space="preserve">Živnostník Ivan Zručný provozuje stolařství a vyrábí nábytek na míru. </w:t>
      </w:r>
      <w:r w:rsidR="003245C4">
        <w:t xml:space="preserve">V obchodním řetězci prodávajícím stavební potřeby nakoupí dřevo a další materiál. Z toho potom vyrobí zařízení dětského pokoje, ve kterém </w:t>
      </w:r>
      <w:r w:rsidR="00BB6F43">
        <w:t>bydlí jeho dvě děti.</w:t>
      </w:r>
    </w:p>
    <w:p w:rsidR="003245C4" w:rsidRDefault="003245C4" w:rsidP="003245C4">
      <w:pPr>
        <w:pStyle w:val="Odstavecseseznamem"/>
        <w:numPr>
          <w:ilvl w:val="0"/>
          <w:numId w:val="17"/>
        </w:numPr>
        <w:jc w:val="both"/>
      </w:pPr>
      <w:r>
        <w:t xml:space="preserve">Společnost Moravská strojírenská s.r.o. odkoupí od společnosti CBX a.s. v likvidaci pozemky a budovy, které dříve tvořily areál výrobního závodu likvidované společnosti s úmyslem přestavět areál a provozovat jej jako sklad zásob. </w:t>
      </w:r>
    </w:p>
    <w:p w:rsidR="00593A28" w:rsidRDefault="00593A28" w:rsidP="003245C4">
      <w:pPr>
        <w:pStyle w:val="Odstavecseseznamem"/>
        <w:jc w:val="both"/>
      </w:pPr>
      <w:r>
        <w:t>Následně společnost uzavře s pojišťovnou smlouvu o pojištění nemovitostí proti požáru.</w:t>
      </w:r>
    </w:p>
    <w:p w:rsidR="004860C1" w:rsidRDefault="00593A28" w:rsidP="004860C1">
      <w:pPr>
        <w:pStyle w:val="Odstavecseseznamem"/>
        <w:numPr>
          <w:ilvl w:val="0"/>
          <w:numId w:val="17"/>
        </w:numPr>
        <w:jc w:val="both"/>
      </w:pPr>
      <w:r>
        <w:lastRenderedPageBreak/>
        <w:t xml:space="preserve"> </w:t>
      </w:r>
      <w:r w:rsidR="004860C1">
        <w:t xml:space="preserve">Obec Hradec nad Moravicí uzavře se společností Veselí popeláři s.r.o. smlouvu o dílo, jejímž předmětem bude zajištění provozu systému třídění a svozu odpadu na území obce na rok 2012. </w:t>
      </w:r>
      <w:r w:rsidR="00642B6B">
        <w:br/>
      </w:r>
      <w:r w:rsidR="004860C1">
        <w:t>Jak by se hodnotila smlouva, kterou by obec pronajala budovu, kterou nevyužívá podnikateli, který v ní umístí svou provozovnu?</w:t>
      </w:r>
    </w:p>
    <w:p w:rsidR="005E44E2" w:rsidRDefault="005E44E2" w:rsidP="00223CB0">
      <w:pPr>
        <w:pStyle w:val="Odstavecseseznamem"/>
        <w:numPr>
          <w:ilvl w:val="0"/>
          <w:numId w:val="17"/>
        </w:numPr>
        <w:jc w:val="both"/>
      </w:pPr>
      <w:r>
        <w:t xml:space="preserve">Pavla </w:t>
      </w:r>
      <w:proofErr w:type="spellStart"/>
      <w:r>
        <w:t>Skákalová</w:t>
      </w:r>
      <w:proofErr w:type="spellEnd"/>
      <w:r>
        <w:t xml:space="preserve">, </w:t>
      </w:r>
      <w:proofErr w:type="spellStart"/>
      <w:r>
        <w:t>nepodnikatelka</w:t>
      </w:r>
      <w:proofErr w:type="spellEnd"/>
      <w:r>
        <w:t xml:space="preserve"> si zakoupila </w:t>
      </w:r>
      <w:r w:rsidR="0003704E">
        <w:t xml:space="preserve">velký plazmový televizor od dodavatele Diskont Elektro s.r.o., neboť nabízel nejlepší slevy. Podmínkou uzavření smlouvy ovšem bylo, že paní </w:t>
      </w:r>
      <w:proofErr w:type="spellStart"/>
      <w:r w:rsidR="0003704E">
        <w:t>Skákalová</w:t>
      </w:r>
      <w:proofErr w:type="spellEnd"/>
      <w:r w:rsidR="0003704E">
        <w:t xml:space="preserve"> přistoupí na volbu režimu obchodního práva v kupní smlouvě. S tím kupující souhlasila a došlo k podpisu smlouvy. Následně po 3 měsících chtěla kupující televizor reklamovat, ale prodejce jí řekl, že jej zakoupila v režimu obchodního zákoníku a tudíž nemá nárok na žádnou zákonnou záruku. Zhodnoťte situaci.</w:t>
      </w:r>
    </w:p>
    <w:p w:rsidR="00223CB0" w:rsidRDefault="00223CB0" w:rsidP="00223CB0">
      <w:pPr>
        <w:pStyle w:val="Odstavecseseznamem"/>
        <w:numPr>
          <w:ilvl w:val="0"/>
          <w:numId w:val="17"/>
        </w:numPr>
        <w:jc w:val="both"/>
      </w:pPr>
      <w:r>
        <w:t>Pan Josef Novák, učitel ve výslužbě nakoupí 3ks listinných akcií společnosti ČEZ a.s. znějících na jméno</w:t>
      </w:r>
      <w:r w:rsidR="00FF3F93">
        <w:t xml:space="preserve"> o nominální hodnotě 1.000,- Kč každá</w:t>
      </w:r>
      <w:r>
        <w:t xml:space="preserve"> od jejich předchozího majitele Petra Černého, </w:t>
      </w:r>
      <w:r w:rsidR="00FF3F93">
        <w:t>zaměstnance reklamní agentury za úplatu ve výši 9.800,- Kč.  Řešil by se příklad jinak, kdyby akcie prodávala společnost Brněnská investiční s.r.o.? Mělo by vliv na režim závazkového vztahu, pokud by šlo o bezúplatný převod akcií?</w:t>
      </w:r>
    </w:p>
    <w:p w:rsidR="0056444F" w:rsidRPr="0056444F" w:rsidRDefault="0056444F" w:rsidP="0003704E">
      <w:pPr>
        <w:pStyle w:val="Odstavecseseznamem"/>
        <w:jc w:val="both"/>
        <w:rPr>
          <w:highlight w:val="green"/>
        </w:rPr>
      </w:pPr>
    </w:p>
    <w:p w:rsidR="000B187B" w:rsidRPr="00685EC9" w:rsidRDefault="000B187B" w:rsidP="000B187B">
      <w:pPr>
        <w:jc w:val="both"/>
        <w:rPr>
          <w:b/>
        </w:rPr>
      </w:pPr>
      <w:r>
        <w:rPr>
          <w:b/>
        </w:rPr>
        <w:t xml:space="preserve">III) </w:t>
      </w:r>
      <w:r w:rsidRPr="00685EC9">
        <w:rPr>
          <w:b/>
        </w:rPr>
        <w:t>Ke kogentním a dispozitivním ustanovením:</w:t>
      </w:r>
    </w:p>
    <w:p w:rsidR="000B187B" w:rsidRPr="000E1AD8" w:rsidRDefault="00CF2FFB" w:rsidP="000B187B">
      <w:pPr>
        <w:pStyle w:val="Odstavecseseznamem"/>
        <w:numPr>
          <w:ilvl w:val="0"/>
          <w:numId w:val="21"/>
        </w:numPr>
        <w:jc w:val="both"/>
      </w:pPr>
      <w:r>
        <w:t xml:space="preserve">Jaké je základní nastavení </w:t>
      </w:r>
      <w:proofErr w:type="spellStart"/>
      <w:r>
        <w:t>kogentnosti</w:t>
      </w:r>
      <w:proofErr w:type="spellEnd"/>
      <w:r>
        <w:t>/</w:t>
      </w:r>
      <w:proofErr w:type="spellStart"/>
      <w:r>
        <w:t>dispozitivnosti</w:t>
      </w:r>
      <w:proofErr w:type="spellEnd"/>
      <w:r>
        <w:t xml:space="preserve"> v novém OZ? </w:t>
      </w:r>
      <w:r w:rsidR="000B187B" w:rsidRPr="000E1AD8">
        <w:t>Která z následujících ustanovení nového OZ jsou kogentní a která dispozitivní? Proč?</w:t>
      </w:r>
    </w:p>
    <w:p w:rsidR="000B187B" w:rsidRDefault="000B187B" w:rsidP="000B187B">
      <w:pPr>
        <w:pStyle w:val="Odstavecseseznamem"/>
        <w:numPr>
          <w:ilvl w:val="0"/>
          <w:numId w:val="20"/>
        </w:numPr>
        <w:jc w:val="both"/>
      </w:pPr>
      <w:r>
        <w:t>§3 NOZ</w:t>
      </w:r>
    </w:p>
    <w:p w:rsidR="000B187B" w:rsidRDefault="000B187B" w:rsidP="000B187B">
      <w:pPr>
        <w:pStyle w:val="Odstavecseseznamem"/>
        <w:numPr>
          <w:ilvl w:val="0"/>
          <w:numId w:val="20"/>
        </w:numPr>
        <w:jc w:val="both"/>
      </w:pPr>
      <w:r>
        <w:t>§ 85 odst. 1 NOZ</w:t>
      </w:r>
    </w:p>
    <w:p w:rsidR="000B187B" w:rsidRDefault="000B187B" w:rsidP="000B187B">
      <w:pPr>
        <w:pStyle w:val="Odstavecseseznamem"/>
        <w:numPr>
          <w:ilvl w:val="0"/>
          <w:numId w:val="20"/>
        </w:numPr>
        <w:jc w:val="both"/>
      </w:pPr>
      <w:r>
        <w:t>§ 2704 NOZ</w:t>
      </w:r>
    </w:p>
    <w:p w:rsidR="000B187B" w:rsidRDefault="000B187B" w:rsidP="000B187B">
      <w:pPr>
        <w:pStyle w:val="Odstavecseseznamem"/>
        <w:numPr>
          <w:ilvl w:val="0"/>
          <w:numId w:val="20"/>
        </w:numPr>
        <w:jc w:val="both"/>
      </w:pPr>
      <w:r w:rsidRPr="000E1AD8">
        <w:t>Ustanovení části třetí – např. § 1051</w:t>
      </w:r>
      <w:r>
        <w:t>NOZ</w:t>
      </w:r>
    </w:p>
    <w:p w:rsidR="000B187B" w:rsidRDefault="000B187B" w:rsidP="000B187B">
      <w:pPr>
        <w:pStyle w:val="Odstavecseseznamem"/>
        <w:numPr>
          <w:ilvl w:val="0"/>
          <w:numId w:val="21"/>
        </w:numPr>
        <w:jc w:val="both"/>
      </w:pPr>
      <w:r>
        <w:t>Která z následujících ustanovení Obchodního zákoníku jsou kogentní a která dispozitivní? Proč?</w:t>
      </w:r>
    </w:p>
    <w:p w:rsidR="000B187B" w:rsidRDefault="000B187B" w:rsidP="000B187B">
      <w:pPr>
        <w:pStyle w:val="Odstavecseseznamem"/>
        <w:jc w:val="both"/>
      </w:pPr>
      <w:r w:rsidRPr="00990817">
        <w:t xml:space="preserve">§ 306 odst. 1 </w:t>
      </w:r>
    </w:p>
    <w:p w:rsidR="000B187B" w:rsidRDefault="000B187B" w:rsidP="000B187B">
      <w:pPr>
        <w:pStyle w:val="Odstavecseseznamem"/>
        <w:jc w:val="both"/>
      </w:pPr>
      <w:r>
        <w:t xml:space="preserve">§ 476 odst. 1 a 2 </w:t>
      </w:r>
    </w:p>
    <w:p w:rsidR="000B187B" w:rsidRDefault="000B187B" w:rsidP="000B187B">
      <w:pPr>
        <w:pStyle w:val="Odstavecseseznamem"/>
        <w:jc w:val="both"/>
      </w:pPr>
      <w:r w:rsidRPr="00990817">
        <w:t xml:space="preserve">§ 108 odst. 1 </w:t>
      </w:r>
    </w:p>
    <w:p w:rsidR="00223CB0" w:rsidRDefault="00223CB0" w:rsidP="00F64D94">
      <w:pPr>
        <w:jc w:val="both"/>
        <w:rPr>
          <w:b/>
        </w:rPr>
      </w:pPr>
    </w:p>
    <w:sectPr w:rsidR="00223CB0" w:rsidSect="001B7D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94" w:rsidRDefault="00813994" w:rsidP="00E85096">
      <w:pPr>
        <w:spacing w:after="0" w:line="240" w:lineRule="auto"/>
      </w:pPr>
      <w:r>
        <w:separator/>
      </w:r>
    </w:p>
  </w:endnote>
  <w:endnote w:type="continuationSeparator" w:id="0">
    <w:p w:rsidR="00813994" w:rsidRDefault="00813994" w:rsidP="00E8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96" w:rsidRDefault="00D75096">
    <w:pPr>
      <w:pStyle w:val="Zpat"/>
    </w:pPr>
  </w:p>
  <w:p w:rsidR="00D75096" w:rsidRDefault="00D750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94" w:rsidRDefault="00813994" w:rsidP="00E85096">
      <w:pPr>
        <w:spacing w:after="0" w:line="240" w:lineRule="auto"/>
      </w:pPr>
      <w:r>
        <w:separator/>
      </w:r>
    </w:p>
  </w:footnote>
  <w:footnote w:type="continuationSeparator" w:id="0">
    <w:p w:rsidR="00813994" w:rsidRDefault="00813994" w:rsidP="00E8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pt;height:8.75pt" o:bullet="t">
        <v:imagedata r:id="rId1" o:title="BD21327_"/>
      </v:shape>
    </w:pict>
  </w:numPicBullet>
  <w:abstractNum w:abstractNumId="0">
    <w:nsid w:val="01A66AED"/>
    <w:multiLevelType w:val="hybridMultilevel"/>
    <w:tmpl w:val="C0C6FE5A"/>
    <w:lvl w:ilvl="0" w:tplc="2B6643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8FB"/>
    <w:multiLevelType w:val="hybridMultilevel"/>
    <w:tmpl w:val="4786424A"/>
    <w:lvl w:ilvl="0" w:tplc="E72C3D6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9B4E4B"/>
    <w:multiLevelType w:val="hybridMultilevel"/>
    <w:tmpl w:val="0DFE0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D3C73"/>
    <w:multiLevelType w:val="hybridMultilevel"/>
    <w:tmpl w:val="90DCAD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06CE1"/>
    <w:multiLevelType w:val="hybridMultilevel"/>
    <w:tmpl w:val="BF7223E6"/>
    <w:lvl w:ilvl="0" w:tplc="B954677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53C03A7"/>
    <w:multiLevelType w:val="hybridMultilevel"/>
    <w:tmpl w:val="81C26010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5A1B72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B2ECB"/>
    <w:multiLevelType w:val="hybridMultilevel"/>
    <w:tmpl w:val="B7362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B6F1D"/>
    <w:multiLevelType w:val="hybridMultilevel"/>
    <w:tmpl w:val="67FA5D78"/>
    <w:lvl w:ilvl="0" w:tplc="4552DE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72BE7EFE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1738282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FB175A"/>
    <w:multiLevelType w:val="hybridMultilevel"/>
    <w:tmpl w:val="DF567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27E97"/>
    <w:multiLevelType w:val="hybridMultilevel"/>
    <w:tmpl w:val="4D621126"/>
    <w:lvl w:ilvl="0" w:tplc="5AECA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C15A5"/>
    <w:multiLevelType w:val="hybridMultilevel"/>
    <w:tmpl w:val="91CE1D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F637E"/>
    <w:multiLevelType w:val="hybridMultilevel"/>
    <w:tmpl w:val="89CCD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B0EE8"/>
    <w:multiLevelType w:val="hybridMultilevel"/>
    <w:tmpl w:val="AEA0E3F6"/>
    <w:lvl w:ilvl="0" w:tplc="B3287234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65066281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06117"/>
    <w:multiLevelType w:val="hybridMultilevel"/>
    <w:tmpl w:val="E152A74C"/>
    <w:lvl w:ilvl="0" w:tplc="0E6CCA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86D28"/>
    <w:multiLevelType w:val="hybridMultilevel"/>
    <w:tmpl w:val="40127A68"/>
    <w:lvl w:ilvl="0" w:tplc="594415BC">
      <w:start w:val="2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5764E"/>
    <w:multiLevelType w:val="hybridMultilevel"/>
    <w:tmpl w:val="48CC1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C6018"/>
    <w:multiLevelType w:val="hybridMultilevel"/>
    <w:tmpl w:val="8334CAB6"/>
    <w:lvl w:ilvl="0" w:tplc="64B4C5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C00D6"/>
    <w:multiLevelType w:val="hybridMultilevel"/>
    <w:tmpl w:val="95E88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E45375"/>
    <w:multiLevelType w:val="hybridMultilevel"/>
    <w:tmpl w:val="ED58D5C0"/>
    <w:lvl w:ilvl="0" w:tplc="C1429B1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6"/>
  </w:num>
  <w:num w:numId="5">
    <w:abstractNumId w:val="15"/>
  </w:num>
  <w:num w:numId="6">
    <w:abstractNumId w:val="19"/>
  </w:num>
  <w:num w:numId="7">
    <w:abstractNumId w:val="20"/>
  </w:num>
  <w:num w:numId="8">
    <w:abstractNumId w:val="10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6"/>
  </w:num>
  <w:num w:numId="16">
    <w:abstractNumId w:val="13"/>
  </w:num>
  <w:num w:numId="17">
    <w:abstractNumId w:val="17"/>
  </w:num>
  <w:num w:numId="18">
    <w:abstractNumId w:val="11"/>
  </w:num>
  <w:num w:numId="19">
    <w:abstractNumId w:val="5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04D1"/>
    <w:rsid w:val="00026A66"/>
    <w:rsid w:val="000327D1"/>
    <w:rsid w:val="0003704E"/>
    <w:rsid w:val="00043878"/>
    <w:rsid w:val="00054B02"/>
    <w:rsid w:val="00055DBD"/>
    <w:rsid w:val="000561A9"/>
    <w:rsid w:val="0009756A"/>
    <w:rsid w:val="000B187B"/>
    <w:rsid w:val="000C0AA8"/>
    <w:rsid w:val="000D4AC1"/>
    <w:rsid w:val="000E330D"/>
    <w:rsid w:val="000F19A8"/>
    <w:rsid w:val="00147D14"/>
    <w:rsid w:val="00150620"/>
    <w:rsid w:val="00164779"/>
    <w:rsid w:val="00167464"/>
    <w:rsid w:val="00197B62"/>
    <w:rsid w:val="001A4488"/>
    <w:rsid w:val="001B79F5"/>
    <w:rsid w:val="001B7D53"/>
    <w:rsid w:val="001C6D4F"/>
    <w:rsid w:val="001F4A95"/>
    <w:rsid w:val="00201B15"/>
    <w:rsid w:val="00220B80"/>
    <w:rsid w:val="00223CB0"/>
    <w:rsid w:val="00260C97"/>
    <w:rsid w:val="00297579"/>
    <w:rsid w:val="002F309B"/>
    <w:rsid w:val="00306751"/>
    <w:rsid w:val="003245C4"/>
    <w:rsid w:val="003608C7"/>
    <w:rsid w:val="003854C8"/>
    <w:rsid w:val="003B1B1F"/>
    <w:rsid w:val="003C5498"/>
    <w:rsid w:val="003C6B1E"/>
    <w:rsid w:val="003E04D6"/>
    <w:rsid w:val="003F35A0"/>
    <w:rsid w:val="003F3BAA"/>
    <w:rsid w:val="004040BD"/>
    <w:rsid w:val="00410518"/>
    <w:rsid w:val="00412163"/>
    <w:rsid w:val="00416931"/>
    <w:rsid w:val="00420B37"/>
    <w:rsid w:val="004320BA"/>
    <w:rsid w:val="0044255C"/>
    <w:rsid w:val="0046298E"/>
    <w:rsid w:val="00472807"/>
    <w:rsid w:val="004860C1"/>
    <w:rsid w:val="0049377F"/>
    <w:rsid w:val="00506B03"/>
    <w:rsid w:val="00551FE7"/>
    <w:rsid w:val="0056444F"/>
    <w:rsid w:val="00593A28"/>
    <w:rsid w:val="005A5C09"/>
    <w:rsid w:val="005C6331"/>
    <w:rsid w:val="005E166F"/>
    <w:rsid w:val="005E44E2"/>
    <w:rsid w:val="005F3933"/>
    <w:rsid w:val="006110AC"/>
    <w:rsid w:val="00627FAB"/>
    <w:rsid w:val="00642B6B"/>
    <w:rsid w:val="0064444F"/>
    <w:rsid w:val="00653E41"/>
    <w:rsid w:val="006B7084"/>
    <w:rsid w:val="006D6D1E"/>
    <w:rsid w:val="006F5695"/>
    <w:rsid w:val="007324A4"/>
    <w:rsid w:val="00790928"/>
    <w:rsid w:val="00795836"/>
    <w:rsid w:val="007B423E"/>
    <w:rsid w:val="007D69D6"/>
    <w:rsid w:val="007E4FEA"/>
    <w:rsid w:val="008053B4"/>
    <w:rsid w:val="00806C88"/>
    <w:rsid w:val="00813994"/>
    <w:rsid w:val="008262C8"/>
    <w:rsid w:val="00832F80"/>
    <w:rsid w:val="00835D62"/>
    <w:rsid w:val="0084555F"/>
    <w:rsid w:val="00852EA4"/>
    <w:rsid w:val="008910DF"/>
    <w:rsid w:val="008C759A"/>
    <w:rsid w:val="008D0047"/>
    <w:rsid w:val="008D5717"/>
    <w:rsid w:val="008D670A"/>
    <w:rsid w:val="008E3B0C"/>
    <w:rsid w:val="008F72CB"/>
    <w:rsid w:val="00904B2E"/>
    <w:rsid w:val="009201D8"/>
    <w:rsid w:val="00921BAF"/>
    <w:rsid w:val="009304E6"/>
    <w:rsid w:val="00955967"/>
    <w:rsid w:val="00967A7C"/>
    <w:rsid w:val="00990817"/>
    <w:rsid w:val="00991991"/>
    <w:rsid w:val="009D6779"/>
    <w:rsid w:val="009E1ABC"/>
    <w:rsid w:val="00A02609"/>
    <w:rsid w:val="00A12E1B"/>
    <w:rsid w:val="00A521D1"/>
    <w:rsid w:val="00A62BB0"/>
    <w:rsid w:val="00A76E50"/>
    <w:rsid w:val="00A80276"/>
    <w:rsid w:val="00A92147"/>
    <w:rsid w:val="00AA06F3"/>
    <w:rsid w:val="00AB3259"/>
    <w:rsid w:val="00B40F90"/>
    <w:rsid w:val="00B71BDF"/>
    <w:rsid w:val="00BA2EFA"/>
    <w:rsid w:val="00BA7B5B"/>
    <w:rsid w:val="00BB6F43"/>
    <w:rsid w:val="00BC3F17"/>
    <w:rsid w:val="00BE0229"/>
    <w:rsid w:val="00BE4F40"/>
    <w:rsid w:val="00C32BD8"/>
    <w:rsid w:val="00C531CA"/>
    <w:rsid w:val="00C5712A"/>
    <w:rsid w:val="00C73E3F"/>
    <w:rsid w:val="00C95F96"/>
    <w:rsid w:val="00CC501F"/>
    <w:rsid w:val="00CE09D6"/>
    <w:rsid w:val="00CF2FFB"/>
    <w:rsid w:val="00D17F2F"/>
    <w:rsid w:val="00D32474"/>
    <w:rsid w:val="00D45A55"/>
    <w:rsid w:val="00D51273"/>
    <w:rsid w:val="00D60841"/>
    <w:rsid w:val="00D75096"/>
    <w:rsid w:val="00D77C0E"/>
    <w:rsid w:val="00D91436"/>
    <w:rsid w:val="00DA1299"/>
    <w:rsid w:val="00DE7FA9"/>
    <w:rsid w:val="00E238A7"/>
    <w:rsid w:val="00E61081"/>
    <w:rsid w:val="00E6385D"/>
    <w:rsid w:val="00E72BD0"/>
    <w:rsid w:val="00E74CB8"/>
    <w:rsid w:val="00E85096"/>
    <w:rsid w:val="00EE6374"/>
    <w:rsid w:val="00F033A6"/>
    <w:rsid w:val="00F24B68"/>
    <w:rsid w:val="00F54A06"/>
    <w:rsid w:val="00F64D94"/>
    <w:rsid w:val="00F665BD"/>
    <w:rsid w:val="00F82712"/>
    <w:rsid w:val="00F92E06"/>
    <w:rsid w:val="00F92F86"/>
    <w:rsid w:val="00FB04D1"/>
    <w:rsid w:val="00FB2177"/>
    <w:rsid w:val="00FB4D39"/>
    <w:rsid w:val="00FC42F4"/>
    <w:rsid w:val="00FE1F8C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579"/>
  </w:style>
  <w:style w:type="paragraph" w:styleId="Nadpis2">
    <w:name w:val="heading 2"/>
    <w:basedOn w:val="Normln"/>
    <w:link w:val="Nadpis2Char"/>
    <w:uiPriority w:val="9"/>
    <w:qFormat/>
    <w:rsid w:val="00E74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54C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74C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5096"/>
  </w:style>
  <w:style w:type="paragraph" w:styleId="Zpat">
    <w:name w:val="footer"/>
    <w:basedOn w:val="Normln"/>
    <w:link w:val="ZpatChar"/>
    <w:uiPriority w:val="99"/>
    <w:semiHidden/>
    <w:unhideWhenUsed/>
    <w:rsid w:val="00E8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5096"/>
  </w:style>
  <w:style w:type="character" w:customStyle="1" w:styleId="odst">
    <w:name w:val="odst"/>
    <w:basedOn w:val="Standardnpsmoodstavce"/>
    <w:rsid w:val="00564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4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54C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74C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5096"/>
  </w:style>
  <w:style w:type="paragraph" w:styleId="Zpat">
    <w:name w:val="footer"/>
    <w:basedOn w:val="Normln"/>
    <w:link w:val="ZpatChar"/>
    <w:uiPriority w:val="99"/>
    <w:semiHidden/>
    <w:unhideWhenUsed/>
    <w:rsid w:val="00E8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5096"/>
  </w:style>
  <w:style w:type="character" w:customStyle="1" w:styleId="odst">
    <w:name w:val="odst"/>
    <w:basedOn w:val="Standardnpsmoodstavce"/>
    <w:rsid w:val="00564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Jaromír</cp:lastModifiedBy>
  <cp:revision>2</cp:revision>
  <dcterms:created xsi:type="dcterms:W3CDTF">2016-02-23T11:43:00Z</dcterms:created>
  <dcterms:modified xsi:type="dcterms:W3CDTF">2016-02-23T11:43:00Z</dcterms:modified>
</cp:coreProperties>
</file>