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9A" w:rsidRDefault="002A359A">
      <w:pPr>
        <w:pStyle w:val="Tlotextu"/>
        <w:ind w:left="707"/>
      </w:pPr>
    </w:p>
    <w:p w:rsidR="002A359A" w:rsidRPr="009F660D" w:rsidRDefault="002C719D">
      <w:pPr>
        <w:pStyle w:val="Tlotextu"/>
        <w:rPr>
          <w:b/>
        </w:rPr>
      </w:pPr>
      <w:r w:rsidRPr="009F660D">
        <w:rPr>
          <w:b/>
        </w:rPr>
        <w:t xml:space="preserve">Státnicové otázky </w:t>
      </w:r>
      <w:r w:rsidR="009F660D">
        <w:rPr>
          <w:b/>
        </w:rPr>
        <w:t xml:space="preserve">– Mezinárodní a evropské právo – Navazující veřejná správa </w:t>
      </w:r>
      <w:bookmarkStart w:id="0" w:name="_GoBack"/>
      <w:bookmarkEnd w:id="0"/>
      <w:r w:rsidRPr="009F660D">
        <w:rPr>
          <w:b/>
        </w:rPr>
        <w:t xml:space="preserve">(NV 15) </w:t>
      </w:r>
    </w:p>
    <w:p w:rsidR="002A359A" w:rsidRDefault="002C719D" w:rsidP="009F660D">
      <w:pPr>
        <w:spacing w:after="120"/>
      </w:pPr>
      <w:r>
        <w:t>1. Pojem mezinárodního práva, jeho specifika oproti právu vnitrostátnímu</w:t>
      </w:r>
    </w:p>
    <w:p w:rsidR="002A359A" w:rsidRDefault="002C719D" w:rsidP="009F660D">
      <w:pPr>
        <w:spacing w:after="120"/>
      </w:pPr>
      <w:r>
        <w:t>2. Prameny mezinárodního práva, pojem a třídění mezinárodních smluv jako jednoho z pramenů</w:t>
      </w:r>
    </w:p>
    <w:p w:rsidR="002A359A" w:rsidRDefault="002C719D" w:rsidP="009F660D">
      <w:pPr>
        <w:spacing w:after="120"/>
      </w:pPr>
      <w:r>
        <w:t>3. Proces vzniku dvoustranné mezinárodní smlouvy od kontaktních jednání až po vstup v platnost - podrobně jednotlivá stadia</w:t>
      </w:r>
    </w:p>
    <w:p w:rsidR="002A359A" w:rsidRDefault="002C719D" w:rsidP="009F660D">
      <w:pPr>
        <w:spacing w:after="120"/>
      </w:pPr>
      <w:r>
        <w:t>4. Proces vzniku mnohostranné mezinárodní smlouvy až po vstup v platnost - podrobně jednotlivá stadia, vstup v platnost objektivní a subjektivní</w:t>
      </w:r>
    </w:p>
    <w:p w:rsidR="002A359A" w:rsidRDefault="002C719D" w:rsidP="009F660D">
      <w:pPr>
        <w:spacing w:after="120"/>
      </w:pPr>
      <w:r>
        <w:t>5. Subjekty mezinárodního práva, stát jako subjekt, jeho pojmové znaky</w:t>
      </w:r>
    </w:p>
    <w:p w:rsidR="002A359A" w:rsidRDefault="002C719D" w:rsidP="009F660D">
      <w:pPr>
        <w:spacing w:after="120"/>
      </w:pPr>
      <w:r>
        <w:t>6. Pojem nadstátnosti EU - podstata, projevy, vztah k suverenitě členských států</w:t>
      </w:r>
    </w:p>
    <w:p w:rsidR="002A359A" w:rsidRDefault="002C719D" w:rsidP="009F660D">
      <w:pPr>
        <w:spacing w:after="120"/>
      </w:pPr>
      <w:r>
        <w:t>7. Pravomoci EU - typy, stanovení, rozšiřování, principy subsidiarity a proporcionality</w:t>
      </w:r>
    </w:p>
    <w:p w:rsidR="002A359A" w:rsidRDefault="002C719D" w:rsidP="009F660D">
      <w:pPr>
        <w:spacing w:after="120"/>
      </w:pPr>
      <w:r>
        <w:t>8. Institucionální struktura EU - soustava orgánů, vzájemné vazby mezi nimi</w:t>
      </w:r>
    </w:p>
    <w:p w:rsidR="002A359A" w:rsidRDefault="002C719D" w:rsidP="009F660D">
      <w:pPr>
        <w:spacing w:after="120"/>
      </w:pPr>
      <w:r>
        <w:t>9. Soudní dvůr EU - pravomoci, typy řízení, příslušnost jeho jednotlivých složek</w:t>
      </w:r>
    </w:p>
    <w:p w:rsidR="002A359A" w:rsidRDefault="002C719D" w:rsidP="009F660D">
      <w:pPr>
        <w:spacing w:after="120"/>
      </w:pPr>
      <w:r>
        <w:t>10. Právo EU - charakteristika, prameny, úprava jednotná a harmonizovaná, legislativní a nelegislativní akty</w:t>
      </w:r>
    </w:p>
    <w:p w:rsidR="002A359A" w:rsidRDefault="002C719D" w:rsidP="009F660D">
      <w:pPr>
        <w:spacing w:after="120"/>
      </w:pPr>
      <w:r>
        <w:t>11. Porovnání běžné mezivládní organizace a nadstátní organizace (EU) - podstatné rozdíly</w:t>
      </w:r>
    </w:p>
    <w:p w:rsidR="002A359A" w:rsidRDefault="002C719D" w:rsidP="009F660D">
      <w:pPr>
        <w:spacing w:after="120"/>
      </w:pPr>
      <w:r>
        <w:t>12.  Aplikace práva EU v členských státech - přednost</w:t>
      </w:r>
    </w:p>
    <w:p w:rsidR="002A359A" w:rsidRDefault="002C719D" w:rsidP="009F660D">
      <w:pPr>
        <w:spacing w:after="120"/>
      </w:pPr>
      <w:r>
        <w:t>13.  Aplikace práva EU v členských státech - přímý účinek, nepřímý účinek směrnic</w:t>
      </w:r>
    </w:p>
    <w:p w:rsidR="002A359A" w:rsidRDefault="002C719D" w:rsidP="009F660D">
      <w:pPr>
        <w:spacing w:after="120"/>
      </w:pPr>
      <w:r>
        <w:t>14. Odpovědnost členského státu EU za porušení práva EU - obecně (vůči EU) a odpovědnost za škodu vůči jednotlivci (Francovich)</w:t>
      </w:r>
    </w:p>
    <w:p w:rsidR="002A359A" w:rsidRDefault="002C719D" w:rsidP="009F660D">
      <w:pPr>
        <w:spacing w:after="120"/>
      </w:pPr>
      <w:r>
        <w:t>15. Zajišťování jednotného výkladu práva EU v členských státech - řízení o předběžné otázce</w:t>
      </w:r>
    </w:p>
    <w:p w:rsidR="002A359A" w:rsidRDefault="002C719D" w:rsidP="009F660D">
      <w:pPr>
        <w:spacing w:after="120"/>
      </w:pPr>
      <w:r>
        <w:t>16. Působení Soudního dvora EU jakožto ústavního nebo správního soudu</w:t>
      </w:r>
    </w:p>
    <w:p w:rsidR="002A359A" w:rsidRDefault="002C719D" w:rsidP="009F660D">
      <w:pPr>
        <w:spacing w:after="120"/>
      </w:pPr>
      <w:r>
        <w:t>17. Ochrana lidských práv v právu EU</w:t>
      </w:r>
    </w:p>
    <w:p w:rsidR="002A359A" w:rsidRDefault="002C719D" w:rsidP="009F660D">
      <w:pPr>
        <w:spacing w:after="120"/>
      </w:pPr>
      <w:r>
        <w:t>18. Vynucování práva EU vůči členským státům a vůči jednotlivcům</w:t>
      </w:r>
    </w:p>
    <w:p w:rsidR="002A359A" w:rsidRDefault="002C719D" w:rsidP="009F660D">
      <w:pPr>
        <w:spacing w:after="120"/>
      </w:pPr>
      <w:r>
        <w:t>19. Řízení před Soudním dvorem EU, generální advokáti, formy rozhodnutí (rozsudky a stanoviska)</w:t>
      </w:r>
    </w:p>
    <w:p w:rsidR="002A359A" w:rsidRDefault="002C719D" w:rsidP="009F660D">
      <w:pPr>
        <w:spacing w:after="120"/>
      </w:pPr>
      <w:r>
        <w:t>20. Pojem společného trhu a jednotného vnitřního trhu EU</w:t>
      </w:r>
    </w:p>
    <w:p w:rsidR="002A359A" w:rsidRDefault="002C719D" w:rsidP="009F660D">
      <w:pPr>
        <w:spacing w:after="120"/>
      </w:pPr>
      <w:r>
        <w:t>21. Vývoj evropské integrace a jeho mezníky z hlediska integračních organizací a jejich povahy (EHS, ESVO, Euratom, ES, EU)</w:t>
      </w:r>
    </w:p>
    <w:p w:rsidR="002C719D" w:rsidRDefault="002C719D" w:rsidP="009F660D">
      <w:pPr>
        <w:spacing w:after="120"/>
      </w:pPr>
      <w:r>
        <w:t>22. Volný pohyb osob jako ekonomická svoboda EU</w:t>
      </w:r>
    </w:p>
    <w:p w:rsidR="002A359A" w:rsidRDefault="002C719D" w:rsidP="009F660D">
      <w:pPr>
        <w:spacing w:after="120"/>
      </w:pPr>
      <w:r>
        <w:t>23. Prostor svobody, bezpečnosti a práva v EU</w:t>
      </w:r>
    </w:p>
    <w:p w:rsidR="002A359A" w:rsidRDefault="002C719D" w:rsidP="009F660D">
      <w:pPr>
        <w:spacing w:after="120"/>
      </w:pPr>
      <w:r>
        <w:t>24. EU jako celní unie, společná obchodní politika</w:t>
      </w:r>
    </w:p>
    <w:p w:rsidR="002A359A" w:rsidRDefault="002C719D" w:rsidP="009F660D">
      <w:pPr>
        <w:spacing w:after="120"/>
      </w:pPr>
      <w:r>
        <w:t>25. Harmonizace daní v EU</w:t>
      </w:r>
    </w:p>
    <w:p w:rsidR="002A359A" w:rsidRDefault="002C719D" w:rsidP="009F660D">
      <w:pPr>
        <w:spacing w:after="120"/>
      </w:pPr>
      <w:r>
        <w:t>26. Volný pohyb zboží na vnitřním trhu EU, dovolená omezení</w:t>
      </w:r>
    </w:p>
    <w:p w:rsidR="002A359A" w:rsidRDefault="002C719D" w:rsidP="009F660D">
      <w:pPr>
        <w:spacing w:after="120"/>
      </w:pPr>
      <w:r>
        <w:t>27. Lisabonská smlouva - hlavní vývojové změny, které přinesla</w:t>
      </w:r>
    </w:p>
    <w:p w:rsidR="002C719D" w:rsidRDefault="002C719D" w:rsidP="009F660D">
      <w:pPr>
        <w:spacing w:after="120"/>
      </w:pPr>
      <w:r>
        <w:t>28. Volný pohyb služeb na vnitřním trhu EU</w:t>
      </w:r>
    </w:p>
    <w:p w:rsidR="002A359A" w:rsidRDefault="002A359A"/>
    <w:p w:rsidR="002A359A" w:rsidRDefault="002A359A"/>
    <w:sectPr w:rsidR="002A359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4DE"/>
    <w:multiLevelType w:val="multilevel"/>
    <w:tmpl w:val="6B1467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6B34E2"/>
    <w:multiLevelType w:val="multilevel"/>
    <w:tmpl w:val="F2A8C6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9A"/>
    <w:rsid w:val="002A359A"/>
    <w:rsid w:val="002C719D"/>
    <w:rsid w:val="009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Týč</dc:creator>
  <cp:lastModifiedBy>Vladimír Týč</cp:lastModifiedBy>
  <cp:revision>3</cp:revision>
  <dcterms:created xsi:type="dcterms:W3CDTF">2016-01-27T11:26:00Z</dcterms:created>
  <dcterms:modified xsi:type="dcterms:W3CDTF">2016-02-29T14:04:00Z</dcterms:modified>
  <dc:language>cs-CZ</dc:language>
</cp:coreProperties>
</file>