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04" w:rsidRPr="00F22FA7" w:rsidRDefault="006F25AA" w:rsidP="00F22FA7">
      <w:pPr>
        <w:jc w:val="center"/>
        <w:rPr>
          <w:sz w:val="40"/>
          <w:szCs w:val="40"/>
        </w:rPr>
      </w:pPr>
      <w:r w:rsidRPr="00F22FA7">
        <w:rPr>
          <w:sz w:val="40"/>
          <w:szCs w:val="40"/>
        </w:rPr>
        <w:t>EL DERECHO DE LA UNIÓN EUROPEA</w:t>
      </w:r>
    </w:p>
    <w:p w:rsidR="006F25AA" w:rsidRDefault="006F25AA">
      <w:pPr>
        <w:rPr>
          <w:lang w:val="es-ES_tradnl"/>
        </w:rPr>
      </w:pPr>
    </w:p>
    <w:p w:rsidR="001B2EB4" w:rsidRDefault="00231131">
      <w:pPr>
        <w:rPr>
          <w:lang w:val="es-ES_tradnl"/>
        </w:rPr>
      </w:pPr>
      <w:r>
        <w:rPr>
          <w:lang w:val="es-ES_tradnl"/>
        </w:rPr>
        <w:t>Abogado G</w:t>
      </w:r>
      <w:r w:rsidR="001B2EB4">
        <w:rPr>
          <w:lang w:val="es-ES_tradnl"/>
        </w:rPr>
        <w:t>eneral</w:t>
      </w:r>
    </w:p>
    <w:p w:rsidR="00637A72" w:rsidRDefault="00637A72">
      <w:pPr>
        <w:rPr>
          <w:lang w:val="es-ES_tradnl"/>
        </w:rPr>
      </w:pPr>
      <w:r>
        <w:rPr>
          <w:lang w:val="es-ES_tradnl"/>
        </w:rPr>
        <w:t xml:space="preserve">afinidad política </w:t>
      </w:r>
    </w:p>
    <w:p w:rsidR="00231131" w:rsidRDefault="00231131">
      <w:pPr>
        <w:rPr>
          <w:lang w:val="es-ES_tradnl"/>
        </w:rPr>
      </w:pPr>
      <w:r>
        <w:rPr>
          <w:lang w:val="es-ES_tradnl"/>
        </w:rPr>
        <w:t>Alto Represantante para Asuntos Exteriores y Política de Seguridad</w:t>
      </w:r>
    </w:p>
    <w:p w:rsidR="001B2EB4" w:rsidRDefault="001B2EB4">
      <w:pPr>
        <w:rPr>
          <w:lang w:val="es-ES_tradnl"/>
        </w:rPr>
      </w:pPr>
      <w:r>
        <w:rPr>
          <w:lang w:val="es-ES_tradnl"/>
        </w:rPr>
        <w:t>Banco Central Europeo</w:t>
      </w:r>
    </w:p>
    <w:p w:rsidR="001B2EB4" w:rsidRDefault="001B2EB4">
      <w:pPr>
        <w:rPr>
          <w:lang w:val="es-ES_tradnl"/>
        </w:rPr>
      </w:pPr>
      <w:r>
        <w:rPr>
          <w:lang w:val="es-ES_tradnl"/>
        </w:rPr>
        <w:t>Carta de los Derechos Fundamentales de la UE</w:t>
      </w:r>
    </w:p>
    <w:p w:rsidR="00F95264" w:rsidRDefault="00F95264">
      <w:pPr>
        <w:rPr>
          <w:lang w:val="es-ES_tradnl"/>
        </w:rPr>
      </w:pPr>
      <w:r>
        <w:rPr>
          <w:lang w:val="es-ES_tradnl"/>
        </w:rPr>
        <w:t>Carta de emplazamiento/requerimiento</w:t>
      </w:r>
    </w:p>
    <w:p w:rsidR="006D7FBA" w:rsidRDefault="006D7FBA">
      <w:pPr>
        <w:rPr>
          <w:lang w:val="es-ES_tradnl"/>
        </w:rPr>
      </w:pPr>
      <w:r>
        <w:rPr>
          <w:lang w:val="es-ES_tradnl"/>
        </w:rPr>
        <w:t>comisario</w:t>
      </w:r>
    </w:p>
    <w:p w:rsidR="00F22FA7" w:rsidRDefault="00F22FA7">
      <w:pPr>
        <w:rPr>
          <w:lang w:val="es-ES_tradnl"/>
        </w:rPr>
      </w:pPr>
      <w:r>
        <w:rPr>
          <w:lang w:val="es-ES_tradnl"/>
        </w:rPr>
        <w:t>Comisión Europea</w:t>
      </w:r>
    </w:p>
    <w:p w:rsidR="000F5FEB" w:rsidRDefault="000F5FEB">
      <w:pPr>
        <w:rPr>
          <w:lang w:val="es-ES_tradnl"/>
        </w:rPr>
      </w:pPr>
      <w:r>
        <w:rPr>
          <w:lang w:val="es-ES_tradnl"/>
        </w:rPr>
        <w:t>Comité de Conciliación</w:t>
      </w:r>
    </w:p>
    <w:p w:rsidR="00EC5E0E" w:rsidRDefault="00EC5E0E">
      <w:pPr>
        <w:rPr>
          <w:lang w:val="es-ES_tradnl"/>
        </w:rPr>
      </w:pPr>
      <w:r>
        <w:rPr>
          <w:lang w:val="es-ES_tradnl"/>
        </w:rPr>
        <w:t>Comité de los Representantes Permanentes (COREPER)</w:t>
      </w:r>
    </w:p>
    <w:p w:rsidR="001B2EB4" w:rsidRDefault="001B2EB4">
      <w:pPr>
        <w:rPr>
          <w:lang w:val="es-ES_tradnl"/>
        </w:rPr>
      </w:pPr>
      <w:r>
        <w:rPr>
          <w:lang w:val="es-ES_tradnl"/>
        </w:rPr>
        <w:t>Consejo de la UE/Consejo de Ministros</w:t>
      </w:r>
    </w:p>
    <w:p w:rsidR="00F22FA7" w:rsidRDefault="00F22FA7">
      <w:pPr>
        <w:rPr>
          <w:lang w:val="es-ES_tradnl"/>
        </w:rPr>
      </w:pPr>
      <w:r>
        <w:rPr>
          <w:lang w:val="es-ES_tradnl"/>
        </w:rPr>
        <w:t>Consejo Europeo</w:t>
      </w:r>
    </w:p>
    <w:p w:rsidR="00EC3839" w:rsidRDefault="00EC3839">
      <w:pPr>
        <w:rPr>
          <w:lang w:val="es-ES_tradnl"/>
        </w:rPr>
      </w:pPr>
      <w:r>
        <w:rPr>
          <w:lang w:val="es-ES_tradnl"/>
        </w:rPr>
        <w:t>considerando</w:t>
      </w:r>
    </w:p>
    <w:p w:rsidR="006071A7" w:rsidRDefault="006071A7">
      <w:pPr>
        <w:rPr>
          <w:lang w:val="es-ES_tradnl"/>
        </w:rPr>
      </w:pPr>
      <w:r>
        <w:rPr>
          <w:lang w:val="es-ES_tradnl"/>
        </w:rPr>
        <w:t>convocar la reunión extraodinaria</w:t>
      </w:r>
    </w:p>
    <w:p w:rsidR="00BF6D06" w:rsidRDefault="00BF6D06">
      <w:pPr>
        <w:rPr>
          <w:lang w:val="es-ES_tradnl"/>
        </w:rPr>
      </w:pPr>
      <w:r>
        <w:rPr>
          <w:lang w:val="es-ES_tradnl"/>
        </w:rPr>
        <w:t>cuestor</w:t>
      </w:r>
    </w:p>
    <w:p w:rsidR="006071A7" w:rsidRDefault="006071A7">
      <w:pPr>
        <w:rPr>
          <w:lang w:val="es-ES_tradnl"/>
        </w:rPr>
      </w:pPr>
      <w:r>
        <w:rPr>
          <w:lang w:val="es-ES_tradnl"/>
        </w:rPr>
        <w:t>cumbre(s)</w:t>
      </w:r>
    </w:p>
    <w:p w:rsidR="00AB7584" w:rsidRDefault="00AB7584">
      <w:pPr>
        <w:rPr>
          <w:lang w:val="es-ES_tradnl"/>
        </w:rPr>
      </w:pPr>
      <w:r>
        <w:rPr>
          <w:lang w:val="es-ES_tradnl"/>
        </w:rPr>
        <w:t>decisión</w:t>
      </w:r>
    </w:p>
    <w:p w:rsidR="001B2EB4" w:rsidRDefault="001B2EB4">
      <w:pPr>
        <w:rPr>
          <w:lang w:val="es-ES_tradnl"/>
        </w:rPr>
      </w:pPr>
      <w:r>
        <w:rPr>
          <w:lang w:val="es-ES_tradnl"/>
        </w:rPr>
        <w:t>Defensor del Pueblo de la UE</w:t>
      </w:r>
    </w:p>
    <w:p w:rsidR="00F95264" w:rsidRDefault="00F95264">
      <w:pPr>
        <w:rPr>
          <w:lang w:val="es-ES_tradnl"/>
        </w:rPr>
      </w:pPr>
      <w:r>
        <w:rPr>
          <w:lang w:val="es-ES_tradnl"/>
        </w:rPr>
        <w:t>dictamen motivado</w:t>
      </w:r>
    </w:p>
    <w:p w:rsidR="00720A25" w:rsidRDefault="00C720FB">
      <w:pPr>
        <w:rPr>
          <w:lang w:val="es-ES_tradnl"/>
        </w:rPr>
      </w:pPr>
      <w:r>
        <w:rPr>
          <w:lang w:val="es-ES_tradnl"/>
        </w:rPr>
        <w:t>Dir</w:t>
      </w:r>
      <w:r w:rsidR="00720A25">
        <w:rPr>
          <w:lang w:val="es-ES_tradnl"/>
        </w:rPr>
        <w:t>ección General (DG)</w:t>
      </w:r>
    </w:p>
    <w:p w:rsidR="00AB7584" w:rsidRDefault="00AB7584">
      <w:pPr>
        <w:rPr>
          <w:lang w:val="es-ES_tradnl"/>
        </w:rPr>
      </w:pPr>
      <w:r>
        <w:rPr>
          <w:lang w:val="es-ES_tradnl"/>
        </w:rPr>
        <w:t>directiva</w:t>
      </w:r>
    </w:p>
    <w:p w:rsidR="00B3195A" w:rsidRDefault="00B3195A">
      <w:pPr>
        <w:rPr>
          <w:lang w:val="es-ES_tradnl"/>
        </w:rPr>
      </w:pPr>
      <w:r>
        <w:rPr>
          <w:lang w:val="es-ES_tradnl"/>
        </w:rPr>
        <w:t>diputados</w:t>
      </w:r>
    </w:p>
    <w:p w:rsidR="007E1BCD" w:rsidRDefault="007E1BCD">
      <w:pPr>
        <w:rPr>
          <w:lang w:val="es-ES_tradnl"/>
        </w:rPr>
      </w:pPr>
      <w:r>
        <w:rPr>
          <w:lang w:val="es-ES_tradnl"/>
        </w:rPr>
        <w:t>estado miembro</w:t>
      </w:r>
    </w:p>
    <w:p w:rsidR="00EC5E0E" w:rsidRDefault="00EC5E0E">
      <w:pPr>
        <w:rPr>
          <w:lang w:val="es-ES_tradnl"/>
        </w:rPr>
      </w:pPr>
      <w:r>
        <w:rPr>
          <w:lang w:val="es-ES_tradnl"/>
        </w:rPr>
        <w:t>estimar procedente</w:t>
      </w:r>
    </w:p>
    <w:p w:rsidR="00231131" w:rsidRDefault="00231131">
      <w:pPr>
        <w:rPr>
          <w:lang w:val="es-ES_tradnl"/>
        </w:rPr>
      </w:pPr>
      <w:r>
        <w:rPr>
          <w:lang w:val="es-ES_tradnl"/>
        </w:rPr>
        <w:t>Gran Sala</w:t>
      </w:r>
    </w:p>
    <w:p w:rsidR="00B3195A" w:rsidRDefault="00B3195A">
      <w:pPr>
        <w:rPr>
          <w:lang w:val="es-ES_tradnl"/>
        </w:rPr>
      </w:pPr>
      <w:r>
        <w:rPr>
          <w:lang w:val="es-ES_tradnl"/>
        </w:rPr>
        <w:t>informe anual</w:t>
      </w:r>
    </w:p>
    <w:p w:rsidR="00231131" w:rsidRDefault="00231131">
      <w:pPr>
        <w:rPr>
          <w:lang w:val="es-ES_tradnl"/>
        </w:rPr>
      </w:pPr>
      <w:r>
        <w:rPr>
          <w:lang w:val="es-ES_tradnl"/>
        </w:rPr>
        <w:t>institución legisladora</w:t>
      </w:r>
    </w:p>
    <w:p w:rsidR="007E1BCD" w:rsidRDefault="007E1BCD">
      <w:pPr>
        <w:rPr>
          <w:lang w:val="es-ES_tradnl"/>
        </w:rPr>
      </w:pPr>
      <w:r>
        <w:rPr>
          <w:lang w:val="es-ES_tradnl"/>
        </w:rPr>
        <w:t>instituciones de la UE</w:t>
      </w:r>
    </w:p>
    <w:p w:rsidR="0061342A" w:rsidRDefault="0061342A">
      <w:pPr>
        <w:rPr>
          <w:lang w:val="es-ES_tradnl"/>
        </w:rPr>
      </w:pPr>
      <w:r>
        <w:rPr>
          <w:lang w:val="es-ES_tradnl"/>
        </w:rPr>
        <w:t>libre circulación de</w:t>
      </w:r>
    </w:p>
    <w:p w:rsidR="0061342A" w:rsidRDefault="0061342A" w:rsidP="0061342A">
      <w:pPr>
        <w:pStyle w:val="Odstavecseseznamem"/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lastRenderedPageBreak/>
        <w:t>personas</w:t>
      </w:r>
    </w:p>
    <w:p w:rsidR="0061342A" w:rsidRDefault="0061342A" w:rsidP="0061342A">
      <w:pPr>
        <w:pStyle w:val="Odstavecseseznamem"/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mercancías</w:t>
      </w:r>
    </w:p>
    <w:p w:rsidR="0061342A" w:rsidRDefault="0061342A" w:rsidP="0061342A">
      <w:pPr>
        <w:pStyle w:val="Odstavecseseznamem"/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servicios</w:t>
      </w:r>
    </w:p>
    <w:p w:rsidR="0061342A" w:rsidRPr="0061342A" w:rsidRDefault="0061342A" w:rsidP="00082A8E">
      <w:pPr>
        <w:pStyle w:val="Odstavecseseznamem"/>
        <w:numPr>
          <w:ilvl w:val="0"/>
          <w:numId w:val="4"/>
        </w:numPr>
        <w:rPr>
          <w:lang w:val="es-ES_tradnl"/>
        </w:rPr>
      </w:pPr>
      <w:r w:rsidRPr="0061342A">
        <w:rPr>
          <w:lang w:val="es-ES_tradnl"/>
        </w:rPr>
        <w:t>capitales</w:t>
      </w:r>
    </w:p>
    <w:p w:rsidR="006D7FBA" w:rsidRDefault="006D7FBA">
      <w:pPr>
        <w:rPr>
          <w:lang w:val="es-ES_tradnl"/>
        </w:rPr>
      </w:pPr>
      <w:r>
        <w:rPr>
          <w:lang w:val="es-ES_tradnl"/>
        </w:rPr>
        <w:t>mandato renovable</w:t>
      </w:r>
    </w:p>
    <w:p w:rsidR="00BF6D06" w:rsidRDefault="00BF6D06">
      <w:pPr>
        <w:rPr>
          <w:lang w:val="es-ES_tradnl"/>
        </w:rPr>
      </w:pPr>
      <w:r>
        <w:rPr>
          <w:lang w:val="es-ES_tradnl"/>
        </w:rPr>
        <w:t>mesa</w:t>
      </w:r>
    </w:p>
    <w:p w:rsidR="00B3195A" w:rsidRDefault="00B3195A">
      <w:pPr>
        <w:rPr>
          <w:lang w:val="es-ES_tradnl"/>
        </w:rPr>
      </w:pPr>
      <w:r>
        <w:rPr>
          <w:lang w:val="es-ES_tradnl"/>
        </w:rPr>
        <w:t>moción de censura</w:t>
      </w:r>
    </w:p>
    <w:p w:rsidR="006D7FBA" w:rsidRDefault="006D7FBA">
      <w:pPr>
        <w:rPr>
          <w:lang w:val="es-ES_tradnl"/>
        </w:rPr>
      </w:pPr>
      <w:r>
        <w:rPr>
          <w:lang w:val="es-ES_tradnl"/>
        </w:rPr>
        <w:t>nivel intergubernamental</w:t>
      </w:r>
    </w:p>
    <w:p w:rsidR="001B2EB4" w:rsidRDefault="00F22FA7" w:rsidP="001B2EB4">
      <w:pPr>
        <w:rPr>
          <w:lang w:val="es-ES_tradnl"/>
        </w:rPr>
      </w:pPr>
      <w:r>
        <w:rPr>
          <w:lang w:val="es-ES_tradnl"/>
        </w:rPr>
        <w:t>Parlamento Europeo</w:t>
      </w:r>
    </w:p>
    <w:p w:rsidR="00335B8C" w:rsidRDefault="00335B8C" w:rsidP="001B2EB4">
      <w:pPr>
        <w:rPr>
          <w:lang w:val="es-ES_tradnl"/>
        </w:rPr>
      </w:pPr>
      <w:r>
        <w:rPr>
          <w:lang w:val="es-ES_tradnl"/>
        </w:rPr>
        <w:t>plantear la cuestión prejudicial</w:t>
      </w:r>
    </w:p>
    <w:p w:rsidR="00BF6D06" w:rsidRDefault="00BF6D06" w:rsidP="001B2EB4">
      <w:pPr>
        <w:rPr>
          <w:lang w:val="es-ES_tradnl"/>
        </w:rPr>
      </w:pPr>
      <w:r>
        <w:rPr>
          <w:lang w:val="es-ES_tradnl"/>
        </w:rPr>
        <w:t>pleno</w:t>
      </w:r>
    </w:p>
    <w:p w:rsidR="00231131" w:rsidRDefault="00231131" w:rsidP="001B2EB4">
      <w:pPr>
        <w:rPr>
          <w:lang w:val="es-ES_tradnl"/>
        </w:rPr>
      </w:pPr>
      <w:r>
        <w:rPr>
          <w:lang w:val="es-ES_tradnl"/>
        </w:rPr>
        <w:t>poderes y responsabilidades</w:t>
      </w:r>
    </w:p>
    <w:p w:rsidR="006D7FBA" w:rsidRDefault="006D7FBA" w:rsidP="001B2EB4">
      <w:pPr>
        <w:rPr>
          <w:lang w:val="es-ES_tradnl"/>
        </w:rPr>
      </w:pPr>
      <w:r>
        <w:rPr>
          <w:lang w:val="es-ES_tradnl"/>
        </w:rPr>
        <w:t>política comun</w:t>
      </w:r>
      <w:r w:rsidR="00231131">
        <w:rPr>
          <w:lang w:val="es-ES_tradnl"/>
        </w:rPr>
        <w:t>i</w:t>
      </w:r>
      <w:r>
        <w:rPr>
          <w:lang w:val="es-ES_tradnl"/>
        </w:rPr>
        <w:t>taria</w:t>
      </w:r>
    </w:p>
    <w:p w:rsidR="00231131" w:rsidRDefault="00231131" w:rsidP="001B2EB4">
      <w:pPr>
        <w:rPr>
          <w:lang w:val="es-ES_tradnl"/>
        </w:rPr>
      </w:pPr>
      <w:r>
        <w:rPr>
          <w:lang w:val="es-ES_tradnl"/>
        </w:rPr>
        <w:t>política monitaria</w:t>
      </w:r>
    </w:p>
    <w:p w:rsidR="000F5FEB" w:rsidRDefault="000F5FEB" w:rsidP="001B2EB4">
      <w:pPr>
        <w:rPr>
          <w:lang w:val="es-ES_tradnl"/>
        </w:rPr>
      </w:pPr>
      <w:r>
        <w:rPr>
          <w:lang w:val="es-ES_tradnl"/>
        </w:rPr>
        <w:t>ponente</w:t>
      </w:r>
    </w:p>
    <w:p w:rsidR="000F5FEB" w:rsidRDefault="000F5FEB" w:rsidP="001B2EB4">
      <w:pPr>
        <w:rPr>
          <w:lang w:val="es-ES_tradnl"/>
        </w:rPr>
      </w:pPr>
      <w:r>
        <w:rPr>
          <w:lang w:val="es-ES_tradnl"/>
        </w:rPr>
        <w:t>presentar enmiendas</w:t>
      </w:r>
    </w:p>
    <w:p w:rsidR="00EC3839" w:rsidRDefault="00EC3839" w:rsidP="00EC3839">
      <w:pPr>
        <w:rPr>
          <w:lang w:val="es-ES_tradnl"/>
        </w:rPr>
      </w:pPr>
      <w:r>
        <w:rPr>
          <w:lang w:val="es-ES_tradnl"/>
        </w:rPr>
        <w:t>primera/segunda/tercera lectura</w:t>
      </w:r>
    </w:p>
    <w:p w:rsidR="00113C1B" w:rsidRDefault="00113C1B" w:rsidP="001B2EB4">
      <w:pPr>
        <w:rPr>
          <w:lang w:val="es-ES_tradnl"/>
        </w:rPr>
      </w:pPr>
      <w:r>
        <w:rPr>
          <w:lang w:val="es-ES_tradnl"/>
        </w:rPr>
        <w:t>principio de subsidiariedad</w:t>
      </w:r>
    </w:p>
    <w:p w:rsidR="00BA2D67" w:rsidRDefault="00BA2D67" w:rsidP="001B2EB4">
      <w:pPr>
        <w:rPr>
          <w:lang w:val="es-ES_tradnl"/>
        </w:rPr>
      </w:pPr>
      <w:r>
        <w:rPr>
          <w:lang w:val="es-ES_tradnl"/>
        </w:rPr>
        <w:t>proponer enmiendas</w:t>
      </w:r>
    </w:p>
    <w:p w:rsidR="000F5FEB" w:rsidRDefault="000F5FEB" w:rsidP="001B2EB4">
      <w:pPr>
        <w:rPr>
          <w:lang w:val="es-ES_tradnl"/>
        </w:rPr>
      </w:pPr>
      <w:r>
        <w:rPr>
          <w:lang w:val="es-ES_tradnl"/>
        </w:rPr>
        <w:t>proyecto de informe</w:t>
      </w:r>
    </w:p>
    <w:p w:rsidR="00EC5E0E" w:rsidRDefault="00936E57" w:rsidP="001B2EB4">
      <w:pPr>
        <w:rPr>
          <w:lang w:val="es-ES_tradnl"/>
        </w:rPr>
      </w:pPr>
      <w:r>
        <w:rPr>
          <w:lang w:val="es-ES_tradnl"/>
        </w:rPr>
        <w:t xml:space="preserve">ostentar la </w:t>
      </w:r>
      <w:r w:rsidR="00EC5E0E">
        <w:rPr>
          <w:lang w:val="es-ES_tradnl"/>
        </w:rPr>
        <w:t>presidencia rotativa</w:t>
      </w:r>
      <w:r>
        <w:rPr>
          <w:lang w:val="es-ES_tradnl"/>
        </w:rPr>
        <w:t>/rotatoria</w:t>
      </w:r>
    </w:p>
    <w:p w:rsidR="006071A7" w:rsidRDefault="006071A7" w:rsidP="001B2EB4">
      <w:pPr>
        <w:rPr>
          <w:lang w:val="es-ES_tradnl"/>
        </w:rPr>
      </w:pPr>
      <w:r>
        <w:rPr>
          <w:lang w:val="es-ES_tradnl"/>
        </w:rPr>
        <w:t>presidir la reunión</w:t>
      </w:r>
    </w:p>
    <w:p w:rsidR="00AB7584" w:rsidRDefault="00AB7584" w:rsidP="001B2EB4">
      <w:pPr>
        <w:rPr>
          <w:lang w:val="es-ES_tradnl"/>
        </w:rPr>
      </w:pPr>
      <w:r>
        <w:rPr>
          <w:lang w:val="es-ES_tradnl"/>
        </w:rPr>
        <w:t>recomendación</w:t>
      </w:r>
    </w:p>
    <w:p w:rsidR="00936E57" w:rsidRDefault="00936E57" w:rsidP="001B2EB4">
      <w:pPr>
        <w:rPr>
          <w:lang w:val="es-ES_tradnl"/>
        </w:rPr>
      </w:pPr>
      <w:r>
        <w:rPr>
          <w:lang w:val="es-ES_tradnl"/>
        </w:rPr>
        <w:t>reconocer la sentencia</w:t>
      </w:r>
    </w:p>
    <w:p w:rsidR="00292B1A" w:rsidRDefault="006071A7" w:rsidP="001B2EB4">
      <w:pPr>
        <w:rPr>
          <w:lang w:val="es-ES_tradnl"/>
        </w:rPr>
      </w:pPr>
      <w:r>
        <w:rPr>
          <w:lang w:val="es-ES_tradnl"/>
        </w:rPr>
        <w:t>r</w:t>
      </w:r>
      <w:r w:rsidR="001B2EB4">
        <w:rPr>
          <w:lang w:val="es-ES_tradnl"/>
        </w:rPr>
        <w:t>ecurso</w:t>
      </w:r>
    </w:p>
    <w:p w:rsidR="001B2EB4" w:rsidRDefault="006D7FBA" w:rsidP="001B2EB4">
      <w:pPr>
        <w:pStyle w:val="Odstavecseseznamem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p</w:t>
      </w:r>
      <w:r w:rsidR="001B2EB4">
        <w:rPr>
          <w:lang w:val="es-ES_tradnl"/>
        </w:rPr>
        <w:t>or incumplimiento</w:t>
      </w:r>
    </w:p>
    <w:p w:rsidR="001B2EB4" w:rsidRDefault="006D7FBA" w:rsidP="001B2EB4">
      <w:pPr>
        <w:pStyle w:val="Odstavecseseznamem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d</w:t>
      </w:r>
      <w:r w:rsidR="001B2EB4">
        <w:rPr>
          <w:lang w:val="es-ES_tradnl"/>
        </w:rPr>
        <w:t>e anulación</w:t>
      </w:r>
    </w:p>
    <w:p w:rsidR="001B2EB4" w:rsidRDefault="001B2EB4" w:rsidP="001B2EB4">
      <w:pPr>
        <w:pStyle w:val="Odstavecseseznamem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por omisión</w:t>
      </w:r>
    </w:p>
    <w:p w:rsidR="001B2EB4" w:rsidRDefault="001B2EB4" w:rsidP="001B2EB4">
      <w:pPr>
        <w:pStyle w:val="Odstavecseseznamem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de indemnización de da</w:t>
      </w:r>
      <w:r>
        <w:rPr>
          <w:rFonts w:cstheme="minorHAnsi"/>
          <w:lang w:val="es-ES_tradnl"/>
        </w:rPr>
        <w:t>ñ</w:t>
      </w:r>
      <w:r>
        <w:rPr>
          <w:lang w:val="es-ES_tradnl"/>
        </w:rPr>
        <w:t>os</w:t>
      </w:r>
    </w:p>
    <w:p w:rsidR="001B2EB4" w:rsidRDefault="001B2EB4" w:rsidP="001B2EB4">
      <w:pPr>
        <w:pStyle w:val="Odstavecseseznamem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de casación</w:t>
      </w:r>
    </w:p>
    <w:p w:rsidR="001B2EB4" w:rsidRDefault="001B2EB4" w:rsidP="001B2EB4">
      <w:pPr>
        <w:pStyle w:val="Odstavecseseznamem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de los funcionarios</w:t>
      </w:r>
    </w:p>
    <w:p w:rsidR="001B2EB4" w:rsidRPr="00335B8C" w:rsidRDefault="00335B8C" w:rsidP="00493B72">
      <w:pPr>
        <w:pStyle w:val="Odstavecseseznamem"/>
        <w:numPr>
          <w:ilvl w:val="0"/>
          <w:numId w:val="2"/>
        </w:numPr>
        <w:rPr>
          <w:lang w:val="es-ES_tradnl"/>
        </w:rPr>
      </w:pPr>
      <w:r w:rsidRPr="00335B8C">
        <w:rPr>
          <w:lang w:val="es-ES_tradnl"/>
        </w:rPr>
        <w:t>de cuestión prejudicial</w:t>
      </w:r>
    </w:p>
    <w:p w:rsidR="00292B1A" w:rsidRDefault="00292B1A">
      <w:pPr>
        <w:rPr>
          <w:lang w:val="es-ES_tradnl"/>
        </w:rPr>
      </w:pPr>
      <w:r>
        <w:rPr>
          <w:lang w:val="es-ES_tradnl"/>
        </w:rPr>
        <w:t>reelegible</w:t>
      </w:r>
      <w:bookmarkStart w:id="0" w:name="_GoBack"/>
      <w:bookmarkEnd w:id="0"/>
    </w:p>
    <w:p w:rsidR="00EC3839" w:rsidRDefault="00EC3839">
      <w:pPr>
        <w:rPr>
          <w:lang w:val="es-ES_tradnl"/>
        </w:rPr>
      </w:pPr>
      <w:r>
        <w:rPr>
          <w:lang w:val="es-ES_tradnl"/>
        </w:rPr>
        <w:t>reglamento</w:t>
      </w:r>
    </w:p>
    <w:p w:rsidR="006D7FBA" w:rsidRDefault="006D7FBA">
      <w:pPr>
        <w:rPr>
          <w:lang w:val="es-ES_tradnl"/>
        </w:rPr>
      </w:pPr>
      <w:r>
        <w:rPr>
          <w:lang w:val="es-ES_tradnl"/>
        </w:rPr>
        <w:lastRenderedPageBreak/>
        <w:t>Secretaría General del Consejo</w:t>
      </w:r>
    </w:p>
    <w:p w:rsidR="00113C1B" w:rsidRDefault="00113C1B">
      <w:pPr>
        <w:rPr>
          <w:lang w:val="es-ES_tradnl"/>
        </w:rPr>
      </w:pPr>
      <w:r>
        <w:rPr>
          <w:lang w:val="es-ES_tradnl"/>
        </w:rPr>
        <w:t>someter al escrutinio</w:t>
      </w:r>
    </w:p>
    <w:p w:rsidR="006D7FBA" w:rsidRDefault="00113C1B">
      <w:pPr>
        <w:rPr>
          <w:lang w:val="es-ES_tradnl"/>
        </w:rPr>
      </w:pPr>
      <w:r>
        <w:rPr>
          <w:lang w:val="es-ES_tradnl"/>
        </w:rPr>
        <w:t>t</w:t>
      </w:r>
      <w:r w:rsidR="006D7FBA">
        <w:rPr>
          <w:lang w:val="es-ES_tradnl"/>
        </w:rPr>
        <w:t>ener competencia para aprobar leyes</w:t>
      </w:r>
    </w:p>
    <w:p w:rsidR="00BA2D67" w:rsidRDefault="00BA2D67">
      <w:pPr>
        <w:rPr>
          <w:lang w:val="es-ES_tradnl"/>
        </w:rPr>
      </w:pPr>
      <w:r>
        <w:rPr>
          <w:lang w:val="es-ES_tradnl"/>
        </w:rPr>
        <w:t>texto conjunto</w:t>
      </w:r>
    </w:p>
    <w:p w:rsidR="007E1BCD" w:rsidRDefault="007E1BCD">
      <w:pPr>
        <w:rPr>
          <w:lang w:val="es-ES_tradnl"/>
        </w:rPr>
      </w:pPr>
      <w:r>
        <w:rPr>
          <w:lang w:val="es-ES_tradnl"/>
        </w:rPr>
        <w:t>toma de decisiones</w:t>
      </w:r>
    </w:p>
    <w:p w:rsidR="006071A7" w:rsidRDefault="006071A7">
      <w:pPr>
        <w:rPr>
          <w:lang w:val="es-ES_tradnl"/>
        </w:rPr>
      </w:pPr>
      <w:r>
        <w:rPr>
          <w:lang w:val="es-ES_tradnl"/>
        </w:rPr>
        <w:t>tomar decisiones por</w:t>
      </w:r>
    </w:p>
    <w:p w:rsidR="00936E57" w:rsidRDefault="00936E57" w:rsidP="002150F8">
      <w:pPr>
        <w:pStyle w:val="Odstavecseseznamem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doble mayoría</w:t>
      </w:r>
    </w:p>
    <w:p w:rsidR="00B3195A" w:rsidRDefault="00B3195A" w:rsidP="002150F8">
      <w:pPr>
        <w:pStyle w:val="Odstavecseseznamem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mayoría absoluta</w:t>
      </w:r>
    </w:p>
    <w:p w:rsidR="006071A7" w:rsidRDefault="006071A7" w:rsidP="002150F8">
      <w:pPr>
        <w:pStyle w:val="Odstavecseseznamem"/>
        <w:numPr>
          <w:ilvl w:val="0"/>
          <w:numId w:val="3"/>
        </w:numPr>
        <w:rPr>
          <w:lang w:val="es-ES_tradnl"/>
        </w:rPr>
      </w:pPr>
      <w:r w:rsidRPr="002150F8">
        <w:rPr>
          <w:lang w:val="es-ES_tradnl"/>
        </w:rPr>
        <w:t>mayoría cualificada</w:t>
      </w:r>
    </w:p>
    <w:p w:rsidR="00EC5E0E" w:rsidRPr="002150F8" w:rsidRDefault="00EC5E0E" w:rsidP="002150F8">
      <w:pPr>
        <w:pStyle w:val="Odstavecseseznamem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mayoría simple</w:t>
      </w:r>
    </w:p>
    <w:p w:rsidR="006071A7" w:rsidRPr="002150F8" w:rsidRDefault="006071A7" w:rsidP="002150F8">
      <w:pPr>
        <w:pStyle w:val="Odstavecseseznamem"/>
        <w:numPr>
          <w:ilvl w:val="0"/>
          <w:numId w:val="3"/>
        </w:numPr>
        <w:rPr>
          <w:lang w:val="es-ES_tradnl"/>
        </w:rPr>
      </w:pPr>
      <w:r w:rsidRPr="002150F8">
        <w:rPr>
          <w:lang w:val="es-ES_tradnl"/>
        </w:rPr>
        <w:t>consenso</w:t>
      </w:r>
    </w:p>
    <w:p w:rsidR="006071A7" w:rsidRPr="002150F8" w:rsidRDefault="006071A7" w:rsidP="002150F8">
      <w:pPr>
        <w:pStyle w:val="Odstavecseseznamem"/>
        <w:numPr>
          <w:ilvl w:val="0"/>
          <w:numId w:val="3"/>
        </w:numPr>
        <w:rPr>
          <w:lang w:val="es-ES_tradnl"/>
        </w:rPr>
      </w:pPr>
      <w:r w:rsidRPr="002150F8">
        <w:rPr>
          <w:lang w:val="es-ES_tradnl"/>
        </w:rPr>
        <w:t>unanimidad</w:t>
      </w:r>
    </w:p>
    <w:p w:rsidR="007E1BCD" w:rsidRDefault="007E1BCD">
      <w:pPr>
        <w:rPr>
          <w:lang w:val="es-ES_tradnl"/>
        </w:rPr>
      </w:pPr>
      <w:r>
        <w:rPr>
          <w:lang w:val="es-ES_tradnl"/>
        </w:rPr>
        <w:t>transferir parte de soberanía</w:t>
      </w:r>
    </w:p>
    <w:p w:rsidR="001B2EB4" w:rsidRDefault="001B2EB4">
      <w:pPr>
        <w:rPr>
          <w:lang w:val="es-ES_tradnl"/>
        </w:rPr>
      </w:pPr>
      <w:r>
        <w:rPr>
          <w:lang w:val="es-ES_tradnl"/>
        </w:rPr>
        <w:t>Tratado de la UE</w:t>
      </w:r>
    </w:p>
    <w:p w:rsidR="007E1BCD" w:rsidRDefault="00F22FA7">
      <w:pPr>
        <w:rPr>
          <w:lang w:val="es-ES_tradnl"/>
        </w:rPr>
      </w:pPr>
      <w:r>
        <w:rPr>
          <w:lang w:val="es-ES_tradnl"/>
        </w:rPr>
        <w:t>Tribunal de Cuentas</w:t>
      </w:r>
      <w:r w:rsidR="00864F46">
        <w:rPr>
          <w:lang w:val="es-ES_tradnl"/>
        </w:rPr>
        <w:t xml:space="preserve"> Europeo</w:t>
      </w:r>
    </w:p>
    <w:p w:rsidR="000F537A" w:rsidRDefault="000F537A">
      <w:pPr>
        <w:rPr>
          <w:lang w:val="es-ES_tradnl"/>
        </w:rPr>
      </w:pPr>
      <w:r>
        <w:rPr>
          <w:lang w:val="es-ES_tradnl"/>
        </w:rPr>
        <w:t>Tribunal General</w:t>
      </w:r>
    </w:p>
    <w:p w:rsidR="00F22FA7" w:rsidRDefault="00F22FA7">
      <w:pPr>
        <w:rPr>
          <w:lang w:val="es-ES_tradnl"/>
        </w:rPr>
      </w:pPr>
      <w:r>
        <w:rPr>
          <w:lang w:val="es-ES_tradnl"/>
        </w:rPr>
        <w:t>Tribunal de Justicia</w:t>
      </w:r>
      <w:r w:rsidR="001B2EB4">
        <w:rPr>
          <w:lang w:val="es-ES_tradnl"/>
        </w:rPr>
        <w:t xml:space="preserve"> de la UE</w:t>
      </w:r>
    </w:p>
    <w:p w:rsidR="00637A72" w:rsidRDefault="00637A72">
      <w:pPr>
        <w:rPr>
          <w:lang w:val="es-ES_tradnl"/>
        </w:rPr>
      </w:pPr>
      <w:r>
        <w:rPr>
          <w:lang w:val="es-ES_tradnl"/>
        </w:rPr>
        <w:t>dar el visto bueno</w:t>
      </w:r>
    </w:p>
    <w:p w:rsidR="006071A7" w:rsidRDefault="006071A7">
      <w:pPr>
        <w:rPr>
          <w:lang w:val="es-ES_tradnl"/>
        </w:rPr>
      </w:pPr>
    </w:p>
    <w:p w:rsidR="001B2EB4" w:rsidRPr="006F25AA" w:rsidRDefault="001B2EB4">
      <w:pPr>
        <w:rPr>
          <w:lang w:val="es-ES_tradnl"/>
        </w:rPr>
      </w:pPr>
    </w:p>
    <w:sectPr w:rsidR="001B2EB4" w:rsidRPr="006F2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76E2"/>
    <w:multiLevelType w:val="hybridMultilevel"/>
    <w:tmpl w:val="F7924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A12EB"/>
    <w:multiLevelType w:val="hybridMultilevel"/>
    <w:tmpl w:val="E242B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B3A18"/>
    <w:multiLevelType w:val="hybridMultilevel"/>
    <w:tmpl w:val="CB46E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F775D"/>
    <w:multiLevelType w:val="hybridMultilevel"/>
    <w:tmpl w:val="E9DE9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6C"/>
    <w:rsid w:val="00004295"/>
    <w:rsid w:val="000A7D04"/>
    <w:rsid w:val="000F537A"/>
    <w:rsid w:val="000F5FEB"/>
    <w:rsid w:val="00113C1B"/>
    <w:rsid w:val="001B2EB4"/>
    <w:rsid w:val="002150F8"/>
    <w:rsid w:val="00231131"/>
    <w:rsid w:val="00292B1A"/>
    <w:rsid w:val="00335B8C"/>
    <w:rsid w:val="006071A7"/>
    <w:rsid w:val="0061342A"/>
    <w:rsid w:val="00637A72"/>
    <w:rsid w:val="006D7FBA"/>
    <w:rsid w:val="006F25AA"/>
    <w:rsid w:val="00720A25"/>
    <w:rsid w:val="0074666C"/>
    <w:rsid w:val="007637E5"/>
    <w:rsid w:val="007E1BCD"/>
    <w:rsid w:val="00864F46"/>
    <w:rsid w:val="00936E57"/>
    <w:rsid w:val="009A6A9B"/>
    <w:rsid w:val="00AB7584"/>
    <w:rsid w:val="00B3195A"/>
    <w:rsid w:val="00BA2D67"/>
    <w:rsid w:val="00BF6D06"/>
    <w:rsid w:val="00C720FB"/>
    <w:rsid w:val="00E62A41"/>
    <w:rsid w:val="00EC3839"/>
    <w:rsid w:val="00EC5E0E"/>
    <w:rsid w:val="00F22FA7"/>
    <w:rsid w:val="00F9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1F8D"/>
  <w15:chartTrackingRefBased/>
  <w15:docId w15:val="{DBABB980-317C-41E7-AEFC-610CFF37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2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KVOP</dc:creator>
  <cp:keywords/>
  <dc:description/>
  <cp:lastModifiedBy>KVOP</cp:lastModifiedBy>
  <cp:revision>16</cp:revision>
  <dcterms:created xsi:type="dcterms:W3CDTF">2017-06-06T17:41:00Z</dcterms:created>
  <dcterms:modified xsi:type="dcterms:W3CDTF">2017-06-08T22:33:00Z</dcterms:modified>
</cp:coreProperties>
</file>