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rPr>
          <w:b/>
          <w:b/>
          <w:bCs/>
          <w:color w:val="222222"/>
          <w:lang w:val="cs-CZ"/>
        </w:rPr>
      </w:pPr>
      <w:r>
        <w:rPr>
          <w:b/>
          <w:bCs/>
          <w:color w:val="222222"/>
          <w:lang w:val="cs-CZ"/>
        </w:rPr>
      </w:r>
    </w:p>
    <w:p>
      <w:pPr>
        <w:pStyle w:val="Normal"/>
        <w:widowControl/>
        <w:jc w:val="right"/>
        <w:rPr>
          <w:lang w:val="cs-CZ"/>
        </w:rPr>
      </w:pPr>
      <w:r>
        <w:rPr>
          <w:b/>
          <w:bCs/>
          <w:color w:val="222222"/>
          <w:sz w:val="72"/>
          <w:szCs w:val="72"/>
          <w:lang w:val="cs-CZ"/>
        </w:rPr>
        <w:t>Občanské právo III – cvičení</w:t>
      </w:r>
    </w:p>
    <w:p>
      <w:pPr>
        <w:pStyle w:val="Normal"/>
        <w:widowControl/>
        <w:jc w:val="right"/>
        <w:rPr>
          <w:lang w:val="cs-CZ"/>
        </w:rPr>
      </w:pPr>
      <w:r>
        <w:rPr>
          <w:b/>
          <w:bCs/>
          <w:color w:val="222222"/>
          <w:sz w:val="120"/>
          <w:szCs w:val="120"/>
          <w:lang w:val="cs-CZ"/>
        </w:rPr>
        <w:t>Dědické právo I</w:t>
      </w:r>
    </w:p>
    <w:p>
      <w:pPr>
        <w:pStyle w:val="Normal"/>
        <w:widowControl/>
        <w:jc w:val="right"/>
        <w:rPr>
          <w:lang w:val="cs-CZ"/>
        </w:rPr>
      </w:pPr>
      <w:r>
        <w:rPr>
          <w:b/>
          <w:bCs/>
          <w:color w:val="222222"/>
          <w:sz w:val="32"/>
          <w:szCs w:val="32"/>
          <w:lang w:val="cs-CZ"/>
        </w:rPr>
        <w:t>(seminář č. 1)</w:t>
      </w:r>
    </w:p>
    <w:p>
      <w:pPr>
        <w:pStyle w:val="Normal"/>
        <w:widowControl/>
        <w:pBdr>
          <w:bottom w:val="single" w:sz="2" w:space="2" w:color="000001"/>
        </w:pBdr>
        <w:rPr>
          <w:lang w:val="cs-CZ"/>
        </w:rPr>
      </w:pPr>
      <w:r>
        <w:rPr>
          <w:lang w:val="cs-CZ"/>
        </w:rPr>
      </w:r>
    </w:p>
    <w:p>
      <w:pPr>
        <w:pStyle w:val="Normal"/>
        <w:widowControl/>
        <w:jc w:val="both"/>
        <w:rPr>
          <w:lang w:val="cs-CZ"/>
        </w:rPr>
      </w:pPr>
      <w:r>
        <w:rPr>
          <w:lang w:val="cs-CZ"/>
        </w:rPr>
      </w:r>
    </w:p>
    <w:p>
      <w:pPr>
        <w:pStyle w:val="Normal"/>
        <w:widowControl/>
        <w:jc w:val="both"/>
        <w:rPr>
          <w:b/>
          <w:b/>
          <w:i/>
          <w:i/>
          <w:lang w:val="cs-CZ"/>
        </w:rPr>
      </w:pPr>
      <w:r>
        <w:rPr>
          <w:b/>
          <w:i/>
          <w:lang w:val="cs-CZ"/>
        </w:rPr>
        <w:t>Příprava na seminář:</w:t>
      </w:r>
    </w:p>
    <w:p>
      <w:pPr>
        <w:pStyle w:val="Normal"/>
        <w:widowControl/>
        <w:jc w:val="both"/>
        <w:rPr>
          <w:lang w:val="cs-CZ"/>
        </w:rPr>
      </w:pPr>
      <w:r>
        <w:rPr>
          <w:lang w:val="cs-CZ"/>
        </w:rPr>
        <w:t>- nastudování § 1475 až 1720 NOZ</w:t>
      </w:r>
    </w:p>
    <w:p>
      <w:pPr>
        <w:pStyle w:val="Normal"/>
        <w:widowControl/>
        <w:jc w:val="both"/>
        <w:rPr>
          <w:lang w:val="cs-CZ"/>
        </w:rPr>
      </w:pPr>
      <w:r>
        <w:rPr>
          <w:lang w:val="cs-CZ"/>
        </w:rPr>
        <w:t>- vypracování příkladů (odevzdání se nevyžaduje)</w:t>
      </w:r>
    </w:p>
    <w:p>
      <w:pPr>
        <w:pStyle w:val="Normal"/>
        <w:widowControl/>
        <w:pBdr>
          <w:bottom w:val="single" w:sz="6" w:space="1" w:color="00000A"/>
        </w:pBdr>
        <w:jc w:val="both"/>
        <w:rPr>
          <w:lang w:val="cs-CZ"/>
        </w:rPr>
      </w:pPr>
      <w:r>
        <w:rPr>
          <w:lang w:val="cs-CZ"/>
        </w:rPr>
      </w:r>
    </w:p>
    <w:p>
      <w:pPr>
        <w:pStyle w:val="Normal"/>
        <w:widowControl/>
        <w:jc w:val="both"/>
        <w:rPr>
          <w:lang w:val="cs-CZ"/>
        </w:rPr>
      </w:pPr>
      <w:r>
        <w:rPr>
          <w:lang w:val="cs-CZ"/>
        </w:rPr>
      </w:r>
    </w:p>
    <w:p>
      <w:pPr>
        <w:pStyle w:val="Normal"/>
        <w:widowControl/>
        <w:jc w:val="both"/>
        <w:rPr/>
      </w:pPr>
      <w:r>
        <w:rPr>
          <w:b w:val="false"/>
          <w:bCs w:val="false"/>
          <w:color w:val="222222"/>
          <w:lang w:val="cs-CZ"/>
        </w:rPr>
        <w:t>1) Otec Ratmír sepsal závěť, ve které povolal jako dědice k celé pozůstalosti v hodnotě okolo 10.000.000 Kč pouze jednoho ze dvou bratrů – Davida, nepravomocně odsouzeného za korupci. Následně média informovala o tom, že druhý z bratrů – Michal, s vyděděním nesouhlasí.</w:t>
      </w:r>
    </w:p>
    <w:p>
      <w:pPr>
        <w:pStyle w:val="Normal"/>
        <w:widowControl/>
        <w:rPr>
          <w:b/>
          <w:b/>
          <w:bCs/>
        </w:rPr>
      </w:pPr>
      <w:r>
        <w:rPr>
          <w:b/>
          <w:bCs/>
          <w:iCs/>
          <w:color w:val="222222"/>
          <w:lang w:val="cs-CZ"/>
        </w:rPr>
        <w:t>- Mohl zůstavitel vydědit nepominutelného dědice pouze tím, že jako dědice k celé pozůstalosti povolal druhého z bratrů?</w:t>
      </w:r>
      <w:r>
        <w:rPr>
          <w:b/>
          <w:bCs/>
          <w:iCs/>
          <w:lang w:val="cs-CZ"/>
        </w:rPr>
        <w:br/>
      </w:r>
      <w:r>
        <w:rPr>
          <w:b/>
          <w:bCs/>
          <w:iCs/>
          <w:color w:val="222222"/>
          <w:lang w:val="cs-CZ"/>
        </w:rPr>
        <w:t>- Mohl by David po otci dědit, kdyby byl za korupci odsouzen pravomocně?</w:t>
      </w:r>
    </w:p>
    <w:p>
      <w:pPr>
        <w:pStyle w:val="Normal"/>
        <w:widowControl/>
        <w:pBdr>
          <w:bottom w:val="single" w:sz="2" w:space="2" w:color="000001"/>
        </w:pBdr>
        <w:rPr>
          <w:lang w:val="cs-CZ"/>
        </w:rPr>
      </w:pPr>
      <w:r>
        <w:rPr>
          <w:lang w:val="cs-CZ"/>
        </w:rPr>
      </w:r>
    </w:p>
    <w:p>
      <w:pPr>
        <w:pStyle w:val="Normal"/>
        <w:widowControl/>
        <w:rPr>
          <w:lang w:val="cs-CZ"/>
        </w:rPr>
      </w:pPr>
      <w:r>
        <w:rPr>
          <w:lang w:val="cs-CZ"/>
        </w:rPr>
      </w:r>
    </w:p>
    <w:p>
      <w:pPr>
        <w:pStyle w:val="Normal"/>
        <w:widowControl/>
        <w:jc w:val="both"/>
        <w:rPr>
          <w:b w:val="false"/>
          <w:b w:val="false"/>
          <w:bCs w:val="false"/>
        </w:rPr>
      </w:pPr>
      <w:r>
        <w:rPr>
          <w:b w:val="false"/>
          <w:bCs w:val="false"/>
          <w:lang w:val="cs-CZ"/>
        </w:rPr>
        <w:t>2) Rodiče zůstavitele byli zbaveni rodičovské odpovědnosti, neboť její výkon zneužívali (otec) a zanedbávali (matka). Zůstavitel na ně přesto myslel při svém pořízení pro případ smrti, když otce povolal jako dědice ke knížce od Jeana-Jacquese Rousseaua - Emil čili o vychování, a matku ke knížce o vaření.</w:t>
      </w:r>
    </w:p>
    <w:p>
      <w:pPr>
        <w:pStyle w:val="Normal"/>
        <w:widowControl/>
        <w:rPr>
          <w:b/>
          <w:b/>
          <w:bCs/>
        </w:rPr>
      </w:pPr>
      <w:r>
        <w:rPr>
          <w:b/>
          <w:bCs/>
          <w:iCs/>
          <w:lang w:val="cs-CZ"/>
        </w:rPr>
        <w:t>- Mohou rodiče po svém synovi dědit?</w:t>
      </w:r>
    </w:p>
    <w:p>
      <w:pPr>
        <w:pStyle w:val="Normal"/>
        <w:widowControl/>
        <w:pBdr>
          <w:bottom w:val="single" w:sz="2" w:space="2" w:color="000001"/>
        </w:pBdr>
        <w:rPr>
          <w:lang w:val="cs-CZ"/>
        </w:rPr>
      </w:pPr>
      <w:r>
        <w:rPr>
          <w:lang w:val="cs-CZ"/>
        </w:rPr>
      </w:r>
    </w:p>
    <w:p>
      <w:pPr>
        <w:pStyle w:val="Normal"/>
        <w:widowControl/>
        <w:rPr>
          <w:lang w:val="cs-CZ"/>
        </w:rPr>
      </w:pPr>
      <w:r>
        <w:rPr>
          <w:lang w:val="cs-CZ"/>
        </w:rPr>
      </w:r>
    </w:p>
    <w:p>
      <w:pPr>
        <w:pStyle w:val="Normal"/>
        <w:widowControl/>
        <w:jc w:val="both"/>
        <w:rPr>
          <w:b w:val="false"/>
          <w:b w:val="false"/>
          <w:bCs w:val="false"/>
        </w:rPr>
      </w:pPr>
      <w:r>
        <w:rPr>
          <w:b w:val="false"/>
          <w:bCs w:val="false"/>
          <w:lang w:val="cs-CZ"/>
        </w:rPr>
        <w:t>3) Pár hodin před svou smrtí usedl pan Josef k počítací, sepsal závěť, vytisknul ji na tiskárně a nedatovanou podepsal.</w:t>
      </w:r>
    </w:p>
    <w:p>
      <w:pPr>
        <w:pStyle w:val="Normal"/>
        <w:widowControl/>
        <w:rPr>
          <w:lang w:val="cs-CZ"/>
        </w:rPr>
      </w:pPr>
      <w:r>
        <w:rPr>
          <w:b/>
          <w:bCs/>
          <w:iCs/>
          <w:lang w:val="cs-CZ"/>
        </w:rPr>
        <w:t>- Je závěť platná?</w:t>
      </w:r>
    </w:p>
    <w:p>
      <w:pPr>
        <w:pStyle w:val="Normal"/>
        <w:widowControl/>
        <w:rPr>
          <w:b/>
          <w:b/>
          <w:bCs/>
        </w:rPr>
      </w:pPr>
      <w:r>
        <w:rPr>
          <w:b/>
          <w:bCs/>
          <w:iCs/>
          <w:lang w:val="cs-CZ"/>
        </w:rPr>
        <w:t>- Jaký význam má skutečnost, že závěť nebyla datována? Posuďte v režimu starého i nového OZ.</w:t>
      </w:r>
    </w:p>
    <w:p>
      <w:pPr>
        <w:pStyle w:val="Normal"/>
        <w:widowControl/>
        <w:pBdr>
          <w:bottom w:val="single" w:sz="2" w:space="2" w:color="000001"/>
        </w:pBdr>
        <w:rPr>
          <w:lang w:val="cs-CZ"/>
        </w:rPr>
      </w:pPr>
      <w:r>
        <w:rPr>
          <w:lang w:val="cs-CZ"/>
        </w:rPr>
      </w:r>
    </w:p>
    <w:p>
      <w:pPr>
        <w:pStyle w:val="Normal"/>
        <w:widowControl/>
        <w:rPr>
          <w:lang w:val="cs-CZ"/>
        </w:rPr>
      </w:pPr>
      <w:r>
        <w:rPr>
          <w:lang w:val="cs-CZ"/>
        </w:rPr>
      </w:r>
    </w:p>
    <w:p>
      <w:pPr>
        <w:pStyle w:val="Normal"/>
        <w:widowControl/>
        <w:jc w:val="both"/>
        <w:rPr>
          <w:b w:val="false"/>
          <w:b w:val="false"/>
          <w:bCs w:val="false"/>
        </w:rPr>
      </w:pPr>
      <w:r>
        <w:rPr>
          <w:b w:val="false"/>
          <w:bCs w:val="false"/>
          <w:lang w:val="cs-CZ"/>
        </w:rPr>
        <w:t>4) Paní Marie pořídila závěť ve formě notářského zápisu, kterou povolala za dědice k celé pozůstalosti svého prvního syna Jana, a nechala si ji uložit do notářské úschovy. Po čase vyjmula tuto závěť z úschovy a pořídila klasickou holografní závěť, ve které povolala za dědice k celé pozůstalosti svého druhého syna Michala. Po její smrti se našly obě závěti, a vyvstala otázka.</w:t>
      </w:r>
    </w:p>
    <w:p>
      <w:pPr>
        <w:pStyle w:val="Normal"/>
        <w:widowControl/>
        <w:rPr>
          <w:lang w:val="cs-CZ"/>
        </w:rPr>
      </w:pPr>
      <w:r>
        <w:rPr>
          <w:b/>
          <w:bCs/>
          <w:iCs/>
          <w:lang w:val="cs-CZ"/>
        </w:rPr>
        <w:t>- Kdo bude dědit?</w:t>
      </w:r>
    </w:p>
    <w:p>
      <w:pPr>
        <w:pStyle w:val="Normal"/>
        <w:widowControl/>
        <w:pBdr>
          <w:bottom w:val="single" w:sz="2" w:space="2" w:color="000001"/>
        </w:pBdr>
        <w:rPr>
          <w:lang w:val="cs-CZ"/>
        </w:rPr>
      </w:pPr>
      <w:r>
        <w:rPr>
          <w:lang w:val="cs-CZ"/>
        </w:rPr>
      </w:r>
    </w:p>
    <w:p>
      <w:pPr>
        <w:pStyle w:val="Normal"/>
        <w:widowControl/>
        <w:rPr>
          <w:lang w:val="cs-CZ"/>
        </w:rPr>
      </w:pPr>
      <w:r>
        <w:rPr>
          <w:lang w:val="cs-CZ"/>
        </w:rPr>
      </w:r>
    </w:p>
    <w:p>
      <w:pPr>
        <w:pStyle w:val="Normal"/>
        <w:widowControl/>
        <w:jc w:val="both"/>
        <w:rPr>
          <w:b w:val="false"/>
          <w:b w:val="false"/>
          <w:bCs w:val="false"/>
        </w:rPr>
      </w:pPr>
      <w:r>
        <w:rPr>
          <w:b w:val="false"/>
          <w:bCs w:val="false"/>
          <w:lang w:val="cs-CZ"/>
        </w:rPr>
        <w:t>5) Zůstavitel pořídil závěť, ve které povolal dědice pouze k polovině pozůstalosti.</w:t>
      </w:r>
    </w:p>
    <w:p>
      <w:pPr>
        <w:pStyle w:val="Normal"/>
        <w:widowControl/>
        <w:rPr>
          <w:lang w:val="cs-CZ"/>
        </w:rPr>
      </w:pPr>
      <w:r>
        <w:rPr>
          <w:b/>
          <w:bCs/>
          <w:iCs/>
          <w:lang w:val="cs-CZ"/>
        </w:rPr>
        <w:t>- Jedná se o platnou závěť? Pokud ano, tak komu připadne zbytek pozůstalosti?</w:t>
      </w:r>
    </w:p>
    <w:p>
      <w:pPr>
        <w:pStyle w:val="Normal"/>
        <w:widowControl/>
        <w:pBdr>
          <w:bottom w:val="single" w:sz="2" w:space="2" w:color="000001"/>
        </w:pBdr>
        <w:rPr>
          <w:lang w:val="cs-CZ"/>
        </w:rPr>
      </w:pPr>
      <w:r>
        <w:rPr>
          <w:lang w:val="cs-CZ"/>
        </w:rPr>
      </w:r>
    </w:p>
    <w:p>
      <w:pPr>
        <w:pStyle w:val="Normal"/>
        <w:widowControl/>
        <w:rPr>
          <w:lang w:val="cs-CZ"/>
        </w:rPr>
      </w:pPr>
      <w:r>
        <w:rPr>
          <w:lang w:val="cs-CZ"/>
        </w:rPr>
      </w:r>
    </w:p>
    <w:p>
      <w:pPr>
        <w:pStyle w:val="Normal"/>
        <w:widowControl/>
        <w:jc w:val="both"/>
        <w:rPr>
          <w:b w:val="false"/>
          <w:b w:val="false"/>
          <w:bCs w:val="false"/>
        </w:rPr>
      </w:pPr>
      <w:r>
        <w:rPr>
          <w:b w:val="false"/>
          <w:bCs w:val="false"/>
          <w:lang w:val="cs-CZ"/>
        </w:rPr>
        <w:t>6) Zůstavitel pořídil závěť, do které zařadil i prohlášení o vydědění svého syna. Toto své vydědění nijak neodůvodnil. Vyděděný syn namítá, že k platnému vydědění může dojít pouze z určitého (zákonem stanoveného) důvodu, a jestliže zůstavitel tento důvod neuvedl, je vydědění neplatné.</w:t>
      </w:r>
    </w:p>
    <w:p>
      <w:pPr>
        <w:pStyle w:val="Normal"/>
        <w:widowControl/>
        <w:rPr/>
      </w:pPr>
      <w:r>
        <w:rPr>
          <w:b/>
          <w:bCs/>
          <w:iCs/>
          <w:lang w:val="cs-CZ"/>
        </w:rPr>
        <w:t>- Jedná se o platné vydědění?</w:t>
      </w:r>
    </w:p>
    <w:p>
      <w:pPr>
        <w:pStyle w:val="Normal"/>
        <w:widowControl/>
        <w:pBdr>
          <w:bottom w:val="single" w:sz="2" w:space="2" w:color="000001"/>
        </w:pBdr>
        <w:rPr>
          <w:i/>
          <w:i/>
          <w:iCs/>
          <w:lang w:val="cs-CZ"/>
        </w:rPr>
      </w:pPr>
      <w:r>
        <w:rPr>
          <w:i/>
          <w:iCs/>
          <w:lang w:val="cs-CZ"/>
        </w:rPr>
      </w:r>
    </w:p>
    <w:p>
      <w:pPr>
        <w:pStyle w:val="Normal"/>
        <w:widowControl/>
        <w:rPr>
          <w:lang w:val="cs-CZ"/>
        </w:rPr>
      </w:pPr>
      <w:r>
        <w:rPr>
          <w:lang w:val="cs-CZ"/>
        </w:rPr>
      </w:r>
    </w:p>
    <w:p>
      <w:pPr>
        <w:pStyle w:val="Normal"/>
        <w:widowControl/>
        <w:jc w:val="both"/>
        <w:rPr/>
      </w:pPr>
      <w:r>
        <w:rPr>
          <w:b w:val="false"/>
          <w:bCs w:val="false"/>
          <w:lang w:val="cs-CZ"/>
        </w:rPr>
        <w:t>7) Otec Stanislav se rozhodl pořídit závěť. Protože trpěl revmatoidní artritidou, nadiktoval závěť svému staršímu synu Liborovi (18 let), který ji napsal svojí rukou, a otec následně tuto závěť podepsal. Jako svědek podepsal závěť Libor společně s Jaromírem (14 let), který byl mladším z obou synů, a soupisu závěti byl celou dobu přítomen. V závěti zůstavitel rozdělil celou pozůstalost mezi Libora a Jaromíra rovným dílem.</w:t>
      </w:r>
    </w:p>
    <w:p>
      <w:pPr>
        <w:pStyle w:val="Normal"/>
        <w:widowControl/>
        <w:rPr>
          <w:lang w:val="cs-CZ"/>
        </w:rPr>
      </w:pPr>
      <w:r>
        <w:rPr>
          <w:b/>
          <w:bCs/>
          <w:iCs/>
          <w:lang w:val="cs-CZ"/>
        </w:rPr>
        <w:t>- Je závěť platná?</w:t>
      </w:r>
    </w:p>
    <w:p>
      <w:pPr>
        <w:pStyle w:val="Normal"/>
        <w:widowControl/>
        <w:pBdr>
          <w:bottom w:val="single" w:sz="6" w:space="1" w:color="00000A"/>
        </w:pBdr>
        <w:rPr>
          <w:lang w:val="cs-CZ"/>
        </w:rPr>
      </w:pPr>
      <w:r>
        <w:rPr>
          <w:lang w:val="cs-CZ"/>
        </w:rPr>
      </w:r>
    </w:p>
    <w:p>
      <w:pPr>
        <w:pStyle w:val="Normal"/>
        <w:widowControl/>
        <w:rPr>
          <w:lang w:val="cs-CZ"/>
        </w:rPr>
      </w:pPr>
      <w:r>
        <w:rPr>
          <w:lang w:val="cs-CZ"/>
        </w:rPr>
      </w:r>
    </w:p>
    <w:p>
      <w:pPr>
        <w:pStyle w:val="Normal"/>
        <w:widowControl/>
        <w:jc w:val="both"/>
        <w:rPr>
          <w:b w:val="false"/>
          <w:b w:val="false"/>
          <w:bCs w:val="false"/>
        </w:rPr>
      </w:pPr>
      <w:r>
        <w:rPr>
          <w:b w:val="false"/>
          <w:bCs w:val="false"/>
          <w:lang w:val="cs-CZ"/>
        </w:rPr>
        <w:t>8) Zůstavitel předemřel oba své rodiče i manželku. Jiné příbuzné neměl. Ve své závěti pouze uvedl, že jeho manželka po něm nebude dědit ničeho.</w:t>
      </w:r>
    </w:p>
    <w:p>
      <w:pPr>
        <w:pStyle w:val="Normal"/>
        <w:widowControl/>
        <w:rPr>
          <w:b/>
          <w:b/>
          <w:bCs/>
          <w:lang w:val="cs-CZ"/>
        </w:rPr>
      </w:pPr>
      <w:r>
        <w:rPr>
          <w:b/>
          <w:bCs/>
          <w:iCs/>
          <w:lang w:val="cs-CZ"/>
        </w:rPr>
        <w:t>- Posuďte platnost takové závěti a určete, jakým dílem budou pozůstalí dědit.</w:t>
      </w:r>
    </w:p>
    <w:p>
      <w:pPr>
        <w:pStyle w:val="Normal"/>
        <w:widowControl/>
        <w:pBdr>
          <w:bottom w:val="single" w:sz="2" w:space="2" w:color="000001"/>
        </w:pBdr>
        <w:rPr/>
      </w:pPr>
      <w:r>
        <w:rPr/>
      </w:r>
    </w:p>
    <w:p>
      <w:pPr>
        <w:pStyle w:val="Normal"/>
        <w:widowControl/>
        <w:rPr>
          <w:b w:val="false"/>
          <w:b w:val="false"/>
          <w:bCs w:val="false"/>
        </w:rPr>
      </w:pPr>
      <w:r>
        <w:rPr>
          <w:b w:val="false"/>
          <w:bCs w:val="false"/>
        </w:rPr>
      </w:r>
    </w:p>
    <w:p>
      <w:pPr>
        <w:pStyle w:val="Normal"/>
        <w:widowControl/>
        <w:jc w:val="both"/>
        <w:rPr>
          <w:b w:val="false"/>
          <w:b w:val="false"/>
          <w:bCs w:val="false"/>
        </w:rPr>
      </w:pPr>
      <w:r>
        <w:rPr>
          <w:b w:val="false"/>
          <w:bCs w:val="false"/>
          <w:lang w:val="cs-CZ"/>
        </w:rPr>
        <w:t>9) V rámci pozůstalostního řízení po zemřelé Marii T. před notářem jako soudním komisařem namítl syn zůstavitelky, že jeho bratr František T. odmítl dědictví, neboť již za života zůstavitelky prohlašoval, že dědit odmítá, a i při pohřbu se v tomto smyslu vyjadřoval v kruhu rodinném.</w:t>
      </w:r>
    </w:p>
    <w:p>
      <w:pPr>
        <w:pStyle w:val="Normal"/>
        <w:widowControl/>
        <w:rPr>
          <w:lang w:val="cs-CZ"/>
        </w:rPr>
      </w:pPr>
      <w:bookmarkStart w:id="0" w:name="_GoBack"/>
      <w:bookmarkEnd w:id="0"/>
      <w:r>
        <w:rPr>
          <w:b/>
          <w:bCs/>
          <w:iCs/>
          <w:lang w:val="cs-CZ"/>
        </w:rPr>
        <w:t xml:space="preserve">- Došlo k platnému odmítnutí dědictví? </w:t>
      </w:r>
    </w:p>
    <w:p>
      <w:pPr>
        <w:pStyle w:val="Normal"/>
        <w:widowControl/>
        <w:pBdr>
          <w:bottom w:val="single" w:sz="2" w:space="2" w:color="000001"/>
        </w:pBdr>
        <w:rPr>
          <w:lang w:val="cs-CZ"/>
        </w:rPr>
      </w:pPr>
      <w:r>
        <w:rPr>
          <w:lang w:val="cs-CZ"/>
        </w:rPr>
      </w:r>
    </w:p>
    <w:p>
      <w:pPr>
        <w:pStyle w:val="Normal"/>
        <w:widowControl/>
        <w:rPr>
          <w:lang w:val="cs-CZ"/>
        </w:rPr>
      </w:pPr>
      <w:r>
        <w:rPr>
          <w:lang w:val="cs-CZ"/>
        </w:rPr>
      </w:r>
    </w:p>
    <w:p>
      <w:pPr>
        <w:pStyle w:val="Normal"/>
        <w:widowControl/>
        <w:rPr>
          <w:lang w:val="cs-CZ"/>
        </w:rPr>
      </w:pPr>
      <w:r>
        <w:rPr>
          <w:b/>
          <w:lang w:val="cs-CZ"/>
        </w:rPr>
        <w:t>Pouze k zamyšlení (neodpovídejte):</w:t>
      </w:r>
    </w:p>
    <w:p>
      <w:pPr>
        <w:pStyle w:val="Normal"/>
        <w:widowControl/>
        <w:rPr>
          <w:iCs/>
          <w:lang w:val="cs-CZ"/>
        </w:rPr>
      </w:pPr>
      <w:r>
        <w:rPr>
          <w:iCs/>
          <w:lang w:val="cs-CZ"/>
        </w:rPr>
        <w:t>- Kdy se dědí po člověku, který se stal nezvěstným?</w:t>
      </w:r>
    </w:p>
    <w:p>
      <w:pPr>
        <w:pStyle w:val="Normal"/>
        <w:widowControl/>
        <w:rPr>
          <w:iCs/>
          <w:lang w:val="cs-CZ"/>
        </w:rPr>
      </w:pPr>
      <w:r>
        <w:rPr>
          <w:iCs/>
          <w:lang w:val="cs-CZ"/>
        </w:rPr>
        <w:t>- Jak se řeší situace, kdy se z ničeho nic objeví člověk, který již byl prohlášen za mrtvého?</w:t>
      </w:r>
    </w:p>
    <w:p>
      <w:pPr>
        <w:pStyle w:val="Normal"/>
        <w:widowContro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defaultTabStop w:val="70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en-US" w:eastAsia="en-US" w:bidi="en-US"/>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val="false"/>
      <w:suppressAutoHyphens w:val="true"/>
      <w:bidi w:val="0"/>
      <w:jc w:val="left"/>
    </w:pPr>
    <w:rPr>
      <w:rFonts w:ascii="Times New Roman" w:hAnsi="Times New Roman" w:eastAsia="Andale Sans UI" w:cs="Tahoma"/>
      <w:color w:val="00000A"/>
      <w:sz w:val="24"/>
      <w:szCs w:val="24"/>
      <w:lang w:val="en-US" w:eastAsia="en-US" w:bidi="en-US"/>
    </w:rPr>
  </w:style>
  <w:style w:type="character" w:styleId="DefaultParagraphFont" w:default="1">
    <w:name w:val="Default Paragraph Font"/>
    <w:uiPriority w:val="1"/>
    <w:semiHidden/>
    <w:unhideWhenUsed/>
    <w:qFormat/>
    <w:rPr/>
  </w:style>
  <w:style w:type="character" w:styleId="Internetovodkaz" w:customStyle="1">
    <w:name w:val="Internetový odkaz"/>
    <w:rPr>
      <w:color w:val="000080"/>
      <w:u w:val="single"/>
    </w:rPr>
  </w:style>
  <w:style w:type="paragraph" w:styleId="Nadpis" w:customStyle="1">
    <w:name w:val="Nadpis"/>
    <w:basedOn w:val="Normal"/>
    <w:next w:val="Tlotextu"/>
    <w:qFormat/>
    <w:pPr>
      <w:keepNext/>
      <w:spacing w:before="240" w:after="120"/>
    </w:pPr>
    <w:rPr>
      <w:rFonts w:ascii="Arial" w:hAnsi="Arial"/>
      <w:sz w:val="28"/>
      <w:szCs w:val="28"/>
    </w:rPr>
  </w:style>
  <w:style w:type="paragraph" w:styleId="Tlotextu" w:customStyle="1">
    <w:name w:val="Tělo textu"/>
    <w:basedOn w:val="Normal"/>
    <w:pPr>
      <w:spacing w:before="0" w:after="120"/>
    </w:pPr>
    <w:rPr/>
  </w:style>
  <w:style w:type="paragraph" w:styleId="Seznam">
    <w:name w:val="Seznam"/>
    <w:basedOn w:val="Tlotextu"/>
    <w:pPr/>
    <w:rPr/>
  </w:style>
  <w:style w:type="paragraph" w:styleId="Popisek" w:customStyle="1">
    <w:name w:val="Popisek"/>
    <w:basedOn w:val="Normal"/>
    <w:pPr>
      <w:suppressLineNumbers/>
      <w:spacing w:before="120" w:after="120"/>
    </w:pPr>
    <w:rPr>
      <w:i/>
      <w:iCs/>
    </w:rPr>
  </w:style>
  <w:style w:type="paragraph" w:styleId="Rejstk" w:customStyle="1">
    <w:name w:val="Rejstřík"/>
    <w:basedOn w:val="Normal"/>
    <w:qFormat/>
    <w:pPr>
      <w:suppressLineNumbers/>
    </w:pPr>
    <w:rPr/>
  </w:style>
  <w:style w:type="paragraph" w:styleId="ListParagraph">
    <w:name w:val="List Paragraph"/>
    <w:basedOn w:val="Normal"/>
    <w:uiPriority w:val="34"/>
    <w:qFormat/>
    <w:rsid w:val="00291410"/>
    <w:pPr>
      <w:spacing w:before="0" w:after="0"/>
      <w:ind w:left="720" w:hanging="0"/>
      <w:contextualSpacing/>
    </w:pPr>
    <w:rPr/>
  </w:style>
  <w:style w:type="numbering" w:styleId="NoList" w:default="1">
    <w:name w:val="No List"/>
    <w:uiPriority w:val="99"/>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9180</TotalTime>
  <Application>LibreOffice/4.4.1.2$Windows_x86 LibreOffice_project/45e2de17089c24a1fa810c8f975a7171ba4cd432</Application>
  <Paragraphs>28</Paragraphs>
  <Company>PrF MU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2017-02-03T15:19:00Z</dcterms:created>
  <dc:creator>Matěj Dobeš</dc:creator>
  <dc:language>cs-CZ</dc:language>
  <dcterms:modified xsi:type="dcterms:W3CDTF">2017-02-21T00:10:43Z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PrF MU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