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DejaVuSerif-Italic" w:hAnsi="DejaVuSerif-Italic" w:cs="DejaVuSerif-Italic"/>
          <w:i/>
          <w:iCs/>
          <w:sz w:val="17"/>
          <w:szCs w:val="17"/>
        </w:rPr>
      </w:pPr>
      <w:r>
        <w:rPr>
          <w:rFonts w:ascii="DejaVuSerif-Bold" w:hAnsi="DejaVuSerif-Bold" w:cs="DejaVuSerif-Bold"/>
          <w:b/>
          <w:bCs/>
          <w:sz w:val="30"/>
          <w:szCs w:val="30"/>
        </w:rPr>
        <w:t>MP605Z: Zápočtový test - TPH I jaro 201</w:t>
      </w:r>
      <w:r w:rsidR="00BA768D">
        <w:rPr>
          <w:rFonts w:ascii="DejaVuSerif-Bold" w:hAnsi="DejaVuSerif-Bold" w:cs="DejaVuSerif-Bold"/>
          <w:b/>
          <w:bCs/>
          <w:sz w:val="30"/>
          <w:szCs w:val="30"/>
        </w:rPr>
        <w:t>7 – vzorový zápočtový test</w:t>
      </w:r>
      <w:bookmarkStart w:id="0" w:name="_GoBack"/>
      <w:bookmarkEnd w:id="0"/>
    </w:p>
    <w:p w:rsid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DejaVuSerif-Italic" w:hAnsi="DejaVuSerif-Italic" w:cs="DejaVuSerif-Italic"/>
          <w:i/>
          <w:iCs/>
          <w:sz w:val="17"/>
          <w:szCs w:val="17"/>
        </w:rPr>
      </w:pPr>
    </w:p>
    <w:p w:rsid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DejaVuSerif-Bold" w:hAnsi="DejaVuSerif-Bold" w:cs="DejaVuSerif-Bold"/>
          <w:b/>
          <w:bCs/>
          <w:sz w:val="19"/>
          <w:szCs w:val="19"/>
        </w:rPr>
      </w:pP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i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672C4">
        <w:rPr>
          <w:rFonts w:ascii="Times New Roman" w:eastAsia="DejaVuSerif" w:hAnsi="Times New Roman" w:cs="Times New Roman"/>
          <w:i/>
          <w:sz w:val="28"/>
          <w:szCs w:val="28"/>
        </w:rPr>
        <w:t>Mezi okolnosti vylučující protiprávnost činu řadíme: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vyloučení z promlčení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B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výkon práva a plnění povinnosti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amnestii a milost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C4" w:rsidRPr="003672C4" w:rsidRDefault="003672C4" w:rsidP="003672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672C4">
        <w:rPr>
          <w:rFonts w:ascii="Times New Roman" w:eastAsia="DejaVuSerif" w:hAnsi="Times New Roman" w:cs="Times New Roman"/>
          <w:i/>
          <w:sz w:val="28"/>
          <w:szCs w:val="28"/>
        </w:rPr>
        <w:t>Nájemný vrah chce zavraždit kontroverzního podnikatele tím, že pod jeho vozidlo nainstaluje výbušninu, která exploduje deset minut od zažehnutí motoru. Ví, že jeho oběť neumí řídit a vždy se nechává vozit svým řidičem. O řidiče nájemnému vrahovi vůbec nejde, přestože ví, že výbušnina je takové síly, že bezpečně usmrtí jak spolujezdce (kontroverzního podnikatele), tak řidiče. Tak se také stane. Ve vztahu k řidiči jedná nájemný vrah: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v nedbalosti vědomé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B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v úmyslu nepřímém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v úmyslu přímém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C4" w:rsidRPr="003672C4" w:rsidRDefault="003672C4" w:rsidP="003672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DejaVuSerif" w:hAnsi="Times New Roman" w:cs="Times New Roman"/>
          <w:i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672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672C4">
        <w:rPr>
          <w:rFonts w:ascii="Times New Roman" w:eastAsia="DejaVuSerif" w:hAnsi="Times New Roman" w:cs="Times New Roman"/>
          <w:i/>
          <w:sz w:val="28"/>
          <w:szCs w:val="28"/>
        </w:rPr>
        <w:t>Pro skutečný souběh platí: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 xml:space="preserve">dělí se na </w:t>
      </w:r>
      <w:proofErr w:type="spellStart"/>
      <w:r w:rsidRPr="003672C4">
        <w:rPr>
          <w:rFonts w:ascii="Times New Roman" w:eastAsia="DejaVuSerif" w:hAnsi="Times New Roman" w:cs="Times New Roman"/>
          <w:sz w:val="28"/>
          <w:szCs w:val="28"/>
        </w:rPr>
        <w:t>vícerodý</w:t>
      </w:r>
      <w:proofErr w:type="spellEnd"/>
      <w:r w:rsidRPr="003672C4">
        <w:rPr>
          <w:rFonts w:ascii="Times New Roman" w:eastAsia="DejaVuSerif" w:hAnsi="Times New Roman" w:cs="Times New Roman"/>
          <w:sz w:val="28"/>
          <w:szCs w:val="28"/>
        </w:rPr>
        <w:t xml:space="preserve"> a </w:t>
      </w:r>
      <w:proofErr w:type="spellStart"/>
      <w:r w:rsidRPr="003672C4">
        <w:rPr>
          <w:rFonts w:ascii="Times New Roman" w:eastAsia="DejaVuSerif" w:hAnsi="Times New Roman" w:cs="Times New Roman"/>
          <w:sz w:val="28"/>
          <w:szCs w:val="28"/>
        </w:rPr>
        <w:t>stejnočinný</w:t>
      </w:r>
      <w:proofErr w:type="spellEnd"/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B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souběh přichází v úvahu též v situaci, kdy je posuzován</w:t>
      </w:r>
      <w:r>
        <w:rPr>
          <w:rFonts w:ascii="Times New Roman" w:eastAsia="DejaVuSerif" w:hAnsi="Times New Roman" w:cs="Times New Roman"/>
          <w:sz w:val="28"/>
          <w:szCs w:val="28"/>
        </w:rPr>
        <w:t xml:space="preserve">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čin soudně trestný a další čin obecně beztrestný v případě,</w:t>
      </w:r>
      <w:r>
        <w:rPr>
          <w:rFonts w:ascii="Times New Roman" w:eastAsia="DejaVuSerif" w:hAnsi="Times New Roman" w:cs="Times New Roman"/>
          <w:sz w:val="28"/>
          <w:szCs w:val="28"/>
        </w:rPr>
        <w:t xml:space="preserve">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kdyby se tento stal činem soudně trestným dodatečně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konkurence trestných činů a přestupků reálně možná sice</w:t>
      </w:r>
      <w:r>
        <w:rPr>
          <w:rFonts w:ascii="Times New Roman" w:eastAsia="DejaVuSerif" w:hAnsi="Times New Roman" w:cs="Times New Roman"/>
          <w:sz w:val="28"/>
          <w:szCs w:val="28"/>
        </w:rPr>
        <w:t xml:space="preserve">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bude, ale bez právního významu co do viny a trestu, který</w:t>
      </w:r>
      <w:r>
        <w:rPr>
          <w:rFonts w:ascii="Times New Roman" w:eastAsia="DejaVuSerif" w:hAnsi="Times New Roman" w:cs="Times New Roman"/>
          <w:sz w:val="28"/>
          <w:szCs w:val="28"/>
        </w:rPr>
        <w:t xml:space="preserve">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jinak souběh v trestním právu má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C4" w:rsidRPr="003672C4" w:rsidRDefault="003672C4" w:rsidP="003672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DejaVuSerif" w:hAnsi="Times New Roman" w:cs="Times New Roman"/>
          <w:i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672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672C4">
        <w:rPr>
          <w:rFonts w:ascii="Times New Roman" w:eastAsia="DejaVuSerif" w:hAnsi="Times New Roman" w:cs="Times New Roman"/>
          <w:i/>
          <w:sz w:val="28"/>
          <w:szCs w:val="28"/>
        </w:rPr>
        <w:t>Naplnění představ pachatele o důsledcích své trestné činnosti</w:t>
      </w:r>
      <w:r>
        <w:rPr>
          <w:rFonts w:ascii="Times New Roman" w:eastAsia="DejaVuSerif" w:hAnsi="Times New Roman" w:cs="Times New Roman"/>
          <w:i/>
          <w:sz w:val="28"/>
          <w:szCs w:val="28"/>
        </w:rPr>
        <w:t xml:space="preserve"> </w:t>
      </w:r>
      <w:r w:rsidRPr="003672C4">
        <w:rPr>
          <w:rFonts w:ascii="Times New Roman" w:eastAsia="DejaVuSerif" w:hAnsi="Times New Roman" w:cs="Times New Roman"/>
          <w:i/>
          <w:sz w:val="28"/>
          <w:szCs w:val="28"/>
        </w:rPr>
        <w:t>se nazývá: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účinek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B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následek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výsledek</w:t>
      </w:r>
    </w:p>
    <w:p w:rsidR="003672C4" w:rsidRPr="003672C4" w:rsidRDefault="003672C4" w:rsidP="003672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672C4" w:rsidRPr="003672C4" w:rsidRDefault="003672C4" w:rsidP="003672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DejaVuSerif" w:hAnsi="Times New Roman" w:cs="Times New Roman"/>
          <w:i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3672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672C4">
        <w:rPr>
          <w:rFonts w:ascii="Times New Roman" w:eastAsia="DejaVuSerif" w:hAnsi="Times New Roman" w:cs="Times New Roman"/>
          <w:i/>
          <w:sz w:val="28"/>
          <w:szCs w:val="28"/>
        </w:rPr>
        <w:t>Zásadou subsidiarity trestní represe se musí (resp. měl/a/by) řídit: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oběť trestného činu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B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zákonodárce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pachatel trestného činu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C4" w:rsidRPr="003672C4" w:rsidRDefault="003672C4" w:rsidP="003672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DejaVuSerif" w:hAnsi="Times New Roman" w:cs="Times New Roman"/>
          <w:i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672C4">
        <w:rPr>
          <w:rFonts w:ascii="Times New Roman" w:eastAsia="DejaVuSerif" w:hAnsi="Times New Roman" w:cs="Times New Roman"/>
          <w:i/>
          <w:sz w:val="28"/>
          <w:szCs w:val="28"/>
        </w:rPr>
        <w:t xml:space="preserve">Pan Mika H. jede s panem Ferdinandem A. jako jeho spolujezdec. Na křižovatce pan Mika v důsledku svého špatného odhadu pobídne pana Ferdinanda, aby jel, slovy „zprava dobrý, to stíháš“. Pan Ferdinand A. se spolehl na tento pokyn a pokračoval přes křižovatku, kde se srazil se zprava </w:t>
      </w:r>
      <w:r w:rsidRPr="003672C4">
        <w:rPr>
          <w:rFonts w:ascii="Times New Roman" w:eastAsia="DejaVuSerif" w:hAnsi="Times New Roman" w:cs="Times New Roman"/>
          <w:i/>
          <w:sz w:val="28"/>
          <w:szCs w:val="28"/>
        </w:rPr>
        <w:lastRenderedPageBreak/>
        <w:t>jedoucím vozidlem, jemuž mělo vozidlo pana Ferdinanda dát přednost. V důsledku nehody byla třem osobám z druhého vozidla způsobena újma na zdraví. Pan Mika: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bude trestně odpovědný jako samostatný pachatel trestného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eastAsia="DejaVuSerif" w:hAnsi="Times New Roman" w:cs="Times New Roman"/>
          <w:sz w:val="28"/>
          <w:szCs w:val="28"/>
        </w:rPr>
        <w:t>činu ublížení na zdraví z nedbalosti (§ 148)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B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bude trestně odpovědný jako návodce k trestnému činu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eastAsia="DejaVuSerif" w:hAnsi="Times New Roman" w:cs="Times New Roman"/>
          <w:sz w:val="28"/>
          <w:szCs w:val="28"/>
        </w:rPr>
        <w:t>ublížení na zdraví z nedbalosti (§ 148)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nebude trestně odpovědný, neboť byl pouhým spolujezdcem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eastAsia="DejaVuSerif" w:hAnsi="Times New Roman" w:cs="Times New Roman"/>
          <w:sz w:val="28"/>
          <w:szCs w:val="28"/>
        </w:rPr>
        <w:t>a odpovědnost za dopravní nehodu vždycky nese řidič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C4" w:rsidRPr="003672C4" w:rsidRDefault="003672C4" w:rsidP="003672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672C4">
        <w:rPr>
          <w:rFonts w:ascii="Times New Roman" w:eastAsia="DejaVuSerif" w:hAnsi="Times New Roman" w:cs="Times New Roman"/>
          <w:i/>
          <w:sz w:val="28"/>
          <w:szCs w:val="28"/>
        </w:rPr>
        <w:t>Čin beztrestný: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proofErr w:type="gramStart"/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je</w:t>
      </w:r>
      <w:proofErr w:type="gramEnd"/>
      <w:r w:rsidRPr="003672C4">
        <w:rPr>
          <w:rFonts w:ascii="Times New Roman" w:eastAsia="DejaVuSerif" w:hAnsi="Times New Roman" w:cs="Times New Roman"/>
          <w:sz w:val="28"/>
          <w:szCs w:val="28"/>
        </w:rPr>
        <w:t xml:space="preserve"> např. zničení cizí věci v hodně 5.000,- Kč, k </w:t>
      </w:r>
      <w:proofErr w:type="gramStart"/>
      <w:r w:rsidRPr="003672C4">
        <w:rPr>
          <w:rFonts w:ascii="Times New Roman" w:eastAsia="DejaVuSerif" w:hAnsi="Times New Roman" w:cs="Times New Roman"/>
          <w:sz w:val="28"/>
          <w:szCs w:val="28"/>
        </w:rPr>
        <w:t>jejímuž</w:t>
      </w:r>
      <w:proofErr w:type="gramEnd"/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eastAsia="DejaVuSerif" w:hAnsi="Times New Roman" w:cs="Times New Roman"/>
          <w:sz w:val="28"/>
          <w:szCs w:val="28"/>
        </w:rPr>
        <w:t>zničení dal poškozený ex post souhlas, mohl-li toto dodatečné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eastAsia="DejaVuSerif" w:hAnsi="Times New Roman" w:cs="Times New Roman"/>
          <w:sz w:val="28"/>
          <w:szCs w:val="28"/>
        </w:rPr>
        <w:t>udělení souhlasu pachatel důvodně očekávat (§ 30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eastAsia="DejaVuSerif" w:hAnsi="Times New Roman" w:cs="Times New Roman"/>
          <w:sz w:val="28"/>
          <w:szCs w:val="28"/>
        </w:rPr>
        <w:t>odst. 2 TZ)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B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je např. vražda, spáchá-li ji dítě mladší 15 let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může být i čin protiprávní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C4" w:rsidRPr="003672C4" w:rsidRDefault="003672C4" w:rsidP="003672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DejaVuSerif" w:hAnsi="Times New Roman" w:cs="Times New Roman"/>
          <w:i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672C4">
        <w:rPr>
          <w:rFonts w:ascii="Times New Roman" w:eastAsia="DejaVuSerif" w:hAnsi="Times New Roman" w:cs="Times New Roman"/>
          <w:i/>
          <w:sz w:val="28"/>
          <w:szCs w:val="28"/>
        </w:rPr>
        <w:t>Společenskou škodlivost nelze: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využívat jako interpretační korektiv, a to pro rozpor se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72C4">
        <w:rPr>
          <w:rFonts w:ascii="Times New Roman" w:eastAsia="DejaVuSerif" w:hAnsi="Times New Roman" w:cs="Times New Roman"/>
          <w:sz w:val="28"/>
          <w:szCs w:val="28"/>
        </w:rPr>
        <w:t xml:space="preserve">zásadou </w:t>
      </w:r>
      <w:proofErr w:type="spellStart"/>
      <w:r w:rsidRPr="003672C4">
        <w:rPr>
          <w:rFonts w:ascii="Times New Roman" w:hAnsi="Times New Roman" w:cs="Times New Roman"/>
          <w:i/>
          <w:iCs/>
          <w:sz w:val="28"/>
          <w:szCs w:val="28"/>
        </w:rPr>
        <w:t>nullum</w:t>
      </w:r>
      <w:proofErr w:type="spellEnd"/>
      <w:r w:rsidRPr="003672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72C4">
        <w:rPr>
          <w:rFonts w:ascii="Times New Roman" w:hAnsi="Times New Roman" w:cs="Times New Roman"/>
          <w:i/>
          <w:iCs/>
          <w:sz w:val="28"/>
          <w:szCs w:val="28"/>
        </w:rPr>
        <w:t>crimen</w:t>
      </w:r>
      <w:proofErr w:type="spellEnd"/>
      <w:r w:rsidRPr="003672C4">
        <w:rPr>
          <w:rFonts w:ascii="Times New Roman" w:hAnsi="Times New Roman" w:cs="Times New Roman"/>
          <w:i/>
          <w:iCs/>
          <w:sz w:val="28"/>
          <w:szCs w:val="28"/>
        </w:rPr>
        <w:t xml:space="preserve"> sine lege </w:t>
      </w:r>
      <w:proofErr w:type="spellStart"/>
      <w:r w:rsidRPr="003672C4">
        <w:rPr>
          <w:rFonts w:ascii="Times New Roman" w:hAnsi="Times New Roman" w:cs="Times New Roman"/>
          <w:i/>
          <w:iCs/>
          <w:sz w:val="28"/>
          <w:szCs w:val="28"/>
        </w:rPr>
        <w:t>stricta</w:t>
      </w:r>
      <w:proofErr w:type="spellEnd"/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B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 xml:space="preserve">využívat k překonání nedostatku naplnění některého </w:t>
      </w:r>
      <w:proofErr w:type="gramStart"/>
      <w:r w:rsidRPr="003672C4">
        <w:rPr>
          <w:rFonts w:ascii="Times New Roman" w:eastAsia="DejaVuSerif" w:hAnsi="Times New Roman" w:cs="Times New Roman"/>
          <w:sz w:val="28"/>
          <w:szCs w:val="28"/>
        </w:rPr>
        <w:t>ze</w:t>
      </w:r>
      <w:proofErr w:type="gramEnd"/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eastAsia="DejaVuSerif" w:hAnsi="Times New Roman" w:cs="Times New Roman"/>
          <w:sz w:val="28"/>
          <w:szCs w:val="28"/>
        </w:rPr>
        <w:t>znaků skutkové podstaty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vnímat jako projev zásady subsidiarity trestní represe, neboť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eastAsia="DejaVuSerif" w:hAnsi="Times New Roman" w:cs="Times New Roman"/>
          <w:sz w:val="28"/>
          <w:szCs w:val="28"/>
        </w:rPr>
        <w:t>ta zavazuje pouze zákonodárce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C4" w:rsidRPr="003672C4" w:rsidRDefault="003672C4" w:rsidP="003672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DejaVuSerif" w:hAnsi="Times New Roman" w:cs="Times New Roman"/>
          <w:i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672C4">
        <w:rPr>
          <w:rFonts w:ascii="Times New Roman" w:eastAsia="DejaVuSerif" w:hAnsi="Times New Roman" w:cs="Times New Roman"/>
          <w:i/>
          <w:sz w:val="28"/>
          <w:szCs w:val="28"/>
        </w:rPr>
        <w:t>Věk: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 xml:space="preserve">je </w:t>
      </w:r>
      <w:proofErr w:type="spellStart"/>
      <w:r w:rsidRPr="003672C4">
        <w:rPr>
          <w:rFonts w:ascii="Times New Roman" w:eastAsia="DejaVuSerif" w:hAnsi="Times New Roman" w:cs="Times New Roman"/>
          <w:sz w:val="28"/>
          <w:szCs w:val="28"/>
        </w:rPr>
        <w:t>kriteriem</w:t>
      </w:r>
      <w:proofErr w:type="spellEnd"/>
      <w:r w:rsidRPr="003672C4">
        <w:rPr>
          <w:rFonts w:ascii="Times New Roman" w:eastAsia="DejaVuSerif" w:hAnsi="Times New Roman" w:cs="Times New Roman"/>
          <w:sz w:val="28"/>
          <w:szCs w:val="28"/>
        </w:rPr>
        <w:t xml:space="preserve"> oddělujícím pachatele s absolutní a s relativní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eastAsia="DejaVuSerif" w:hAnsi="Times New Roman" w:cs="Times New Roman"/>
          <w:sz w:val="28"/>
          <w:szCs w:val="28"/>
        </w:rPr>
        <w:t>trestní odpovědností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B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limituje trestní odpovědnost jak spodní, tak horní hranicí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je obligatorním znakem všech pachatelů trestných činů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C4" w:rsidRPr="003672C4" w:rsidRDefault="003672C4" w:rsidP="003672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DejaVuSerif" w:hAnsi="Times New Roman" w:cs="Times New Roman"/>
          <w:i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10. </w:t>
      </w:r>
      <w:r w:rsidRPr="003672C4">
        <w:rPr>
          <w:rFonts w:ascii="Times New Roman" w:eastAsia="DejaVuSerif" w:hAnsi="Times New Roman" w:cs="Times New Roman"/>
          <w:i/>
          <w:sz w:val="28"/>
          <w:szCs w:val="28"/>
        </w:rPr>
        <w:t>Trestnost činu mladistvého může zaniknout účinnou lítostí: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jen ohledně trestných činů, jejichž výčet uvádí ustanovení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eastAsia="DejaVuSerif" w:hAnsi="Times New Roman" w:cs="Times New Roman"/>
          <w:sz w:val="28"/>
          <w:szCs w:val="28"/>
        </w:rPr>
        <w:t>§ 33 TZ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B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i tehdy, jestliže mladistvý následek neodstranil dobrovolně</w:t>
      </w:r>
    </w:p>
    <w:p w:rsidR="003672C4" w:rsidRPr="003672C4" w:rsidRDefault="003672C4" w:rsidP="0036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8"/>
          <w:szCs w:val="28"/>
        </w:rPr>
      </w:pPr>
      <w:r w:rsidRPr="003672C4"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 w:rsidRPr="003672C4">
        <w:rPr>
          <w:rFonts w:ascii="Times New Roman" w:eastAsia="DejaVuSerif" w:hAnsi="Times New Roman" w:cs="Times New Roman"/>
          <w:sz w:val="28"/>
          <w:szCs w:val="28"/>
        </w:rPr>
        <w:t>i tehdy, nepodařilo-li se mladistvému odstranit či napravit</w:t>
      </w:r>
    </w:p>
    <w:p w:rsidR="006862AE" w:rsidRPr="003672C4" w:rsidRDefault="003672C4" w:rsidP="003672C4">
      <w:pPr>
        <w:jc w:val="both"/>
        <w:rPr>
          <w:rFonts w:ascii="Times New Roman" w:hAnsi="Times New Roman" w:cs="Times New Roman"/>
          <w:sz w:val="28"/>
          <w:szCs w:val="28"/>
        </w:rPr>
      </w:pPr>
      <w:r w:rsidRPr="003672C4">
        <w:rPr>
          <w:rFonts w:ascii="Times New Roman" w:eastAsia="DejaVuSerif" w:hAnsi="Times New Roman" w:cs="Times New Roman"/>
          <w:sz w:val="28"/>
          <w:szCs w:val="28"/>
        </w:rPr>
        <w:t>způsobený následek</w:t>
      </w:r>
    </w:p>
    <w:sectPr w:rsidR="006862AE" w:rsidRPr="00367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jaVuSerif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C4"/>
    <w:rsid w:val="003672C4"/>
    <w:rsid w:val="006862AE"/>
    <w:rsid w:val="00B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FCE9"/>
  <w15:docId w15:val="{733CBA17-B422-45AE-9F7D-8A484427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Provazník</dc:creator>
  <cp:lastModifiedBy>Provazník Jan</cp:lastModifiedBy>
  <cp:revision>2</cp:revision>
  <dcterms:created xsi:type="dcterms:W3CDTF">2017-04-13T16:06:00Z</dcterms:created>
  <dcterms:modified xsi:type="dcterms:W3CDTF">2017-04-13T16:06:00Z</dcterms:modified>
</cp:coreProperties>
</file>