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B8" w:rsidRPr="00442C09" w:rsidRDefault="000C54B8" w:rsidP="000C54B8">
      <w:pPr>
        <w:autoSpaceDE w:val="0"/>
        <w:autoSpaceDN w:val="0"/>
        <w:adjustRightInd w:val="0"/>
      </w:pPr>
    </w:p>
    <w:p w:rsidR="000C54B8" w:rsidRPr="00442C09" w:rsidRDefault="000C54B8" w:rsidP="000C54B8">
      <w:pPr>
        <w:autoSpaceDE w:val="0"/>
        <w:autoSpaceDN w:val="0"/>
        <w:adjustRightInd w:val="0"/>
        <w:jc w:val="center"/>
      </w:pPr>
      <w:r w:rsidRPr="00442C09">
        <w:t>HLAVA IV</w:t>
      </w:r>
    </w:p>
    <w:p w:rsidR="000C54B8" w:rsidRPr="00442C09" w:rsidRDefault="000C54B8" w:rsidP="000C54B8">
      <w:pPr>
        <w:autoSpaceDE w:val="0"/>
        <w:autoSpaceDN w:val="0"/>
        <w:adjustRightInd w:val="0"/>
        <w:jc w:val="center"/>
        <w:rPr>
          <w:b/>
          <w:bCs/>
        </w:rPr>
      </w:pPr>
      <w:r w:rsidRPr="00442C09">
        <w:rPr>
          <w:b/>
          <w:bCs/>
        </w:rPr>
        <w:t>VOLNÝ POHYB OSOB, SLUŽEB A KAPITÁLU</w:t>
      </w:r>
    </w:p>
    <w:p w:rsidR="000C54B8" w:rsidRPr="00442C09" w:rsidRDefault="000C54B8" w:rsidP="000C54B8">
      <w:pPr>
        <w:autoSpaceDE w:val="0"/>
        <w:autoSpaceDN w:val="0"/>
        <w:adjustRightInd w:val="0"/>
        <w:jc w:val="center"/>
      </w:pPr>
    </w:p>
    <w:p w:rsidR="000C54B8" w:rsidRPr="00442C09" w:rsidRDefault="000C54B8" w:rsidP="000C54B8">
      <w:pPr>
        <w:autoSpaceDE w:val="0"/>
        <w:autoSpaceDN w:val="0"/>
        <w:adjustRightInd w:val="0"/>
        <w:jc w:val="center"/>
      </w:pPr>
      <w:r w:rsidRPr="00442C09">
        <w:t>KAPITOLA 1</w:t>
      </w:r>
    </w:p>
    <w:p w:rsidR="000C54B8" w:rsidRPr="00442C09" w:rsidRDefault="000C54B8" w:rsidP="000C54B8">
      <w:pPr>
        <w:autoSpaceDE w:val="0"/>
        <w:autoSpaceDN w:val="0"/>
        <w:adjustRightInd w:val="0"/>
        <w:jc w:val="center"/>
      </w:pPr>
      <w:r w:rsidRPr="00442C09">
        <w:t>PRACOVNÍCI</w:t>
      </w:r>
    </w:p>
    <w:p w:rsidR="000C54B8" w:rsidRPr="00442C09" w:rsidRDefault="000C54B8" w:rsidP="000C54B8">
      <w:pPr>
        <w:autoSpaceDE w:val="0"/>
        <w:autoSpaceDN w:val="0"/>
        <w:adjustRightInd w:val="0"/>
        <w:jc w:val="center"/>
        <w:rPr>
          <w:i/>
          <w:iCs/>
        </w:rPr>
      </w:pPr>
    </w:p>
    <w:p w:rsidR="000C54B8" w:rsidRPr="000C54B8" w:rsidRDefault="000C54B8" w:rsidP="000C54B8">
      <w:pPr>
        <w:autoSpaceDE w:val="0"/>
        <w:autoSpaceDN w:val="0"/>
        <w:adjustRightInd w:val="0"/>
        <w:jc w:val="center"/>
        <w:rPr>
          <w:i/>
          <w:iCs/>
          <w:sz w:val="20"/>
          <w:szCs w:val="20"/>
        </w:rPr>
      </w:pPr>
      <w:bookmarkStart w:id="0" w:name="_GoBack"/>
      <w:r w:rsidRPr="000C54B8">
        <w:rPr>
          <w:i/>
          <w:iCs/>
          <w:sz w:val="20"/>
          <w:szCs w:val="20"/>
        </w:rPr>
        <w:t>Článek 45</w:t>
      </w:r>
    </w:p>
    <w:p w:rsidR="000C54B8" w:rsidRPr="000C54B8" w:rsidRDefault="000C54B8" w:rsidP="000C54B8">
      <w:pPr>
        <w:autoSpaceDE w:val="0"/>
        <w:autoSpaceDN w:val="0"/>
        <w:adjustRightInd w:val="0"/>
        <w:jc w:val="both"/>
        <w:rPr>
          <w:sz w:val="20"/>
          <w:szCs w:val="20"/>
        </w:rPr>
      </w:pPr>
      <w:r w:rsidRPr="000C54B8">
        <w:rPr>
          <w:sz w:val="20"/>
          <w:szCs w:val="20"/>
        </w:rPr>
        <w:t>1. Je zajištěn volný pohyb pracovníků v Unii.</w:t>
      </w:r>
    </w:p>
    <w:p w:rsidR="000C54B8" w:rsidRPr="000C54B8" w:rsidRDefault="000C54B8" w:rsidP="000C54B8">
      <w:pPr>
        <w:autoSpaceDE w:val="0"/>
        <w:autoSpaceDN w:val="0"/>
        <w:adjustRightInd w:val="0"/>
        <w:jc w:val="both"/>
        <w:rPr>
          <w:sz w:val="20"/>
          <w:szCs w:val="20"/>
        </w:rPr>
      </w:pPr>
      <w:r w:rsidRPr="000C54B8">
        <w:rPr>
          <w:sz w:val="20"/>
          <w:szCs w:val="20"/>
        </w:rPr>
        <w:t>2. Volný pohyb pracovníků zahrnuje odstranění jakékoli diskriminace mezi pracovníky členských států na základě státní příslušnosti, pokud jde o zaměstnávání, odměnu za práci a jiné pracovní podmínky.</w:t>
      </w:r>
    </w:p>
    <w:p w:rsidR="000C54B8" w:rsidRPr="000C54B8" w:rsidRDefault="000C54B8" w:rsidP="000C54B8">
      <w:pPr>
        <w:autoSpaceDE w:val="0"/>
        <w:autoSpaceDN w:val="0"/>
        <w:adjustRightInd w:val="0"/>
        <w:jc w:val="both"/>
        <w:rPr>
          <w:sz w:val="20"/>
          <w:szCs w:val="20"/>
        </w:rPr>
      </w:pPr>
      <w:r w:rsidRPr="000C54B8">
        <w:rPr>
          <w:sz w:val="20"/>
          <w:szCs w:val="20"/>
        </w:rPr>
        <w:t>3. S výhradou omezení odůvodněných veřejným pořádkem, veřejnou bezpečností a ochranou zdraví zahrnuje právo:</w:t>
      </w:r>
    </w:p>
    <w:p w:rsidR="000C54B8" w:rsidRPr="000C54B8" w:rsidRDefault="000C54B8" w:rsidP="000C54B8">
      <w:pPr>
        <w:numPr>
          <w:ilvl w:val="0"/>
          <w:numId w:val="1"/>
        </w:numPr>
        <w:autoSpaceDE w:val="0"/>
        <w:autoSpaceDN w:val="0"/>
        <w:adjustRightInd w:val="0"/>
        <w:jc w:val="both"/>
        <w:rPr>
          <w:sz w:val="20"/>
          <w:szCs w:val="20"/>
        </w:rPr>
      </w:pPr>
      <w:r w:rsidRPr="000C54B8">
        <w:rPr>
          <w:sz w:val="20"/>
          <w:szCs w:val="20"/>
        </w:rPr>
        <w:t>ucházet se o skutečně nabízená pracovní místa;</w:t>
      </w:r>
    </w:p>
    <w:p w:rsidR="000C54B8" w:rsidRPr="000C54B8" w:rsidRDefault="000C54B8" w:rsidP="000C54B8">
      <w:pPr>
        <w:numPr>
          <w:ilvl w:val="0"/>
          <w:numId w:val="1"/>
        </w:numPr>
        <w:autoSpaceDE w:val="0"/>
        <w:autoSpaceDN w:val="0"/>
        <w:adjustRightInd w:val="0"/>
        <w:jc w:val="both"/>
        <w:rPr>
          <w:sz w:val="20"/>
          <w:szCs w:val="20"/>
        </w:rPr>
      </w:pPr>
      <w:r w:rsidRPr="000C54B8">
        <w:rPr>
          <w:sz w:val="20"/>
          <w:szCs w:val="20"/>
        </w:rPr>
        <w:t>pohybovat se za tím účelem volně na území členských států;</w:t>
      </w:r>
    </w:p>
    <w:p w:rsidR="000C54B8" w:rsidRPr="000C54B8" w:rsidRDefault="000C54B8" w:rsidP="000C54B8">
      <w:pPr>
        <w:numPr>
          <w:ilvl w:val="0"/>
          <w:numId w:val="1"/>
        </w:numPr>
        <w:autoSpaceDE w:val="0"/>
        <w:autoSpaceDN w:val="0"/>
        <w:adjustRightInd w:val="0"/>
        <w:jc w:val="both"/>
        <w:rPr>
          <w:sz w:val="20"/>
          <w:szCs w:val="20"/>
        </w:rPr>
      </w:pPr>
      <w:r w:rsidRPr="000C54B8">
        <w:rPr>
          <w:sz w:val="20"/>
          <w:szCs w:val="20"/>
        </w:rPr>
        <w:t>pobývat v některém z členských států za účelem výkonu zaměstnání v souladu s právními a správními předpisy, jež upravují zaměstnávání vlastních státních příslušníků;</w:t>
      </w:r>
    </w:p>
    <w:p w:rsidR="000C54B8" w:rsidRPr="000C54B8" w:rsidRDefault="000C54B8" w:rsidP="000C54B8">
      <w:pPr>
        <w:numPr>
          <w:ilvl w:val="0"/>
          <w:numId w:val="1"/>
        </w:numPr>
        <w:autoSpaceDE w:val="0"/>
        <w:autoSpaceDN w:val="0"/>
        <w:adjustRightInd w:val="0"/>
        <w:jc w:val="both"/>
        <w:rPr>
          <w:sz w:val="20"/>
          <w:szCs w:val="20"/>
        </w:rPr>
      </w:pPr>
      <w:r w:rsidRPr="000C54B8">
        <w:rPr>
          <w:sz w:val="20"/>
          <w:szCs w:val="20"/>
        </w:rPr>
        <w:t>zůstat na území členského státu po skončení zaměstnání za podmínek, které budou předmětem nařízení vydaných Komisí.</w:t>
      </w:r>
    </w:p>
    <w:p w:rsidR="000C54B8" w:rsidRPr="000C54B8" w:rsidRDefault="000C54B8" w:rsidP="000C54B8">
      <w:pPr>
        <w:autoSpaceDE w:val="0"/>
        <w:autoSpaceDN w:val="0"/>
        <w:adjustRightInd w:val="0"/>
        <w:jc w:val="both"/>
        <w:rPr>
          <w:sz w:val="20"/>
          <w:szCs w:val="20"/>
        </w:rPr>
      </w:pPr>
      <w:r w:rsidRPr="000C54B8">
        <w:rPr>
          <w:sz w:val="20"/>
          <w:szCs w:val="20"/>
        </w:rPr>
        <w:t>4. Tento článek se nepoužije pro zaměstnání ve veřejné správě.</w:t>
      </w:r>
    </w:p>
    <w:p w:rsidR="000C54B8" w:rsidRPr="000C54B8" w:rsidRDefault="000C54B8" w:rsidP="000C54B8">
      <w:pPr>
        <w:autoSpaceDE w:val="0"/>
        <w:autoSpaceDN w:val="0"/>
        <w:adjustRightInd w:val="0"/>
        <w:rPr>
          <w:i/>
          <w:iCs/>
          <w:sz w:val="20"/>
          <w:szCs w:val="20"/>
        </w:rPr>
      </w:pPr>
    </w:p>
    <w:p w:rsidR="000C54B8" w:rsidRPr="000C54B8" w:rsidRDefault="000C54B8" w:rsidP="000C54B8">
      <w:pPr>
        <w:autoSpaceDE w:val="0"/>
        <w:autoSpaceDN w:val="0"/>
        <w:adjustRightInd w:val="0"/>
        <w:jc w:val="center"/>
        <w:rPr>
          <w:i/>
          <w:iCs/>
          <w:sz w:val="20"/>
          <w:szCs w:val="20"/>
        </w:rPr>
      </w:pPr>
      <w:r w:rsidRPr="000C54B8">
        <w:rPr>
          <w:i/>
          <w:iCs/>
          <w:sz w:val="20"/>
          <w:szCs w:val="20"/>
        </w:rPr>
        <w:t>Článek 46</w:t>
      </w:r>
    </w:p>
    <w:p w:rsidR="000C54B8" w:rsidRPr="000C54B8" w:rsidRDefault="000C54B8" w:rsidP="000C54B8">
      <w:pPr>
        <w:autoSpaceDE w:val="0"/>
        <w:autoSpaceDN w:val="0"/>
        <w:adjustRightInd w:val="0"/>
        <w:jc w:val="both"/>
        <w:rPr>
          <w:sz w:val="20"/>
          <w:szCs w:val="20"/>
        </w:rPr>
      </w:pPr>
      <w:r w:rsidRPr="000C54B8">
        <w:rPr>
          <w:sz w:val="20"/>
          <w:szCs w:val="20"/>
        </w:rPr>
        <w:t xml:space="preserve">Evropský parlament a Rada přijímají řádným legislativním postupem po konzultaci s Hospodářským a sociálním výborem prostřednictvím směrnic nebo nařízení opatření potřebná k zavedení volného pohybu pracovníků tak, jak je vymezen v článku </w:t>
      </w:r>
      <w:smartTag w:uri="urn:schemas-microsoft-com:office:smarttags" w:element="metricconverter">
        <w:smartTagPr>
          <w:attr w:name="ProductID" w:val="45, a"/>
        </w:smartTagPr>
        <w:r w:rsidRPr="000C54B8">
          <w:rPr>
            <w:sz w:val="20"/>
            <w:szCs w:val="20"/>
          </w:rPr>
          <w:t>45, a</w:t>
        </w:r>
      </w:smartTag>
      <w:r w:rsidRPr="000C54B8">
        <w:rPr>
          <w:sz w:val="20"/>
          <w:szCs w:val="20"/>
        </w:rPr>
        <w:t xml:space="preserve"> to zejména tím, že:</w:t>
      </w:r>
    </w:p>
    <w:p w:rsidR="000C54B8" w:rsidRPr="000C54B8" w:rsidRDefault="000C54B8" w:rsidP="000C54B8">
      <w:pPr>
        <w:numPr>
          <w:ilvl w:val="0"/>
          <w:numId w:val="2"/>
        </w:numPr>
        <w:autoSpaceDE w:val="0"/>
        <w:autoSpaceDN w:val="0"/>
        <w:adjustRightInd w:val="0"/>
        <w:jc w:val="both"/>
        <w:rPr>
          <w:sz w:val="20"/>
          <w:szCs w:val="20"/>
        </w:rPr>
      </w:pPr>
      <w:r w:rsidRPr="000C54B8">
        <w:rPr>
          <w:sz w:val="20"/>
          <w:szCs w:val="20"/>
        </w:rPr>
        <w:t>zajistí úzkou spolupráci mezi vnitrostátními úřady práce;</w:t>
      </w:r>
    </w:p>
    <w:p w:rsidR="000C54B8" w:rsidRPr="000C54B8" w:rsidRDefault="000C54B8" w:rsidP="000C54B8">
      <w:pPr>
        <w:numPr>
          <w:ilvl w:val="0"/>
          <w:numId w:val="2"/>
        </w:numPr>
        <w:autoSpaceDE w:val="0"/>
        <w:autoSpaceDN w:val="0"/>
        <w:adjustRightInd w:val="0"/>
        <w:jc w:val="both"/>
        <w:rPr>
          <w:sz w:val="20"/>
          <w:szCs w:val="20"/>
        </w:rPr>
      </w:pPr>
      <w:r w:rsidRPr="000C54B8">
        <w:rPr>
          <w:sz w:val="20"/>
          <w:szCs w:val="20"/>
        </w:rPr>
        <w:t>odstraní ty administrativní postupy a praxi, jakož i lhůty pro přístup pracovníků k volným pracovním místům, vyplývající buď z vnitrostátních právních předpisů, nebo z dohod dříve uzavřených mezi členskými státy, jejichž zachování by bylo překážkou liberalizace pohybu pracovníků;</w:t>
      </w:r>
    </w:p>
    <w:p w:rsidR="000C54B8" w:rsidRPr="000C54B8" w:rsidRDefault="000C54B8" w:rsidP="000C54B8">
      <w:pPr>
        <w:numPr>
          <w:ilvl w:val="0"/>
          <w:numId w:val="2"/>
        </w:numPr>
        <w:autoSpaceDE w:val="0"/>
        <w:autoSpaceDN w:val="0"/>
        <w:adjustRightInd w:val="0"/>
        <w:jc w:val="both"/>
        <w:rPr>
          <w:sz w:val="20"/>
          <w:szCs w:val="20"/>
        </w:rPr>
      </w:pPr>
      <w:r w:rsidRPr="000C54B8">
        <w:rPr>
          <w:sz w:val="20"/>
          <w:szCs w:val="20"/>
        </w:rPr>
        <w:t>odstraní všechny takové lhůty a jiná omezení stanovená vnitrostátními předpisy nebo dohodami dříve uzavřenými mezi členskými státy, které kladou pro pracovníky jiných členských států jiné podmínky svobodné volby pracovního místa než pro vlastní pracovníky;</w:t>
      </w:r>
    </w:p>
    <w:p w:rsidR="000C54B8" w:rsidRPr="000C54B8" w:rsidRDefault="000C54B8" w:rsidP="000C54B8">
      <w:pPr>
        <w:numPr>
          <w:ilvl w:val="0"/>
          <w:numId w:val="2"/>
        </w:numPr>
        <w:autoSpaceDE w:val="0"/>
        <w:autoSpaceDN w:val="0"/>
        <w:adjustRightInd w:val="0"/>
        <w:jc w:val="both"/>
        <w:rPr>
          <w:sz w:val="20"/>
          <w:szCs w:val="20"/>
        </w:rPr>
      </w:pPr>
      <w:r w:rsidRPr="000C54B8">
        <w:rPr>
          <w:sz w:val="20"/>
          <w:szCs w:val="20"/>
        </w:rPr>
        <w:t>vytvoří vhodný mechanismus, jenž by umožňoval propojení mezi nabídkou a poptávkou na trhu pracovních sil a usnadňoval jejich vyrovnávání způsobem, který by vylučoval vážné ohrožení životní úrovně a zaměstnanosti v různých regionech a odvětvích průmyslu.</w:t>
      </w:r>
    </w:p>
    <w:p w:rsidR="000C54B8" w:rsidRPr="000C54B8" w:rsidRDefault="000C54B8" w:rsidP="000C54B8">
      <w:pPr>
        <w:autoSpaceDE w:val="0"/>
        <w:autoSpaceDN w:val="0"/>
        <w:adjustRightInd w:val="0"/>
        <w:rPr>
          <w:sz w:val="20"/>
          <w:szCs w:val="20"/>
        </w:rPr>
      </w:pPr>
    </w:p>
    <w:p w:rsidR="000C54B8" w:rsidRPr="000C54B8" w:rsidRDefault="000C54B8" w:rsidP="000C54B8">
      <w:pPr>
        <w:autoSpaceDE w:val="0"/>
        <w:autoSpaceDN w:val="0"/>
        <w:adjustRightInd w:val="0"/>
        <w:jc w:val="center"/>
        <w:rPr>
          <w:i/>
          <w:iCs/>
          <w:sz w:val="20"/>
          <w:szCs w:val="20"/>
        </w:rPr>
      </w:pPr>
      <w:r w:rsidRPr="000C54B8">
        <w:rPr>
          <w:i/>
          <w:iCs/>
          <w:sz w:val="20"/>
          <w:szCs w:val="20"/>
        </w:rPr>
        <w:t>Článek 47</w:t>
      </w:r>
    </w:p>
    <w:p w:rsidR="000C54B8" w:rsidRPr="000C54B8" w:rsidRDefault="000C54B8" w:rsidP="000C54B8">
      <w:pPr>
        <w:autoSpaceDE w:val="0"/>
        <w:autoSpaceDN w:val="0"/>
        <w:adjustRightInd w:val="0"/>
        <w:rPr>
          <w:sz w:val="20"/>
          <w:szCs w:val="20"/>
        </w:rPr>
      </w:pPr>
      <w:r w:rsidRPr="000C54B8">
        <w:rPr>
          <w:sz w:val="20"/>
          <w:szCs w:val="20"/>
        </w:rPr>
        <w:t>Členské státy budou v rámci společného programu podporovat výměnu mladých pracovníků.</w:t>
      </w:r>
    </w:p>
    <w:p w:rsidR="000C54B8" w:rsidRPr="000C54B8" w:rsidRDefault="000C54B8" w:rsidP="000C54B8">
      <w:pPr>
        <w:autoSpaceDE w:val="0"/>
        <w:autoSpaceDN w:val="0"/>
        <w:adjustRightInd w:val="0"/>
        <w:rPr>
          <w:sz w:val="20"/>
          <w:szCs w:val="20"/>
        </w:rPr>
      </w:pPr>
    </w:p>
    <w:p w:rsidR="000C54B8" w:rsidRPr="000C54B8" w:rsidRDefault="000C54B8" w:rsidP="000C54B8">
      <w:pPr>
        <w:autoSpaceDE w:val="0"/>
        <w:autoSpaceDN w:val="0"/>
        <w:adjustRightInd w:val="0"/>
        <w:jc w:val="center"/>
        <w:rPr>
          <w:i/>
          <w:iCs/>
          <w:sz w:val="20"/>
          <w:szCs w:val="20"/>
        </w:rPr>
      </w:pPr>
      <w:r w:rsidRPr="000C54B8">
        <w:rPr>
          <w:i/>
          <w:iCs/>
          <w:sz w:val="20"/>
          <w:szCs w:val="20"/>
        </w:rPr>
        <w:t>Článek 48</w:t>
      </w:r>
    </w:p>
    <w:p w:rsidR="000C54B8" w:rsidRPr="000C54B8" w:rsidRDefault="000C54B8" w:rsidP="000C54B8">
      <w:pPr>
        <w:autoSpaceDE w:val="0"/>
        <w:autoSpaceDN w:val="0"/>
        <w:adjustRightInd w:val="0"/>
        <w:jc w:val="both"/>
        <w:rPr>
          <w:sz w:val="20"/>
          <w:szCs w:val="20"/>
        </w:rPr>
      </w:pPr>
      <w:r w:rsidRPr="000C54B8">
        <w:rPr>
          <w:sz w:val="20"/>
          <w:szCs w:val="20"/>
        </w:rPr>
        <w:t xml:space="preserve">Evropský parlament a Rada přijmou řádným legislativním postupem v oblasti sociálního zabezpečení taková opatření, která jsou nezbytná k zajištění volného pohybu pracovníků; za tímto účelem vytvoří systém, který migrujícím zaměstnancům a osobám samostatně výdělečně činným, jakož i osobám </w:t>
      </w:r>
      <w:proofErr w:type="gramStart"/>
      <w:r w:rsidRPr="000C54B8">
        <w:rPr>
          <w:sz w:val="20"/>
          <w:szCs w:val="20"/>
        </w:rPr>
        <w:t>na</w:t>
      </w:r>
      <w:proofErr w:type="gramEnd"/>
    </w:p>
    <w:p w:rsidR="000C54B8" w:rsidRPr="000C54B8" w:rsidRDefault="000C54B8" w:rsidP="000C54B8">
      <w:pPr>
        <w:autoSpaceDE w:val="0"/>
        <w:autoSpaceDN w:val="0"/>
        <w:adjustRightInd w:val="0"/>
        <w:jc w:val="both"/>
        <w:rPr>
          <w:sz w:val="20"/>
          <w:szCs w:val="20"/>
        </w:rPr>
      </w:pPr>
      <w:proofErr w:type="gramStart"/>
      <w:r w:rsidRPr="000C54B8">
        <w:rPr>
          <w:sz w:val="20"/>
          <w:szCs w:val="20"/>
        </w:rPr>
        <w:t>nich</w:t>
      </w:r>
      <w:proofErr w:type="gramEnd"/>
      <w:r w:rsidRPr="000C54B8">
        <w:rPr>
          <w:sz w:val="20"/>
          <w:szCs w:val="20"/>
        </w:rPr>
        <w:t xml:space="preserve"> závislým, zajistí:</w:t>
      </w:r>
    </w:p>
    <w:p w:rsidR="000C54B8" w:rsidRPr="000C54B8" w:rsidRDefault="000C54B8" w:rsidP="000C54B8">
      <w:pPr>
        <w:numPr>
          <w:ilvl w:val="0"/>
          <w:numId w:val="3"/>
        </w:numPr>
        <w:autoSpaceDE w:val="0"/>
        <w:autoSpaceDN w:val="0"/>
        <w:adjustRightInd w:val="0"/>
        <w:jc w:val="both"/>
        <w:rPr>
          <w:sz w:val="20"/>
          <w:szCs w:val="20"/>
        </w:rPr>
      </w:pPr>
      <w:r w:rsidRPr="000C54B8">
        <w:rPr>
          <w:sz w:val="20"/>
          <w:szCs w:val="20"/>
        </w:rPr>
        <w:t>započtení všech dob získaných podle různých vnitrostátních právních předpisů pro účely vzniku a zachování nároků na dávky, jakož i pro výpočet jejich výše,</w:t>
      </w:r>
    </w:p>
    <w:p w:rsidR="000C54B8" w:rsidRPr="000C54B8" w:rsidRDefault="000C54B8" w:rsidP="000C54B8">
      <w:pPr>
        <w:numPr>
          <w:ilvl w:val="0"/>
          <w:numId w:val="3"/>
        </w:numPr>
        <w:autoSpaceDE w:val="0"/>
        <w:autoSpaceDN w:val="0"/>
        <w:adjustRightInd w:val="0"/>
        <w:jc w:val="both"/>
        <w:rPr>
          <w:sz w:val="20"/>
          <w:szCs w:val="20"/>
        </w:rPr>
      </w:pPr>
      <w:r w:rsidRPr="000C54B8">
        <w:rPr>
          <w:sz w:val="20"/>
          <w:szCs w:val="20"/>
        </w:rPr>
        <w:t xml:space="preserve">vyplácení dávek osobám s bydlištěm na území členských států. </w:t>
      </w:r>
    </w:p>
    <w:p w:rsidR="000C54B8" w:rsidRPr="000C54B8" w:rsidRDefault="000C54B8" w:rsidP="000C54B8">
      <w:pPr>
        <w:autoSpaceDE w:val="0"/>
        <w:autoSpaceDN w:val="0"/>
        <w:adjustRightInd w:val="0"/>
        <w:jc w:val="both"/>
        <w:rPr>
          <w:sz w:val="20"/>
          <w:szCs w:val="20"/>
        </w:rPr>
      </w:pPr>
      <w:r w:rsidRPr="000C54B8">
        <w:rPr>
          <w:sz w:val="20"/>
          <w:szCs w:val="20"/>
        </w:rPr>
        <w:t>Prohlásí-li člen Rady, že by se návrh legislativního aktu podle prvního pododstavce dotkl důležitých aspektů jeho systému sociálního zabezpečení, včetně oblasti působnosti, nákladů nebo finanční struktury, nebo by se výrazně dotkl finanční rovnováhy tohoto systému, může požádat, aby se návrhem zabývala Evropská rada. V takovém případě se řádný legislativní postup pozastaví. Po projednání Evropská rada do čtyř měsíců od tohoto pozastavení:</w:t>
      </w:r>
    </w:p>
    <w:p w:rsidR="000C54B8" w:rsidRPr="000C54B8" w:rsidRDefault="000C54B8" w:rsidP="000C54B8">
      <w:pPr>
        <w:numPr>
          <w:ilvl w:val="0"/>
          <w:numId w:val="4"/>
        </w:numPr>
        <w:autoSpaceDE w:val="0"/>
        <w:autoSpaceDN w:val="0"/>
        <w:adjustRightInd w:val="0"/>
        <w:jc w:val="both"/>
        <w:rPr>
          <w:sz w:val="20"/>
          <w:szCs w:val="20"/>
        </w:rPr>
      </w:pPr>
      <w:r w:rsidRPr="000C54B8">
        <w:rPr>
          <w:sz w:val="20"/>
          <w:szCs w:val="20"/>
        </w:rPr>
        <w:t>vrátí návrh zpět Radě, která ukončí pozastavení řádného legislativního postupu, nebo</w:t>
      </w:r>
    </w:p>
    <w:p w:rsidR="000C54B8" w:rsidRPr="000C54B8" w:rsidRDefault="000C54B8" w:rsidP="000C54B8">
      <w:pPr>
        <w:numPr>
          <w:ilvl w:val="0"/>
          <w:numId w:val="4"/>
        </w:numPr>
        <w:autoSpaceDE w:val="0"/>
        <w:autoSpaceDN w:val="0"/>
        <w:adjustRightInd w:val="0"/>
        <w:jc w:val="both"/>
        <w:rPr>
          <w:sz w:val="20"/>
          <w:szCs w:val="20"/>
        </w:rPr>
      </w:pPr>
      <w:r w:rsidRPr="000C54B8">
        <w:rPr>
          <w:sz w:val="20"/>
          <w:szCs w:val="20"/>
        </w:rPr>
        <w:t>nepřijme žádné opatření nebo požádá Komisi o předložení nového návrhu; v tom případě se původně navržený akt považuje za nepřijatý.</w:t>
      </w:r>
    </w:p>
    <w:bookmarkEnd w:id="0"/>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EUAlbertina+20">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D7F79"/>
    <w:multiLevelType w:val="hybridMultilevel"/>
    <w:tmpl w:val="382E9E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7EF4310"/>
    <w:multiLevelType w:val="hybridMultilevel"/>
    <w:tmpl w:val="7C623248"/>
    <w:lvl w:ilvl="0" w:tplc="04050017">
      <w:start w:val="1"/>
      <w:numFmt w:val="lowerLetter"/>
      <w:lvlText w:val="%1)"/>
      <w:lvlJc w:val="left"/>
      <w:pPr>
        <w:tabs>
          <w:tab w:val="num" w:pos="720"/>
        </w:tabs>
        <w:ind w:left="720" w:hanging="360"/>
      </w:pPr>
    </w:lvl>
    <w:lvl w:ilvl="1" w:tplc="85D0F3F0">
      <w:start w:val="5"/>
      <w:numFmt w:val="bullet"/>
      <w:lvlText w:val="—"/>
      <w:lvlJc w:val="left"/>
      <w:pPr>
        <w:tabs>
          <w:tab w:val="num" w:pos="1440"/>
        </w:tabs>
        <w:ind w:left="1440" w:hanging="360"/>
      </w:pPr>
      <w:rPr>
        <w:rFonts w:ascii="EUAlbertina+20" w:eastAsia="Times New Roman" w:hAnsi="EUAlbertina+20" w:cs="EUAlbertina+20"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DFB3468"/>
    <w:multiLevelType w:val="hybridMultilevel"/>
    <w:tmpl w:val="602A98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0FE20E4"/>
    <w:multiLevelType w:val="hybridMultilevel"/>
    <w:tmpl w:val="22822A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B8"/>
    <w:rsid w:val="000C54B8"/>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54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54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2017-02-28T08:43:00Z</dcterms:created>
  <dcterms:modified xsi:type="dcterms:W3CDTF">2017-02-28T08:46:00Z</dcterms:modified>
</cp:coreProperties>
</file>