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D87" w:rsidRDefault="00060D87" w:rsidP="00060D87">
      <w:pPr>
        <w:jc w:val="both"/>
      </w:pPr>
      <w:r>
        <w:rPr>
          <w:rFonts w:ascii="inherit" w:hAnsi="inherit" w:cs="Arial"/>
          <w:b/>
          <w:bCs/>
          <w:color w:val="6679B4"/>
          <w:sz w:val="19"/>
          <w:szCs w:val="19"/>
        </w:rPr>
        <w:t>Usnesení Evropského parlamentu ze dne 15. ledna 2013 obsahující doporučení Komisi o správním právu procesním Evropské unie (</w:t>
      </w:r>
      <w:hyperlink r:id="rId5" w:history="1">
        <w:r>
          <w:rPr>
            <w:rFonts w:ascii="inherit" w:hAnsi="inherit" w:cs="Arial"/>
            <w:b/>
            <w:bCs/>
            <w:color w:val="FFAE63"/>
            <w:sz w:val="19"/>
            <w:szCs w:val="19"/>
          </w:rPr>
          <w:t>2012/2024(INI)</w:t>
        </w:r>
      </w:hyperlink>
      <w:r>
        <w:rPr>
          <w:rFonts w:ascii="inherit" w:hAnsi="inherit" w:cs="Arial"/>
          <w:b/>
          <w:bCs/>
          <w:color w:val="6679B4"/>
          <w:sz w:val="19"/>
          <w:szCs w:val="19"/>
        </w:rPr>
        <w:t>)</w:t>
      </w:r>
    </w:p>
    <w:p w:rsidR="00060D87" w:rsidRDefault="00060D87" w:rsidP="00060D87">
      <w:pPr>
        <w:jc w:val="both"/>
      </w:pPr>
      <w:r>
        <w:t xml:space="preserve">Evropský </w:t>
      </w:r>
      <w:proofErr w:type="gramStart"/>
      <w:r>
        <w:t>parlament ,</w:t>
      </w:r>
      <w:proofErr w:type="gramEnd"/>
    </w:p>
    <w:p w:rsidR="00060D87" w:rsidRDefault="00060D87" w:rsidP="00060D87">
      <w:pPr>
        <w:jc w:val="both"/>
      </w:pPr>
      <w:proofErr w:type="gramStart"/>
      <w:r>
        <w:t>–   s ohledem</w:t>
      </w:r>
      <w:proofErr w:type="gramEnd"/>
      <w:r>
        <w:t xml:space="preserve"> na článek 225 Smlouvy o fungování Evropské unie,</w:t>
      </w:r>
    </w:p>
    <w:p w:rsidR="00060D87" w:rsidRDefault="00060D87" w:rsidP="00060D87">
      <w:pPr>
        <w:jc w:val="both"/>
      </w:pPr>
      <w:proofErr w:type="gramStart"/>
      <w:r>
        <w:t>–   s ohledem</w:t>
      </w:r>
      <w:proofErr w:type="gramEnd"/>
      <w:r>
        <w:t xml:space="preserve"> na článek 298 Smlouvy o fungování Evropské unie,</w:t>
      </w:r>
    </w:p>
    <w:p w:rsidR="00060D87" w:rsidRDefault="00060D87" w:rsidP="00060D87">
      <w:pPr>
        <w:jc w:val="both"/>
      </w:pPr>
      <w:proofErr w:type="gramStart"/>
      <w:r>
        <w:t>–   s ohledem</w:t>
      </w:r>
      <w:proofErr w:type="gramEnd"/>
      <w:r>
        <w:t xml:space="preserve"> na článek 41 Listiny základních práv Evropské unie, který stanoví, že právo na řádnou správu je základním prá</w:t>
      </w:r>
      <w:bookmarkStart w:id="0" w:name="_GoBack"/>
      <w:bookmarkEnd w:id="0"/>
      <w:r>
        <w:t>vem,</w:t>
      </w:r>
    </w:p>
    <w:p w:rsidR="00060D87" w:rsidRDefault="00060D87" w:rsidP="00060D87">
      <w:pPr>
        <w:jc w:val="both"/>
      </w:pPr>
      <w:r>
        <w:t xml:space="preserve">–   s ohledem na nařízení Evropského parlamentu a Rady (ES) č. 45/2001 ze dne 18. prosince 2000 o ochraně fyzických osob v souvislosti se zpracováním osobních údajů orgány a institucemi Společenství a o volném pohybu těchto </w:t>
      </w:r>
      <w:proofErr w:type="gramStart"/>
      <w:r>
        <w:t>údajů(1) ,</w:t>
      </w:r>
      <w:proofErr w:type="gramEnd"/>
    </w:p>
    <w:p w:rsidR="00060D87" w:rsidRDefault="00060D87" w:rsidP="00060D87">
      <w:pPr>
        <w:jc w:val="both"/>
      </w:pPr>
      <w:r>
        <w:t xml:space="preserve">–   s ohledem na nařízení Evropského parlamentu a Rady (ES) č. 1049/2001 ze dne 30. května 2001 o přístupu veřejnosti k dokumentům Evropského parlamentu, Rady a </w:t>
      </w:r>
      <w:proofErr w:type="gramStart"/>
      <w:r>
        <w:t>Komise(2) ,</w:t>
      </w:r>
      <w:proofErr w:type="gramEnd"/>
    </w:p>
    <w:p w:rsidR="00060D87" w:rsidRDefault="00060D87" w:rsidP="00060D87">
      <w:pPr>
        <w:jc w:val="both"/>
      </w:pPr>
      <w:proofErr w:type="gramStart"/>
      <w:r>
        <w:t>–   s ohledem</w:t>
      </w:r>
      <w:proofErr w:type="gramEnd"/>
      <w:r>
        <w:t xml:space="preserve"> na rozsáhlou judikaturu Soudního dvora Evropské unie, která uznává soubor obecných zásad správního práva, jež vycházejí z ústavních tradic členských států,</w:t>
      </w:r>
    </w:p>
    <w:p w:rsidR="00060D87" w:rsidRDefault="00060D87" w:rsidP="00060D87">
      <w:pPr>
        <w:jc w:val="both"/>
      </w:pPr>
      <w:r>
        <w:t xml:space="preserve">–   s ohledem na své usnesení ze dne 6. září 2001 o zvláštní zprávě evropského veřejného ochránce práv pro Evropský parlament, která byla vypracována na základě šetření z vlastního podnětu zaměřeného na existenci kodexu řádné správní praxe v různých orgánech a institucích Společenství a jeho veřejnou </w:t>
      </w:r>
      <w:proofErr w:type="gramStart"/>
      <w:r>
        <w:t>dostupnost(3) ,</w:t>
      </w:r>
      <w:proofErr w:type="gramEnd"/>
    </w:p>
    <w:p w:rsidR="00060D87" w:rsidRDefault="00060D87" w:rsidP="00060D87">
      <w:pPr>
        <w:jc w:val="both"/>
      </w:pPr>
      <w:r>
        <w:t xml:space="preserve">–   s ohledem na rozhodnutí Komise 2000/633/ES, ESUO, Euratom ze dne 17. října 2000, kterým se mění její jednací řád připojením kodexu řádného úředního chování zaměstnanců Evropské komise v jejich vztazích s </w:t>
      </w:r>
      <w:proofErr w:type="gramStart"/>
      <w:r>
        <w:t>veřejností(4) ,</w:t>
      </w:r>
      <w:proofErr w:type="gramEnd"/>
    </w:p>
    <w:p w:rsidR="00060D87" w:rsidRDefault="00060D87" w:rsidP="00060D87">
      <w:pPr>
        <w:jc w:val="both"/>
      </w:pPr>
      <w:r>
        <w:t xml:space="preserve">–   s ohledem na rozhodnutí generálního tajemníka Rady, vysokého představitele pro společnou zahraniční a bezpečnostní politiku ze dne 25. června 2001 o kodexu řádného úředního chování Generálního sekretariátu Rady Evropské unie a jeho zaměstnanců v jejich profesionálních vztazích s </w:t>
      </w:r>
      <w:proofErr w:type="gramStart"/>
      <w:r>
        <w:t>veřejností(5) ,</w:t>
      </w:r>
      <w:proofErr w:type="gramEnd"/>
    </w:p>
    <w:p w:rsidR="00060D87" w:rsidRDefault="00060D87" w:rsidP="00060D87">
      <w:pPr>
        <w:jc w:val="both"/>
      </w:pPr>
      <w:proofErr w:type="gramStart"/>
      <w:r>
        <w:t>–   s ohledem</w:t>
      </w:r>
      <w:proofErr w:type="gramEnd"/>
      <w:r>
        <w:t xml:space="preserve"> na doporučení Výboru ministrů Rady Evropy CM/</w:t>
      </w:r>
      <w:proofErr w:type="spellStart"/>
      <w:r>
        <w:t>Rec</w:t>
      </w:r>
      <w:proofErr w:type="spellEnd"/>
      <w:r>
        <w:t>(2007)7 ze dne 20. června 2007 o řádné správě určené členským státům,</w:t>
      </w:r>
    </w:p>
    <w:p w:rsidR="00060D87" w:rsidRDefault="00060D87" w:rsidP="00060D87">
      <w:pPr>
        <w:jc w:val="both"/>
      </w:pPr>
      <w:proofErr w:type="gramStart"/>
      <w:r>
        <w:t>–   s ohledem</w:t>
      </w:r>
      <w:proofErr w:type="gramEnd"/>
      <w:r>
        <w:t xml:space="preserve"> na „Zásady veřejné služby pro úředníky EU“ zveřejněné dne 19. června 2012 evropským ochráncem veřejných práv,</w:t>
      </w:r>
    </w:p>
    <w:p w:rsidR="00060D87" w:rsidRDefault="00060D87" w:rsidP="00060D87">
      <w:pPr>
        <w:jc w:val="both"/>
      </w:pPr>
      <w:r>
        <w:t xml:space="preserve">–   s ohledem na průzkum zadaný k vypracování švédskou vládou Státnímu úřadu pro veřejnou správu, jenž se věnoval zásadám řádné správy v členských státech Evropské </w:t>
      </w:r>
      <w:proofErr w:type="gramStart"/>
      <w:r>
        <w:t>unie(6) ,</w:t>
      </w:r>
      <w:proofErr w:type="gramEnd"/>
    </w:p>
    <w:p w:rsidR="00060D87" w:rsidRDefault="00060D87" w:rsidP="00060D87">
      <w:pPr>
        <w:jc w:val="both"/>
      </w:pPr>
      <w:r>
        <w:t xml:space="preserve">–   s ohledem na krátké zprávy předložené na konferenci o správním právu EU, kterou uspořádala tematická sekce Výboru EP pro právní záležitosti a univerzita v Leónu (v Leónu ve dnech </w:t>
      </w:r>
      <w:proofErr w:type="gramStart"/>
      <w:r>
        <w:t>27.–28</w:t>
      </w:r>
      <w:proofErr w:type="gramEnd"/>
      <w:r>
        <w:t>. dubna 2011)(7) ,</w:t>
      </w:r>
    </w:p>
    <w:p w:rsidR="00060D87" w:rsidRDefault="00060D87" w:rsidP="00060D87">
      <w:pPr>
        <w:jc w:val="both"/>
      </w:pPr>
    </w:p>
    <w:p w:rsidR="00060D87" w:rsidRDefault="00060D87" w:rsidP="00060D87">
      <w:pPr>
        <w:jc w:val="both"/>
      </w:pPr>
      <w:r>
        <w:lastRenderedPageBreak/>
        <w:t xml:space="preserve">–   s ohledem na doporučení zahrnutá do pracovního dokumentu o současném stavu správního práva EU a jeho vyhlídkách do budoucna, který dne 22. listopadu 2011 předložila pracovní skupina pro správní právo EU Výboru pro právní </w:t>
      </w:r>
      <w:proofErr w:type="gramStart"/>
      <w:r>
        <w:t>záležitosti(8) ,</w:t>
      </w:r>
      <w:proofErr w:type="gramEnd"/>
    </w:p>
    <w:p w:rsidR="00060D87" w:rsidRDefault="00060D87" w:rsidP="00060D87">
      <w:pPr>
        <w:jc w:val="both"/>
      </w:pPr>
      <w:r>
        <w:t xml:space="preserve">–   s ohledem na Posouzení evropské přidané hodnoty správního práva procesního Evropské unie, které dne 6. listopadu 2012 předložilo oddělení pro posuzování evropské přidané hodnoty Výboru pro právní </w:t>
      </w:r>
      <w:proofErr w:type="gramStart"/>
      <w:r>
        <w:t>záležitosti(9) ,</w:t>
      </w:r>
      <w:proofErr w:type="gramEnd"/>
    </w:p>
    <w:p w:rsidR="00060D87" w:rsidRDefault="00060D87" w:rsidP="00060D87">
      <w:pPr>
        <w:jc w:val="both"/>
      </w:pPr>
      <w:proofErr w:type="gramStart"/>
      <w:r>
        <w:t>–   s ohledem</w:t>
      </w:r>
      <w:proofErr w:type="gramEnd"/>
      <w:r>
        <w:t xml:space="preserve"> na články 42 a 48 jednacího řádu,</w:t>
      </w:r>
    </w:p>
    <w:p w:rsidR="00060D87" w:rsidRDefault="00060D87" w:rsidP="00060D87">
      <w:pPr>
        <w:jc w:val="both"/>
      </w:pPr>
      <w:proofErr w:type="gramStart"/>
      <w:r>
        <w:t>–   s ohledem</w:t>
      </w:r>
      <w:proofErr w:type="gramEnd"/>
      <w:r>
        <w:t xml:space="preserve"> na zprávu Výboru pro právní záležitosti a stanoviska Výboru pro ústavní záležitosti a Petičního výboru (A7-0369/2012),</w:t>
      </w:r>
    </w:p>
    <w:p w:rsidR="00060D87" w:rsidRDefault="00060D87" w:rsidP="00060D87">
      <w:pPr>
        <w:jc w:val="both"/>
      </w:pPr>
      <w:proofErr w:type="gramStart"/>
      <w:r>
        <w:t>A.  vzhledem</w:t>
      </w:r>
      <w:proofErr w:type="gramEnd"/>
      <w:r>
        <w:t xml:space="preserve"> k tomu, že v důsledku rozšiřování pravomocí Evropské unie se občané ve stále větší míře dostávají do styku se správou Unie, aniž by měli vždy k dispozici odpovídající procesní práva, jejichž dodržování by mohli vůči Unii vymáhat v případech, kdy by takové kroky mohly být nezbytné;</w:t>
      </w:r>
    </w:p>
    <w:p w:rsidR="00060D87" w:rsidRDefault="00060D87" w:rsidP="00060D87">
      <w:pPr>
        <w:jc w:val="both"/>
      </w:pPr>
      <w:proofErr w:type="gramStart"/>
      <w:r>
        <w:t>B.  vzhledem</w:t>
      </w:r>
      <w:proofErr w:type="gramEnd"/>
      <w:r>
        <w:t xml:space="preserve"> k tomu, že občané mohou od správních orgánů Unie oprávněně očekávat vysokou míru transparentnosti, efektivní a rychlé vyřízení záležitosti a poskytnutí odpovědi bez ohledu na to, zda předložili formální stížnost nebo uplatňují právo na předložení petice zakotvené ve Smlouvě, jakož i poskytnutí informací o tom, jaké další kroky mohou ve své záležitosti podniknout;</w:t>
      </w:r>
    </w:p>
    <w:p w:rsidR="00060D87" w:rsidRDefault="00060D87" w:rsidP="00060D87">
      <w:pPr>
        <w:jc w:val="both"/>
      </w:pPr>
      <w:proofErr w:type="gramStart"/>
      <w:r>
        <w:t>C.  vzhledem</w:t>
      </w:r>
      <w:proofErr w:type="gramEnd"/>
      <w:r>
        <w:t xml:space="preserve"> k tomu, že stávající pravidla a zásady EU v oblasti řádné správy pocházejí z nejrůznějších zdrojů: primárního práva, judikatury Soudního dvora Evropské unie, sekundární legislativy, právně nezávazných předpisů a jednostranných závazků přijatých orgány EU,</w:t>
      </w:r>
    </w:p>
    <w:p w:rsidR="00060D87" w:rsidRDefault="00060D87" w:rsidP="00060D87">
      <w:pPr>
        <w:jc w:val="both"/>
      </w:pPr>
      <w:proofErr w:type="gramStart"/>
      <w:r>
        <w:t>D.  vzhledem</w:t>
      </w:r>
      <w:proofErr w:type="gramEnd"/>
      <w:r>
        <w:t xml:space="preserve"> k tomu, že Unie nemá k dispozici jednotný komplexní soubor kodifikovaných pravidel správního práva, je pro občany obtížné porozumět tomu, jaká jsou jejich práva vyplývající z právních předpisů EU ve správním řízení,</w:t>
      </w:r>
    </w:p>
    <w:p w:rsidR="00060D87" w:rsidRDefault="00060D87" w:rsidP="00060D87">
      <w:pPr>
        <w:jc w:val="both"/>
      </w:pPr>
      <w:proofErr w:type="gramStart"/>
      <w:r>
        <w:t>E.  vzhledem</w:t>
      </w:r>
      <w:proofErr w:type="gramEnd"/>
      <w:r>
        <w:t xml:space="preserve"> k tomu, že stávající interní kodexy chování různých orgánů mají omezený účinek, vzájemně se liší a nejsou právně závazné,</w:t>
      </w:r>
    </w:p>
    <w:p w:rsidR="00060D87" w:rsidRDefault="00060D87" w:rsidP="00060D87">
      <w:pPr>
        <w:jc w:val="both"/>
      </w:pPr>
      <w:proofErr w:type="gramStart"/>
      <w:r>
        <w:t>F.  vzhledem</w:t>
      </w:r>
      <w:proofErr w:type="gramEnd"/>
      <w:r>
        <w:t xml:space="preserve"> k tomu, že Parlament ve svém výše uvedeném usnesení ze dne 6. září 2001 schválil se změnami Evropský kodex řádné správní praxe vypracovaný evropským veřejným ochráncem práv, neboť se domnívá, že ve všech orgánech, institucích a jiných subjektech EU by se měl uplatňovat tentýž kodex řádné správní praxe,</w:t>
      </w:r>
    </w:p>
    <w:p w:rsidR="00060D87" w:rsidRDefault="00060D87" w:rsidP="00060D87">
      <w:pPr>
        <w:jc w:val="both"/>
      </w:pPr>
      <w:proofErr w:type="gramStart"/>
      <w:r>
        <w:t>G.  vzhledem</w:t>
      </w:r>
      <w:proofErr w:type="gramEnd"/>
      <w:r>
        <w:t xml:space="preserve"> k tomu, že Parlament v témže usnesení vyzval Komisi, aby předložila návrh nařízení, jehož součástí by byl kodex řádné správní praxe, jenž by vycházel z článku 308 Smlouvy o založení Evropského společenství,</w:t>
      </w:r>
    </w:p>
    <w:p w:rsidR="00060D87" w:rsidRDefault="00060D87" w:rsidP="00060D87">
      <w:pPr>
        <w:jc w:val="both"/>
      </w:pPr>
      <w:proofErr w:type="gramStart"/>
      <w:r>
        <w:t>H.  vzhledem</w:t>
      </w:r>
      <w:proofErr w:type="gramEnd"/>
      <w:r>
        <w:t xml:space="preserve"> k tomu, že by to pomohlo odstranit nynější nejasnosti, které vyplývají ze skutečnosti, že většina orgánů a institucí EU používá vzájemně odlišné kodexy, že by to zajistilo, aby orgány a instituce ve svých vztazích s občany uplatňovaly tytéž základní zásady, a že by to občany i úředníky upozornilo na význam těchto zásad, jak zdůraznil evropský veřejný ochránce práv;</w:t>
      </w:r>
    </w:p>
    <w:p w:rsidR="00060D87" w:rsidRDefault="00060D87" w:rsidP="00060D87">
      <w:pPr>
        <w:jc w:val="both"/>
      </w:pPr>
    </w:p>
    <w:p w:rsidR="00060D87" w:rsidRDefault="00060D87" w:rsidP="00060D87">
      <w:pPr>
        <w:jc w:val="both"/>
      </w:pPr>
      <w:proofErr w:type="gramStart"/>
      <w:r>
        <w:lastRenderedPageBreak/>
        <w:t>I.  vzhledem</w:t>
      </w:r>
      <w:proofErr w:type="gramEnd"/>
      <w:r>
        <w:t xml:space="preserve"> k tomu, že veškeré činnosti Unie musí být v souladu se zásadami právního státu a striktního oddělení pravomocí;</w:t>
      </w:r>
    </w:p>
    <w:p w:rsidR="00060D87" w:rsidRDefault="00060D87" w:rsidP="00060D87">
      <w:pPr>
        <w:jc w:val="both"/>
      </w:pPr>
      <w:proofErr w:type="gramStart"/>
      <w:r>
        <w:t>J.  vzhledem</w:t>
      </w:r>
      <w:proofErr w:type="gramEnd"/>
      <w:r>
        <w:t xml:space="preserve"> k tomu, že základní právo na řádnou správu zakotvené v článku 41 Listiny základních práv Evropské unie je jakožto primární právo již právně závazné,</w:t>
      </w:r>
    </w:p>
    <w:p w:rsidR="00060D87" w:rsidRDefault="00060D87" w:rsidP="00060D87">
      <w:pPr>
        <w:jc w:val="both"/>
      </w:pPr>
      <w:proofErr w:type="gramStart"/>
      <w:r>
        <w:t>K.  vzhledem</w:t>
      </w:r>
      <w:proofErr w:type="gramEnd"/>
      <w:r>
        <w:t xml:space="preserve"> k tomu, že pravidla řádné správy podporují transparentnost a zodpovědnost,</w:t>
      </w:r>
    </w:p>
    <w:p w:rsidR="00060D87" w:rsidRDefault="00060D87" w:rsidP="00060D87">
      <w:pPr>
        <w:jc w:val="both"/>
      </w:pPr>
      <w:proofErr w:type="gramStart"/>
      <w:r>
        <w:t>L.  vzhledem</w:t>
      </w:r>
      <w:proofErr w:type="gramEnd"/>
      <w:r>
        <w:t xml:space="preserve"> k tomu, že v současnosti představuje pro Evropskou unii naléhavý problém nedostatek důvěry ze strany občanů, který může narušit její legitimitu; vzhledem k tomu, že je nutné, aby se Evropská unie soustředila na rychlá, jasná a viditelná řešení a reagovala tak na obavy občanů;</w:t>
      </w:r>
    </w:p>
    <w:p w:rsidR="00060D87" w:rsidRDefault="00060D87" w:rsidP="00060D87">
      <w:pPr>
        <w:jc w:val="both"/>
      </w:pPr>
      <w:proofErr w:type="gramStart"/>
      <w:r>
        <w:t>M.  vzhledem</w:t>
      </w:r>
      <w:proofErr w:type="gramEnd"/>
      <w:r>
        <w:t xml:space="preserve"> k tomu, že kodifikace zásady služby občanům – tj. že správní orgány by se měly snažit občanům radit, pomáhat, sloužit jim, podporovat je a chovat se k nim zdvořile, a tak se vyhýbat zbytečně těžkopádným a vleklým postupům, čímž občanům i úředníkům ušetří čas a námahu – by pomohla splnit oprávněná očekávání občanů a přinesla by užitek občanům i správě, neboť by se zkvalitnily služby a zvýšila efektivita; vzhledem k tomu, že je třeba zvýšit povědomí o právu občanů Unie na řádnou správu, a to i prostřednictvím příslušných informačních služeb a sítí Komise;</w:t>
      </w:r>
    </w:p>
    <w:p w:rsidR="00060D87" w:rsidRDefault="00060D87" w:rsidP="00060D87">
      <w:pPr>
        <w:jc w:val="both"/>
      </w:pPr>
      <w:proofErr w:type="gramStart"/>
      <w:r>
        <w:t>N.  vzhledem</w:t>
      </w:r>
      <w:proofErr w:type="gramEnd"/>
      <w:r>
        <w:t xml:space="preserve"> k tomu, že při zohlednění doporučení Skupiny států proti korupci (GRECO) Rady Evropy by byl jasný a závazný soubor pravidel pro správu Unie pozitivním signálem v boji proti korupci ve veřejné správě;</w:t>
      </w:r>
    </w:p>
    <w:p w:rsidR="00060D87" w:rsidRDefault="00060D87" w:rsidP="00060D87">
      <w:pPr>
        <w:jc w:val="both"/>
      </w:pPr>
      <w:proofErr w:type="gramStart"/>
      <w:r>
        <w:t>O.  vzhledem</w:t>
      </w:r>
      <w:proofErr w:type="gramEnd"/>
      <w:r>
        <w:t xml:space="preserve"> k tomu, že členské státy v současnosti obecně používají základní soubor zásad řádné správy,</w:t>
      </w:r>
    </w:p>
    <w:p w:rsidR="00060D87" w:rsidRDefault="00060D87" w:rsidP="00060D87">
      <w:pPr>
        <w:jc w:val="both"/>
      </w:pPr>
      <w:proofErr w:type="gramStart"/>
      <w:r>
        <w:t>P.  vzhledem</w:t>
      </w:r>
      <w:proofErr w:type="gramEnd"/>
      <w:r>
        <w:t xml:space="preserve"> k tomu, že judikatura Soudního dvora vytvořila ustálené procesní zásady, které se vztahují na postupy členských států týkající se záležitostí Společenství a jež by se měly tím spíše vztahovat na přímou správu na úrovni Unie;</w:t>
      </w:r>
    </w:p>
    <w:p w:rsidR="00060D87" w:rsidRDefault="00060D87" w:rsidP="00060D87">
      <w:pPr>
        <w:jc w:val="both"/>
      </w:pPr>
      <w:proofErr w:type="gramStart"/>
      <w:r>
        <w:t>Q.  vzhledem</w:t>
      </w:r>
      <w:proofErr w:type="gramEnd"/>
      <w:r>
        <w:t xml:space="preserve"> k tomu, že evropské správní právo procesní by správě Unie napomohlo při uplatňování jejích pravomocí jako mezinárodní organizace s cílem posilovat a propagovat nejvyšší standardy řádné správy;</w:t>
      </w:r>
    </w:p>
    <w:p w:rsidR="00060D87" w:rsidRDefault="00060D87" w:rsidP="00060D87">
      <w:pPr>
        <w:jc w:val="both"/>
      </w:pPr>
      <w:proofErr w:type="gramStart"/>
      <w:r>
        <w:t>R.  vzhledem</w:t>
      </w:r>
      <w:proofErr w:type="gramEnd"/>
      <w:r>
        <w:t xml:space="preserve"> k tomu, že evropské správní právo procesní by upevnilo legitimitu EU a posílilo by důvěru občanů ve správu EU,</w:t>
      </w:r>
    </w:p>
    <w:p w:rsidR="00060D87" w:rsidRDefault="00060D87" w:rsidP="00060D87">
      <w:pPr>
        <w:jc w:val="both"/>
      </w:pPr>
      <w:proofErr w:type="gramStart"/>
      <w:r>
        <w:t>S.  vzhledem</w:t>
      </w:r>
      <w:proofErr w:type="gramEnd"/>
      <w:r>
        <w:t xml:space="preserve"> k tomu, že evropské správní právo procesní by mohlo podpořit spontánní sbližování správního práva jednotlivých členských států, pokud jde o obecné procesní zásady a základní práva občanů ve vztahu ke správě, a tím by posílilo proces integrace,</w:t>
      </w:r>
    </w:p>
    <w:p w:rsidR="00060D87" w:rsidRDefault="00060D87" w:rsidP="00060D87">
      <w:pPr>
        <w:jc w:val="both"/>
      </w:pPr>
      <w:proofErr w:type="gramStart"/>
      <w:r>
        <w:t>T.  vzhledem</w:t>
      </w:r>
      <w:proofErr w:type="gramEnd"/>
      <w:r>
        <w:t xml:space="preserve"> k tomu, že evropské správní právo procesní by mohlo zlepšit spolupráci a výměnu osvědčených postupů mezi vnitrostátními správami a správou Unie v zájmu splnění cílů stanovených článkem 298 Smlouvy o fungování Evropské unie;</w:t>
      </w:r>
    </w:p>
    <w:p w:rsidR="00060D87" w:rsidRDefault="00060D87" w:rsidP="00060D87">
      <w:pPr>
        <w:jc w:val="both"/>
      </w:pPr>
      <w:proofErr w:type="gramStart"/>
      <w:r>
        <w:t>U.  vzhledem</w:t>
      </w:r>
      <w:proofErr w:type="gramEnd"/>
      <w:r>
        <w:t xml:space="preserve"> k tomu, že vstup Lisabonské smlouvy v platnost zajistil Unii vhodný právní základ k přijetí evropského správního práva procesního,</w:t>
      </w:r>
    </w:p>
    <w:p w:rsidR="00060D87" w:rsidRDefault="00060D87" w:rsidP="00060D87">
      <w:pPr>
        <w:jc w:val="both"/>
      </w:pPr>
    </w:p>
    <w:p w:rsidR="00060D87" w:rsidRDefault="00060D87" w:rsidP="00060D87">
      <w:pPr>
        <w:jc w:val="both"/>
      </w:pPr>
      <w:proofErr w:type="gramStart"/>
      <w:r>
        <w:lastRenderedPageBreak/>
        <w:t>V.  vzhledem</w:t>
      </w:r>
      <w:proofErr w:type="gramEnd"/>
      <w:r>
        <w:t xml:space="preserve"> k tomu, že legislativní opatření požadované v tomto usnesení by mělo být založeno na podrobném posouzení dopadů, které mimo jiné vyčíslí náklady na správní postupy,</w:t>
      </w:r>
    </w:p>
    <w:p w:rsidR="00060D87" w:rsidRDefault="00060D87" w:rsidP="00060D87">
      <w:pPr>
        <w:jc w:val="both"/>
      </w:pPr>
      <w:proofErr w:type="gramStart"/>
      <w:r>
        <w:t>W.  vzhledem</w:t>
      </w:r>
      <w:proofErr w:type="gramEnd"/>
      <w:r>
        <w:t xml:space="preserve"> k tomu, že Komise by měla vést náležité konzultace se všemi příslušnými stranami, a zejména by měla využít mimořádných odborných znalostí a zkušeností evropského veřejného ochránce práv, neboť právě k němu směřují stížnosti veřejnosti na případy zneužití pravomocí orgány a institucemi Unie;</w:t>
      </w:r>
    </w:p>
    <w:p w:rsidR="00060D87" w:rsidRDefault="00060D87" w:rsidP="00060D87">
      <w:pPr>
        <w:jc w:val="both"/>
      </w:pPr>
      <w:proofErr w:type="gramStart"/>
      <w:r>
        <w:t>1.  žádá</w:t>
      </w:r>
      <w:proofErr w:type="gramEnd"/>
      <w:r>
        <w:t xml:space="preserve"> Komisi, aby na základě článku 298 Smlouvy o fungování Evropské unie předložila návrh nařízení o evropském správním právu procesním podle podrobných doporučení uvedených v příloze;</w:t>
      </w:r>
    </w:p>
    <w:p w:rsidR="00060D87" w:rsidRDefault="00060D87" w:rsidP="00060D87">
      <w:pPr>
        <w:jc w:val="both"/>
      </w:pPr>
      <w:proofErr w:type="gramStart"/>
      <w:r>
        <w:t>2.  potvrzuje</w:t>
      </w:r>
      <w:proofErr w:type="gramEnd"/>
      <w:r>
        <w:t>, že doporučení jsou v souladu se základními právy a zásadou subsidiarity;</w:t>
      </w:r>
    </w:p>
    <w:p w:rsidR="00060D87" w:rsidRDefault="00060D87" w:rsidP="00060D87">
      <w:pPr>
        <w:jc w:val="both"/>
      </w:pPr>
      <w:proofErr w:type="gramStart"/>
      <w:r>
        <w:t>3.  domnívá</w:t>
      </w:r>
      <w:proofErr w:type="gramEnd"/>
      <w:r>
        <w:t xml:space="preserve"> se, že požadovaný návrh nemá žádné finanční dopady;</w:t>
      </w:r>
    </w:p>
    <w:p w:rsidR="00060D87" w:rsidRDefault="00060D87" w:rsidP="00060D87">
      <w:pPr>
        <w:jc w:val="both"/>
      </w:pPr>
      <w:proofErr w:type="gramStart"/>
      <w:r>
        <w:t>4.  pověřuje</w:t>
      </w:r>
      <w:proofErr w:type="gramEnd"/>
      <w:r>
        <w:t xml:space="preserve"> svého předsedu, aby předal toto usnesení a k němu připojená podrobná doporučení Komisi, Radě, evropskému veřejnému ochránci práv a vládám a parlamentům členských států.</w:t>
      </w:r>
    </w:p>
    <w:p w:rsidR="00060D87" w:rsidRDefault="00060D87" w:rsidP="00060D87">
      <w:pPr>
        <w:jc w:val="both"/>
      </w:pPr>
    </w:p>
    <w:p w:rsidR="00060D87" w:rsidRDefault="00060D87" w:rsidP="00060D87">
      <w:pPr>
        <w:jc w:val="both"/>
      </w:pPr>
      <w:r>
        <w:t xml:space="preserve">(1) </w:t>
      </w:r>
      <w:proofErr w:type="spellStart"/>
      <w:r>
        <w:t>Úř</w:t>
      </w:r>
      <w:proofErr w:type="spellEnd"/>
      <w:r>
        <w:t xml:space="preserve">. </w:t>
      </w:r>
      <w:proofErr w:type="spellStart"/>
      <w:proofErr w:type="gramStart"/>
      <w:r>
        <w:t>věst</w:t>
      </w:r>
      <w:proofErr w:type="spellEnd"/>
      <w:proofErr w:type="gramEnd"/>
      <w:r>
        <w:t xml:space="preserve">. L 8, </w:t>
      </w:r>
      <w:proofErr w:type="gramStart"/>
      <w:r>
        <w:t>12.1.2001</w:t>
      </w:r>
      <w:proofErr w:type="gramEnd"/>
      <w:r>
        <w:t xml:space="preserve">, s. 1. </w:t>
      </w:r>
    </w:p>
    <w:p w:rsidR="00060D87" w:rsidRDefault="00060D87" w:rsidP="00060D87">
      <w:pPr>
        <w:jc w:val="both"/>
      </w:pPr>
      <w:r>
        <w:t xml:space="preserve">(2) </w:t>
      </w:r>
      <w:proofErr w:type="spellStart"/>
      <w:r>
        <w:t>Úř</w:t>
      </w:r>
      <w:proofErr w:type="spellEnd"/>
      <w:r>
        <w:t xml:space="preserve">. </w:t>
      </w:r>
      <w:proofErr w:type="spellStart"/>
      <w:proofErr w:type="gramStart"/>
      <w:r>
        <w:t>věst</w:t>
      </w:r>
      <w:proofErr w:type="spellEnd"/>
      <w:proofErr w:type="gramEnd"/>
      <w:r>
        <w:t xml:space="preserve">. L 145, </w:t>
      </w:r>
      <w:proofErr w:type="gramStart"/>
      <w:r>
        <w:t>31.5.2001</w:t>
      </w:r>
      <w:proofErr w:type="gramEnd"/>
      <w:r>
        <w:t xml:space="preserve">, s. 43. </w:t>
      </w:r>
    </w:p>
    <w:p w:rsidR="00060D87" w:rsidRDefault="00060D87" w:rsidP="00060D87">
      <w:pPr>
        <w:jc w:val="both"/>
      </w:pPr>
      <w:r>
        <w:t xml:space="preserve">(3) </w:t>
      </w:r>
      <w:proofErr w:type="spellStart"/>
      <w:r>
        <w:t>Úř</w:t>
      </w:r>
      <w:proofErr w:type="spellEnd"/>
      <w:r>
        <w:t xml:space="preserve">. </w:t>
      </w:r>
      <w:proofErr w:type="spellStart"/>
      <w:proofErr w:type="gramStart"/>
      <w:r>
        <w:t>věst</w:t>
      </w:r>
      <w:proofErr w:type="spellEnd"/>
      <w:proofErr w:type="gramEnd"/>
      <w:r>
        <w:t xml:space="preserve">. C 72 E, </w:t>
      </w:r>
      <w:proofErr w:type="gramStart"/>
      <w:r>
        <w:t>21.3.2002</w:t>
      </w:r>
      <w:proofErr w:type="gramEnd"/>
      <w:r>
        <w:t xml:space="preserve">, s. 331. </w:t>
      </w:r>
    </w:p>
    <w:p w:rsidR="00060D87" w:rsidRDefault="00060D87" w:rsidP="00060D87">
      <w:pPr>
        <w:jc w:val="both"/>
      </w:pPr>
      <w:r>
        <w:t xml:space="preserve">(4) </w:t>
      </w:r>
      <w:proofErr w:type="spellStart"/>
      <w:r>
        <w:t>Úř</w:t>
      </w:r>
      <w:proofErr w:type="spellEnd"/>
      <w:r>
        <w:t xml:space="preserve">. </w:t>
      </w:r>
      <w:proofErr w:type="spellStart"/>
      <w:proofErr w:type="gramStart"/>
      <w:r>
        <w:t>věst</w:t>
      </w:r>
      <w:proofErr w:type="spellEnd"/>
      <w:proofErr w:type="gramEnd"/>
      <w:r>
        <w:t xml:space="preserve">. L 267, </w:t>
      </w:r>
      <w:proofErr w:type="gramStart"/>
      <w:r>
        <w:t>20.10.2000</w:t>
      </w:r>
      <w:proofErr w:type="gramEnd"/>
      <w:r>
        <w:t xml:space="preserve">, s. 63. </w:t>
      </w:r>
    </w:p>
    <w:p w:rsidR="00060D87" w:rsidRDefault="00060D87" w:rsidP="00060D87">
      <w:pPr>
        <w:jc w:val="both"/>
      </w:pPr>
      <w:r>
        <w:t xml:space="preserve">(5) </w:t>
      </w:r>
      <w:proofErr w:type="spellStart"/>
      <w:r>
        <w:t>Úř</w:t>
      </w:r>
      <w:proofErr w:type="spellEnd"/>
      <w:r>
        <w:t xml:space="preserve">. </w:t>
      </w:r>
      <w:proofErr w:type="spellStart"/>
      <w:proofErr w:type="gramStart"/>
      <w:r>
        <w:t>věst</w:t>
      </w:r>
      <w:proofErr w:type="spellEnd"/>
      <w:proofErr w:type="gramEnd"/>
      <w:r>
        <w:t xml:space="preserve">. C 189, </w:t>
      </w:r>
      <w:proofErr w:type="gramStart"/>
      <w:r>
        <w:t>5.7.2001</w:t>
      </w:r>
      <w:proofErr w:type="gramEnd"/>
      <w:r>
        <w:t xml:space="preserve">, s. 1. </w:t>
      </w:r>
    </w:p>
    <w:p w:rsidR="00060D87" w:rsidRDefault="00060D87" w:rsidP="00060D87">
      <w:pPr>
        <w:jc w:val="both"/>
      </w:pPr>
      <w:r>
        <w:t xml:space="preserve">(6) http://www.statskontoret.se/upload/Publikationer/2005/200504.pdf. </w:t>
      </w:r>
    </w:p>
    <w:p w:rsidR="00060D87" w:rsidRDefault="00060D87" w:rsidP="00060D87">
      <w:pPr>
        <w:jc w:val="both"/>
      </w:pPr>
      <w:r>
        <w:t xml:space="preserve">(7) http://www.europarl.europa.eu/committees/en/juri/studiesdownload.html?languageDocument=EN&amp;file=59983. </w:t>
      </w:r>
    </w:p>
    <w:p w:rsidR="00060D87" w:rsidRDefault="00060D87" w:rsidP="00060D87">
      <w:pPr>
        <w:jc w:val="both"/>
      </w:pPr>
      <w:r>
        <w:t xml:space="preserve">(8) http://www.europarl.europa.eu/meetdocs/2009_2014/documents/juri/dv/juri_wdadministrativelaw_/juri_wdadministrativelaw_en.pdf. </w:t>
      </w:r>
    </w:p>
    <w:p w:rsidR="00060D87" w:rsidRDefault="00060D87" w:rsidP="00060D87">
      <w:pPr>
        <w:jc w:val="both"/>
      </w:pPr>
      <w:r>
        <w:t xml:space="preserve">(9) http://www.europarl.europa.eu/meetdocs/2009_2014/documents/juri/dv/eav_lawofadminprocedure_/EAV_LawofAdminprocedure_EN.pdf. </w:t>
      </w:r>
    </w:p>
    <w:p w:rsidR="00E06AE2" w:rsidRDefault="00E06AE2" w:rsidP="00060D87">
      <w:pPr>
        <w:jc w:val="both"/>
      </w:pPr>
    </w:p>
    <w:sectPr w:rsidR="00E06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87"/>
    <w:rsid w:val="000045B8"/>
    <w:rsid w:val="000306CF"/>
    <w:rsid w:val="00031123"/>
    <w:rsid w:val="00033080"/>
    <w:rsid w:val="00040D92"/>
    <w:rsid w:val="00043455"/>
    <w:rsid w:val="00043896"/>
    <w:rsid w:val="00060D87"/>
    <w:rsid w:val="000909BF"/>
    <w:rsid w:val="000B3844"/>
    <w:rsid w:val="000C50B3"/>
    <w:rsid w:val="000D00E8"/>
    <w:rsid w:val="000D33A3"/>
    <w:rsid w:val="000E030A"/>
    <w:rsid w:val="000E3EB8"/>
    <w:rsid w:val="000E6E57"/>
    <w:rsid w:val="001033B6"/>
    <w:rsid w:val="001320EC"/>
    <w:rsid w:val="001419E9"/>
    <w:rsid w:val="00161C65"/>
    <w:rsid w:val="00164D35"/>
    <w:rsid w:val="0016781C"/>
    <w:rsid w:val="00167912"/>
    <w:rsid w:val="00175F76"/>
    <w:rsid w:val="001B209B"/>
    <w:rsid w:val="001B6A98"/>
    <w:rsid w:val="001B6EF2"/>
    <w:rsid w:val="001C00FD"/>
    <w:rsid w:val="001C7313"/>
    <w:rsid w:val="00204C7A"/>
    <w:rsid w:val="00214E76"/>
    <w:rsid w:val="00215F6C"/>
    <w:rsid w:val="00234D96"/>
    <w:rsid w:val="0024308D"/>
    <w:rsid w:val="00270E3C"/>
    <w:rsid w:val="002C3410"/>
    <w:rsid w:val="002F0699"/>
    <w:rsid w:val="002F11E2"/>
    <w:rsid w:val="002F6112"/>
    <w:rsid w:val="00300CED"/>
    <w:rsid w:val="0034537A"/>
    <w:rsid w:val="00353EA8"/>
    <w:rsid w:val="0035509B"/>
    <w:rsid w:val="00356D2E"/>
    <w:rsid w:val="00376EE5"/>
    <w:rsid w:val="00380EEA"/>
    <w:rsid w:val="003C22FA"/>
    <w:rsid w:val="003D1AEE"/>
    <w:rsid w:val="003D38B1"/>
    <w:rsid w:val="003E264F"/>
    <w:rsid w:val="003E38E2"/>
    <w:rsid w:val="003F6907"/>
    <w:rsid w:val="003F74D5"/>
    <w:rsid w:val="00410B2F"/>
    <w:rsid w:val="0042277E"/>
    <w:rsid w:val="00427087"/>
    <w:rsid w:val="004343BC"/>
    <w:rsid w:val="0044072A"/>
    <w:rsid w:val="004603D7"/>
    <w:rsid w:val="00486EE9"/>
    <w:rsid w:val="00492881"/>
    <w:rsid w:val="004B3CFF"/>
    <w:rsid w:val="004B4114"/>
    <w:rsid w:val="004C6D9F"/>
    <w:rsid w:val="004D235C"/>
    <w:rsid w:val="00511F1B"/>
    <w:rsid w:val="0051379A"/>
    <w:rsid w:val="00534AB8"/>
    <w:rsid w:val="00537576"/>
    <w:rsid w:val="00556570"/>
    <w:rsid w:val="00562CA4"/>
    <w:rsid w:val="005838F2"/>
    <w:rsid w:val="005A5869"/>
    <w:rsid w:val="005A709A"/>
    <w:rsid w:val="006335B9"/>
    <w:rsid w:val="00650EC2"/>
    <w:rsid w:val="00652D51"/>
    <w:rsid w:val="00665121"/>
    <w:rsid w:val="006661E7"/>
    <w:rsid w:val="0067391E"/>
    <w:rsid w:val="00680A93"/>
    <w:rsid w:val="0068790A"/>
    <w:rsid w:val="00687A29"/>
    <w:rsid w:val="006C68CB"/>
    <w:rsid w:val="006D21C0"/>
    <w:rsid w:val="006F3B73"/>
    <w:rsid w:val="00700B88"/>
    <w:rsid w:val="00734418"/>
    <w:rsid w:val="0073540F"/>
    <w:rsid w:val="007529BA"/>
    <w:rsid w:val="00753754"/>
    <w:rsid w:val="007642FB"/>
    <w:rsid w:val="007702BA"/>
    <w:rsid w:val="00793A96"/>
    <w:rsid w:val="00796394"/>
    <w:rsid w:val="007A699C"/>
    <w:rsid w:val="007B53F1"/>
    <w:rsid w:val="007C157C"/>
    <w:rsid w:val="007E0A21"/>
    <w:rsid w:val="008001C1"/>
    <w:rsid w:val="008219A4"/>
    <w:rsid w:val="00825A6F"/>
    <w:rsid w:val="00836EB0"/>
    <w:rsid w:val="00843246"/>
    <w:rsid w:val="00851A6E"/>
    <w:rsid w:val="00855455"/>
    <w:rsid w:val="0085758D"/>
    <w:rsid w:val="0086464D"/>
    <w:rsid w:val="0086492D"/>
    <w:rsid w:val="008A726E"/>
    <w:rsid w:val="008B4731"/>
    <w:rsid w:val="008B53B4"/>
    <w:rsid w:val="008C56CB"/>
    <w:rsid w:val="008D4362"/>
    <w:rsid w:val="008E2CE8"/>
    <w:rsid w:val="00921A61"/>
    <w:rsid w:val="009411A2"/>
    <w:rsid w:val="00955392"/>
    <w:rsid w:val="00955CF7"/>
    <w:rsid w:val="009568F9"/>
    <w:rsid w:val="009757B4"/>
    <w:rsid w:val="00991A47"/>
    <w:rsid w:val="009A18CB"/>
    <w:rsid w:val="009C0C76"/>
    <w:rsid w:val="009C0D05"/>
    <w:rsid w:val="00A22B83"/>
    <w:rsid w:val="00A27FB7"/>
    <w:rsid w:val="00A33CFC"/>
    <w:rsid w:val="00A46278"/>
    <w:rsid w:val="00A509D4"/>
    <w:rsid w:val="00AC3C3A"/>
    <w:rsid w:val="00AE1D5C"/>
    <w:rsid w:val="00AE3EA0"/>
    <w:rsid w:val="00AF11D1"/>
    <w:rsid w:val="00AF78C5"/>
    <w:rsid w:val="00B013A9"/>
    <w:rsid w:val="00B01575"/>
    <w:rsid w:val="00B24741"/>
    <w:rsid w:val="00B25216"/>
    <w:rsid w:val="00B63665"/>
    <w:rsid w:val="00B637D0"/>
    <w:rsid w:val="00B71801"/>
    <w:rsid w:val="00B75712"/>
    <w:rsid w:val="00B874B2"/>
    <w:rsid w:val="00B8786D"/>
    <w:rsid w:val="00BA5FA9"/>
    <w:rsid w:val="00BB6C83"/>
    <w:rsid w:val="00BD7476"/>
    <w:rsid w:val="00C21429"/>
    <w:rsid w:val="00C40BC7"/>
    <w:rsid w:val="00C42674"/>
    <w:rsid w:val="00C512C1"/>
    <w:rsid w:val="00C51D1E"/>
    <w:rsid w:val="00C562F8"/>
    <w:rsid w:val="00C64D8F"/>
    <w:rsid w:val="00C820B1"/>
    <w:rsid w:val="00C86868"/>
    <w:rsid w:val="00CA08D7"/>
    <w:rsid w:val="00CD0FE8"/>
    <w:rsid w:val="00CD3DB8"/>
    <w:rsid w:val="00CE5DD4"/>
    <w:rsid w:val="00CF2879"/>
    <w:rsid w:val="00D017E0"/>
    <w:rsid w:val="00D03BE0"/>
    <w:rsid w:val="00D210E1"/>
    <w:rsid w:val="00D24F75"/>
    <w:rsid w:val="00D50A96"/>
    <w:rsid w:val="00D62FE5"/>
    <w:rsid w:val="00D95A9B"/>
    <w:rsid w:val="00DA1A70"/>
    <w:rsid w:val="00DC0F78"/>
    <w:rsid w:val="00DC27E6"/>
    <w:rsid w:val="00DE20B3"/>
    <w:rsid w:val="00DF2E6D"/>
    <w:rsid w:val="00E01E3D"/>
    <w:rsid w:val="00E06AE2"/>
    <w:rsid w:val="00E11056"/>
    <w:rsid w:val="00E32407"/>
    <w:rsid w:val="00E32A57"/>
    <w:rsid w:val="00E4768B"/>
    <w:rsid w:val="00E5672A"/>
    <w:rsid w:val="00E8049F"/>
    <w:rsid w:val="00E82166"/>
    <w:rsid w:val="00E83C73"/>
    <w:rsid w:val="00E8653A"/>
    <w:rsid w:val="00E933D0"/>
    <w:rsid w:val="00EA36FE"/>
    <w:rsid w:val="00EB083D"/>
    <w:rsid w:val="00EB3EDC"/>
    <w:rsid w:val="00EC50C6"/>
    <w:rsid w:val="00EE110F"/>
    <w:rsid w:val="00EE4741"/>
    <w:rsid w:val="00F17059"/>
    <w:rsid w:val="00F34353"/>
    <w:rsid w:val="00F55C64"/>
    <w:rsid w:val="00F7490C"/>
    <w:rsid w:val="00F8136A"/>
    <w:rsid w:val="00F87292"/>
    <w:rsid w:val="00FA3ECC"/>
    <w:rsid w:val="00FE35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60D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0D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60D8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60D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roparl.europa.eu/oeil/popups/ficheprocedure.do?lang=en&amp;reference=2012/2024(INI)"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1428</Words>
  <Characters>8428</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Lukas Potesil, Ph.D.</dc:creator>
  <cp:lastModifiedBy>JUDr. Lukas Potesil, Ph.D.</cp:lastModifiedBy>
  <cp:revision>1</cp:revision>
  <cp:lastPrinted>2013-08-05T06:39:00Z</cp:lastPrinted>
  <dcterms:created xsi:type="dcterms:W3CDTF">2013-08-05T06:38:00Z</dcterms:created>
  <dcterms:modified xsi:type="dcterms:W3CDTF">2013-08-05T06:41:00Z</dcterms:modified>
</cp:coreProperties>
</file>