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25" w:rsidRDefault="00910125" w:rsidP="00910125">
      <w:pPr>
        <w:spacing w:after="120" w:line="360" w:lineRule="auto"/>
        <w:jc w:val="both"/>
        <w:rPr>
          <w:b/>
        </w:rPr>
      </w:pPr>
      <w:r>
        <w:rPr>
          <w:b/>
        </w:rPr>
        <w:t>7.2.2 Uznání a výkon</w:t>
      </w:r>
      <w:r w:rsidRPr="00351F59">
        <w:rPr>
          <w:b/>
        </w:rPr>
        <w:t xml:space="preserve"> mimo ICSID</w:t>
      </w:r>
    </w:p>
    <w:p w:rsidR="00910125" w:rsidRDefault="00910125" w:rsidP="00910125">
      <w:pPr>
        <w:spacing w:after="120" w:line="360" w:lineRule="auto"/>
        <w:jc w:val="both"/>
      </w:pPr>
      <w:r>
        <w:t>V části o kontrole rozhodčích nálezů v mezinárodní obchodní arbitráži byla extenzivně rozebírána NYÚ. Tato úmluva se podle převažujících názorů uplatní i v případě mezinárodních investičních nálezů.</w:t>
      </w:r>
      <w:r>
        <w:rPr>
          <w:rStyle w:val="Znakapoznpodarou"/>
        </w:rPr>
        <w:footnoteReference w:id="1"/>
      </w:r>
      <w:r>
        <w:t xml:space="preserve"> To umožňuje liberální interpretace úmluvy, zejména pokud se týká zejména pojmu „</w:t>
      </w:r>
      <w:r w:rsidRPr="00B82DB6">
        <w:rPr>
          <w:i/>
        </w:rPr>
        <w:t>písemná dohoda</w:t>
      </w:r>
      <w:r>
        <w:t>“, kterým tvůrci úmluvy původně zamýšlely rozhodčí smlouvu či doložku, nikoli ustanovení o řešení sporů v BIT.</w:t>
      </w:r>
      <w:r>
        <w:rPr>
          <w:rStyle w:val="Znakapoznpodarou"/>
        </w:rPr>
        <w:footnoteReference w:id="2"/>
      </w:r>
      <w:r>
        <w:t xml:space="preserve"> Hlavní otázkou, pokud se týká výkonu nálezů na základě NYÚ, je eventuální obrana státu imunitou podle mezinárodního práva.</w:t>
      </w:r>
    </w:p>
    <w:p w:rsidR="00910125" w:rsidRDefault="00910125" w:rsidP="00910125">
      <w:pPr>
        <w:spacing w:after="120" w:line="360" w:lineRule="auto"/>
        <w:jc w:val="both"/>
        <w:rPr>
          <w:b/>
        </w:rPr>
      </w:pPr>
      <w:r>
        <w:rPr>
          <w:b/>
        </w:rPr>
        <w:t xml:space="preserve">7.3 </w:t>
      </w:r>
      <w:r w:rsidRPr="00A553F1">
        <w:rPr>
          <w:b/>
        </w:rPr>
        <w:t xml:space="preserve">Imunita státu   </w:t>
      </w:r>
    </w:p>
    <w:p w:rsidR="00910125" w:rsidRPr="002E7F1C" w:rsidRDefault="00910125" w:rsidP="00910125">
      <w:pPr>
        <w:spacing w:after="120" w:line="360" w:lineRule="auto"/>
        <w:jc w:val="both"/>
      </w:pPr>
      <w:r w:rsidRPr="002E7F1C">
        <w:t>Imunita státu je</w:t>
      </w:r>
      <w:r>
        <w:t xml:space="preserve"> obecně</w:t>
      </w:r>
      <w:r w:rsidRPr="002E7F1C">
        <w:t xml:space="preserve"> vynětí státu</w:t>
      </w:r>
      <w:r>
        <w:t xml:space="preserve"> z pravomoci orgánů jiných států</w:t>
      </w:r>
      <w:r w:rsidRPr="002E7F1C">
        <w:t>.</w:t>
      </w:r>
      <w:r w:rsidRPr="002E7F1C">
        <w:rPr>
          <w:rStyle w:val="Znakapoznpodarou"/>
        </w:rPr>
        <w:footnoteReference w:id="3"/>
      </w:r>
      <w:r>
        <w:t xml:space="preserve"> Pramenem právní úpravy jsou mezinárodní obyčeje, mezinárodní smlouvy a vnitrostátní legislativa.</w:t>
      </w:r>
      <w:r>
        <w:rPr>
          <w:rStyle w:val="Znakapoznpodarou"/>
        </w:rPr>
        <w:footnoteReference w:id="4"/>
      </w:r>
    </w:p>
    <w:p w:rsidR="00910125" w:rsidRPr="00423936" w:rsidRDefault="00910125" w:rsidP="00910125">
      <w:pPr>
        <w:tabs>
          <w:tab w:val="left" w:pos="4755"/>
        </w:tabs>
        <w:spacing w:after="120" w:line="360" w:lineRule="auto"/>
        <w:jc w:val="both"/>
      </w:pPr>
      <w:r w:rsidRPr="00423936">
        <w:t>Jurisdikční imunita je vynětím z rozhodování soudů či jiných orgánů státu o právech a povinnostech druhého státu.</w:t>
      </w:r>
      <w:r w:rsidRPr="00423936">
        <w:rPr>
          <w:rStyle w:val="Znakapoznpodarou"/>
        </w:rPr>
        <w:footnoteReference w:id="5"/>
      </w:r>
      <w:r>
        <w:t xml:space="preserve"> </w:t>
      </w:r>
      <w:r w:rsidRPr="00423936">
        <w:t>Jurisdikční imunita se neuplatňuje pouze ve fázi nalézací, ale také ve fázi uznání rozhodčího nálezu.</w:t>
      </w:r>
      <w:r w:rsidRPr="00423936">
        <w:rPr>
          <w:rStyle w:val="Znakapoznpodarou"/>
        </w:rPr>
        <w:footnoteReference w:id="6"/>
      </w:r>
      <w:r w:rsidRPr="00423936">
        <w:t xml:space="preserve"> </w:t>
      </w:r>
    </w:p>
    <w:p w:rsidR="00910125" w:rsidRPr="00423936" w:rsidRDefault="00910125" w:rsidP="00910125">
      <w:pPr>
        <w:spacing w:after="120" w:line="360" w:lineRule="auto"/>
        <w:jc w:val="both"/>
      </w:pPr>
      <w:r w:rsidRPr="00423936">
        <w:t>Exekuční imunita je pak vynětí majetku státu z nuceného výkonu rozhodnutí, a to jak ve fázi před vydáním meritorního rozhodnutí, tak po jeho vydání.</w:t>
      </w:r>
      <w:r>
        <w:t xml:space="preserve"> V</w:t>
      </w:r>
      <w:r w:rsidRPr="00423936">
        <w:t>ylučuje, aby soudy či jiné orgány státu prováděly či umožnily provést nucený výkon rozhodčího nálezu na maj</w:t>
      </w:r>
      <w:r>
        <w:t xml:space="preserve">etek jiného státu, pokud tento </w:t>
      </w:r>
      <w:r w:rsidRPr="00423936">
        <w:t>slouží neobchodním účelům.</w:t>
      </w:r>
      <w:r w:rsidRPr="00423936">
        <w:rPr>
          <w:rStyle w:val="Znakapoznpodarou"/>
        </w:rPr>
        <w:footnoteReference w:id="7"/>
      </w:r>
    </w:p>
    <w:p w:rsidR="00910125" w:rsidRDefault="00910125" w:rsidP="00910125">
      <w:pPr>
        <w:tabs>
          <w:tab w:val="left" w:pos="4755"/>
        </w:tabs>
        <w:spacing w:after="120" w:line="360" w:lineRule="auto"/>
        <w:jc w:val="both"/>
      </w:pPr>
      <w:r>
        <w:t>U</w:t>
      </w:r>
      <w:r w:rsidRPr="00423936">
        <w:t xml:space="preserve"> imun</w:t>
      </w:r>
      <w:r>
        <w:t>ity jurisdikční je nezbytné posoudit</w:t>
      </w:r>
      <w:r w:rsidRPr="00423936">
        <w:t xml:space="preserve">, zda jednání státu spadá do kategorie </w:t>
      </w:r>
      <w:r w:rsidRPr="00423936">
        <w:rPr>
          <w:i/>
        </w:rPr>
        <w:t>acta iure</w:t>
      </w:r>
      <w:r w:rsidRPr="00423936">
        <w:t xml:space="preserve"> </w:t>
      </w:r>
      <w:r w:rsidRPr="00423936">
        <w:rPr>
          <w:i/>
        </w:rPr>
        <w:t>imperii</w:t>
      </w:r>
      <w:r>
        <w:t xml:space="preserve">, v nichž stát jedná jako suverén, anebo </w:t>
      </w:r>
      <w:r w:rsidRPr="00C71C4D">
        <w:rPr>
          <w:i/>
        </w:rPr>
        <w:t>iure gestionis</w:t>
      </w:r>
      <w:r>
        <w:t xml:space="preserve">, v nichž vystupuje jako </w:t>
      </w:r>
      <w:r>
        <w:lastRenderedPageBreak/>
        <w:t>soukromá osoba.</w:t>
      </w:r>
      <w:r>
        <w:rPr>
          <w:rStyle w:val="Znakapoznpodarou"/>
        </w:rPr>
        <w:footnoteReference w:id="8"/>
      </w:r>
      <w:r>
        <w:t xml:space="preserve"> Uzavření rozhodčí doložky nepochybně spadá pod jednání </w:t>
      </w:r>
      <w:r w:rsidRPr="009F52CA">
        <w:rPr>
          <w:i/>
        </w:rPr>
        <w:t>iure gestionis</w:t>
      </w:r>
      <w:r>
        <w:t>, zatímco sjednání BIT stát činí nepochybně jako suverén.</w:t>
      </w:r>
      <w:r>
        <w:rPr>
          <w:rStyle w:val="Znakapoznpodarou"/>
        </w:rPr>
        <w:footnoteReference w:id="9"/>
      </w:r>
    </w:p>
    <w:p w:rsidR="00910125" w:rsidRPr="00423936" w:rsidRDefault="00910125" w:rsidP="00910125">
      <w:pPr>
        <w:tabs>
          <w:tab w:val="left" w:pos="4755"/>
        </w:tabs>
        <w:spacing w:after="120" w:line="360" w:lineRule="auto"/>
        <w:jc w:val="both"/>
      </w:pPr>
      <w:r>
        <w:t>V případě</w:t>
      </w:r>
      <w:r w:rsidRPr="00423936">
        <w:t xml:space="preserve"> exekuční imunity je třeba rozhodnout, zda věci, vůči nimž se oprávněný z </w:t>
      </w:r>
      <w:r>
        <w:t xml:space="preserve"> </w:t>
      </w:r>
      <w:r w:rsidRPr="00423936">
        <w:t>rozhodčí</w:t>
      </w:r>
      <w:r>
        <w:t>ho nálezu domáhá výkonu, náleží</w:t>
      </w:r>
      <w:r w:rsidRPr="00423936">
        <w:t xml:space="preserve"> do kateg</w:t>
      </w:r>
      <w:r>
        <w:t xml:space="preserve">orie věcí určených k obchodnímu, anebo </w:t>
      </w:r>
      <w:r w:rsidRPr="00423936">
        <w:t>neobchodnímu účelu.</w:t>
      </w:r>
      <w:r w:rsidRPr="00423936">
        <w:rPr>
          <w:rStyle w:val="Znakapoznpodarou"/>
        </w:rPr>
        <w:footnoteReference w:id="10"/>
      </w:r>
      <w:r w:rsidRPr="00423936">
        <w:t xml:space="preserve"> </w:t>
      </w:r>
    </w:p>
    <w:p w:rsidR="00910125" w:rsidRPr="000B2A6D" w:rsidRDefault="00910125" w:rsidP="00910125">
      <w:pPr>
        <w:tabs>
          <w:tab w:val="left" w:pos="4755"/>
        </w:tabs>
        <w:spacing w:after="120" w:line="360" w:lineRule="auto"/>
        <w:jc w:val="both"/>
      </w:pPr>
      <w:r>
        <w:t>Jestliže u</w:t>
      </w:r>
      <w:r w:rsidRPr="00423936">
        <w:t>znání rozsudku by měla pokrývat imunita jurisdikční, kdežto vý</w:t>
      </w:r>
      <w:r>
        <w:t>kon rozhodnutí imunita exekuční, v</w:t>
      </w:r>
      <w:r w:rsidRPr="00423936">
        <w:t>zdání se jurisdikční imunity udělením souhlasu s arbitráží v BIT se „prodlouží“ do fáze uznání rozhodčího nálezu, a soud by proto neměl odmítnout uznat</w:t>
      </w:r>
      <w:r>
        <w:t xml:space="preserve"> rozhodčí nález</w:t>
      </w:r>
      <w:r w:rsidRPr="00423936">
        <w:t>. To ovšem ještě neřeší otázku uplatnění exekuční imunity v rámci sam</w:t>
      </w:r>
      <w:r>
        <w:t>otného výkonu rozhodčího nálezu.</w:t>
      </w:r>
    </w:p>
    <w:p w:rsidR="00910125" w:rsidRDefault="00910125" w:rsidP="00910125">
      <w:pPr>
        <w:spacing w:after="120" w:line="360" w:lineRule="auto"/>
        <w:jc w:val="both"/>
        <w:rPr>
          <w:b/>
        </w:rPr>
      </w:pPr>
      <w:r>
        <w:rPr>
          <w:b/>
        </w:rPr>
        <w:t xml:space="preserve">7. 3. 1 </w:t>
      </w:r>
      <w:r w:rsidRPr="00B906E7">
        <w:rPr>
          <w:b/>
        </w:rPr>
        <w:t>Vzdání se imunity</w:t>
      </w:r>
    </w:p>
    <w:p w:rsidR="00910125" w:rsidRPr="00117F45" w:rsidRDefault="00910125" w:rsidP="00910125">
      <w:pPr>
        <w:spacing w:after="120" w:line="360" w:lineRule="auto"/>
        <w:jc w:val="both"/>
      </w:pPr>
      <w:r w:rsidRPr="00117F45">
        <w:t>Vznést imunitu je oprávněním státu. Je tedy možnost se jí vzdát.</w:t>
      </w:r>
      <w:r>
        <w:rPr>
          <w:rStyle w:val="Znakapoznpodarou"/>
        </w:rPr>
        <w:footnoteReference w:id="11"/>
      </w:r>
    </w:p>
    <w:p w:rsidR="00910125" w:rsidRDefault="00910125" w:rsidP="00910125">
      <w:pPr>
        <w:spacing w:after="120" w:line="360" w:lineRule="auto"/>
        <w:jc w:val="both"/>
      </w:pPr>
      <w:r>
        <w:t>Souhlas státu s investiční arbitráží v BIT lze poměrně jednomyslně chápat jako vzdání se jurisdikční imunity, pokud se týká pomocné a kontrolní funkce soudů v arbitráži.</w:t>
      </w:r>
      <w:r>
        <w:rPr>
          <w:rStyle w:val="Znakapoznpodarou"/>
        </w:rPr>
        <w:footnoteReference w:id="12"/>
      </w:r>
      <w:r>
        <w:t xml:space="preserve"> Vzdání se jurisdikční neznamená automaticky vzdání se imunity exekuční.</w:t>
      </w:r>
      <w:r>
        <w:rPr>
          <w:rStyle w:val="Znakapoznpodarou"/>
        </w:rPr>
        <w:footnoteReference w:id="13"/>
      </w:r>
      <w:r>
        <w:t xml:space="preserve"> Existuje také shoda na tom, že exekuční imunity je třeba se vzdát výslovně.</w:t>
      </w:r>
      <w:r>
        <w:rPr>
          <w:rStyle w:val="Znakapoznpodarou"/>
        </w:rPr>
        <w:footnoteReference w:id="14"/>
      </w:r>
    </w:p>
    <w:p w:rsidR="00910125" w:rsidRDefault="00910125" w:rsidP="00910125">
      <w:pPr>
        <w:spacing w:after="120" w:line="360" w:lineRule="auto"/>
        <w:jc w:val="both"/>
      </w:pPr>
      <w:r>
        <w:t>V některých zemích je vidět jednoznačná podpora exekuční imunitě majetku států. Např. ve Francii ve dvou zásadních rozsudcích Kasačního dvora bylo potvrzeno, že vzdání se exekuční imunity musí být výslovné.</w:t>
      </w:r>
      <w:r>
        <w:rPr>
          <w:rStyle w:val="Znakapoznpodarou"/>
        </w:rPr>
        <w:footnoteReference w:id="15"/>
      </w:r>
      <w:r>
        <w:t xml:space="preserve"> Následovala novela francouzského exekučního řádu, která kodifikovala přísné podmínky pro výkon exekučních titulů proti majetku státu.</w:t>
      </w:r>
      <w:r>
        <w:rPr>
          <w:rStyle w:val="Znakapoznpodarou"/>
        </w:rPr>
        <w:footnoteReference w:id="16"/>
      </w:r>
      <w:r>
        <w:t xml:space="preserve"> Podle čl. L 111-1-1 tohoto zákona musí být dán před exekucí majetku cizího státu ve Francii předběžný souhlas soudce.</w:t>
      </w:r>
      <w:r>
        <w:rPr>
          <w:rStyle w:val="Znakapoznpodarou"/>
        </w:rPr>
        <w:footnoteReference w:id="17"/>
      </w:r>
      <w:r>
        <w:t xml:space="preserve"> Dle čl. 111-1-2 mohou být „zajišťovací či exekuční opatření“ vůči ciziímu státu učiněna pouze za splnění jedné z následujících podmínek:</w:t>
      </w:r>
      <w:r>
        <w:rPr>
          <w:rStyle w:val="Znakapoznpodarou"/>
        </w:rPr>
        <w:footnoteReference w:id="18"/>
      </w:r>
    </w:p>
    <w:p w:rsidR="00910125" w:rsidRDefault="00910125" w:rsidP="00910125">
      <w:pPr>
        <w:pStyle w:val="Odstavecseseznamem"/>
        <w:numPr>
          <w:ilvl w:val="0"/>
          <w:numId w:val="2"/>
        </w:numPr>
        <w:spacing w:after="120" w:line="360" w:lineRule="auto"/>
        <w:jc w:val="both"/>
      </w:pPr>
      <w:r>
        <w:t>Stát výslovně souhlasil s použitím takového opatření</w:t>
      </w:r>
    </w:p>
    <w:p w:rsidR="00910125" w:rsidRDefault="00910125" w:rsidP="00910125">
      <w:pPr>
        <w:pStyle w:val="Odstavecseseznamem"/>
        <w:numPr>
          <w:ilvl w:val="0"/>
          <w:numId w:val="2"/>
        </w:numPr>
        <w:spacing w:after="120" w:line="360" w:lineRule="auto"/>
        <w:jc w:val="both"/>
      </w:pPr>
      <w:r>
        <w:t xml:space="preserve">Stát vyhradil takovou věc pro uspokojení nároku  </w:t>
      </w:r>
    </w:p>
    <w:p w:rsidR="00910125" w:rsidRDefault="00910125" w:rsidP="00910125">
      <w:pPr>
        <w:pStyle w:val="Odstavecseseznamem"/>
        <w:numPr>
          <w:ilvl w:val="0"/>
          <w:numId w:val="2"/>
        </w:numPr>
        <w:spacing w:after="120" w:line="360" w:lineRule="auto"/>
        <w:jc w:val="both"/>
      </w:pPr>
      <w:r>
        <w:t>Věc musí být užívána státem pro jiné než veřejné, nekomerční účely a má spojení s entitu, vůči níž je vedena exekuce</w:t>
      </w:r>
    </w:p>
    <w:p w:rsidR="00910125" w:rsidRPr="0092259C" w:rsidRDefault="00910125" w:rsidP="00910125">
      <w:pPr>
        <w:tabs>
          <w:tab w:val="left" w:pos="4755"/>
        </w:tabs>
        <w:spacing w:after="120" w:line="360" w:lineRule="auto"/>
        <w:jc w:val="both"/>
      </w:pPr>
      <w:r w:rsidRPr="0092259C">
        <w:t>Mezi věci, vůči nimž nelze vést výkon, patří zejména bankovní účty diplomatické mise, věci vojenské povahy nebo užívané k vojenskému účelu, věci náležející ke kulturnímu dědictví, předměty vědecké, kulturní či historické hodnoty, které nejsou určeny k prodeji.</w:t>
      </w:r>
      <w:r>
        <w:rPr>
          <w:rStyle w:val="Znakapoznpodarou"/>
        </w:rPr>
        <w:footnoteReference w:id="19"/>
      </w:r>
      <w:r>
        <w:t xml:space="preserve"> Nakonec není možné exekuovat pohledávky státu fiskální či sociální povahy vůči třetím osobám.</w:t>
      </w:r>
      <w:r>
        <w:rPr>
          <w:rStyle w:val="Znakapoznpodarou"/>
        </w:rPr>
        <w:footnoteReference w:id="20"/>
      </w:r>
      <w:r>
        <w:t xml:space="preserve"> Obdobnu úpravu přijal i belgický zákonodárce.</w:t>
      </w:r>
      <w:r>
        <w:rPr>
          <w:rStyle w:val="Znakapoznpodarou"/>
        </w:rPr>
        <w:footnoteReference w:id="21"/>
      </w:r>
    </w:p>
    <w:p w:rsidR="00910125" w:rsidRDefault="00910125" w:rsidP="00910125">
      <w:pPr>
        <w:tabs>
          <w:tab w:val="left" w:pos="4755"/>
        </w:tabs>
        <w:spacing w:after="120" w:line="360" w:lineRule="auto"/>
        <w:jc w:val="both"/>
        <w:rPr>
          <w:b/>
        </w:rPr>
      </w:pPr>
      <w:r>
        <w:rPr>
          <w:b/>
        </w:rPr>
        <w:t xml:space="preserve">7.3.2 Vzdání se imunity státu na základě </w:t>
      </w:r>
      <w:r w:rsidRPr="00F65CD8">
        <w:rPr>
          <w:b/>
        </w:rPr>
        <w:t>ustanovení BIT</w:t>
      </w:r>
      <w:r>
        <w:rPr>
          <w:b/>
        </w:rPr>
        <w:t>?</w:t>
      </w:r>
    </w:p>
    <w:p w:rsidR="00910125" w:rsidRPr="00E83A2E" w:rsidRDefault="00910125" w:rsidP="00910125">
      <w:pPr>
        <w:spacing w:after="120" w:line="360" w:lineRule="auto"/>
        <w:jc w:val="both"/>
        <w:rPr>
          <w:rStyle w:val="Nadpis3Char"/>
          <w:szCs w:val="24"/>
          <w:lang w:val="cs-CZ"/>
        </w:rPr>
      </w:pPr>
      <w:r>
        <w:t xml:space="preserve">V případu </w:t>
      </w:r>
      <w:r w:rsidRPr="006B0EDA">
        <w:rPr>
          <w:i/>
        </w:rPr>
        <w:t>Walter Bau</w:t>
      </w:r>
      <w:r>
        <w:t xml:space="preserve"> získal německý investor nález proti Thajsku.</w:t>
      </w:r>
      <w:r w:rsidRPr="00196791">
        <w:rPr>
          <w:rStyle w:val="Znakapoznpodarou"/>
        </w:rPr>
        <w:footnoteReference w:id="22"/>
      </w:r>
      <w:r>
        <w:t xml:space="preserve"> Následně se snažil o uznání v Německu. Podařilo se přitom zajisit letadlo thajského prince pro účely uspokojení pohledávky z rozhodčího nálezu.</w:t>
      </w:r>
      <w:r w:rsidRPr="00A34638">
        <w:rPr>
          <w:rStyle w:val="Nadpis3Char"/>
          <w:lang w:val="cs-CZ"/>
        </w:rPr>
        <w:t xml:space="preserve"> </w:t>
      </w:r>
      <w:r w:rsidRPr="00765D70">
        <w:rPr>
          <w:rStyle w:val="Znakapoznpodarou"/>
        </w:rPr>
        <w:footnoteReference w:id="23"/>
      </w:r>
    </w:p>
    <w:p w:rsidR="00910125" w:rsidRDefault="00910125" w:rsidP="00910125">
      <w:pPr>
        <w:tabs>
          <w:tab w:val="left" w:pos="4755"/>
        </w:tabs>
        <w:spacing w:line="360" w:lineRule="auto"/>
        <w:jc w:val="both"/>
      </w:pPr>
      <w:r w:rsidRPr="00E151F3">
        <w:t>Německý</w:t>
      </w:r>
      <w:r>
        <w:t xml:space="preserve"> </w:t>
      </w:r>
      <w:r w:rsidRPr="00961CD2">
        <w:rPr>
          <w:i/>
        </w:rPr>
        <w:t>Bundegerichtshof</w:t>
      </w:r>
      <w:r>
        <w:t xml:space="preserve"> </w:t>
      </w:r>
      <w:r w:rsidRPr="00E151F3">
        <w:t>rozhodl, že uznání a výkon rozhodčího nálezu spadají do oblasti adjudikace, tj. do rámce imunity jurisdikční.</w:t>
      </w:r>
      <w:r>
        <w:rPr>
          <w:rStyle w:val="Znakapoznpodarou"/>
        </w:rPr>
        <w:footnoteReference w:id="24"/>
      </w:r>
      <w:r w:rsidRPr="00E151F3">
        <w:t xml:space="preserve"> V </w:t>
      </w:r>
      <w:r>
        <w:t>předmětné věci nicméně shledal</w:t>
      </w:r>
      <w:r w:rsidRPr="00E151F3">
        <w:t xml:space="preserve">, že odmítnutí zvýšit mýtné a další jednání vytýkaná Thajsku byla </w:t>
      </w:r>
      <w:r w:rsidRPr="00E151F3">
        <w:rPr>
          <w:i/>
        </w:rPr>
        <w:t>acta iure imperii</w:t>
      </w:r>
      <w:r w:rsidRPr="00E151F3">
        <w:t>.</w:t>
      </w:r>
      <w:r w:rsidRPr="00E151F3">
        <w:rPr>
          <w:rStyle w:val="Znakapoznpodarou"/>
        </w:rPr>
        <w:footnoteReference w:id="25"/>
      </w:r>
      <w:r w:rsidRPr="00E151F3">
        <w:t xml:space="preserve"> Bylo </w:t>
      </w:r>
      <w:r>
        <w:t xml:space="preserve">proto </w:t>
      </w:r>
      <w:r w:rsidRPr="00E151F3">
        <w:t xml:space="preserve">nutné přistoupit k otázce, zda akceptace rozhodčího řízení na základě BIT ze strany Thajska, znamenala implicitní vzdání se imunity i pro fázi uznání a výkonu. </w:t>
      </w:r>
      <w:r>
        <w:t>Tuto otázku však SNS nevyjasnil, leč</w:t>
      </w:r>
      <w:r w:rsidRPr="00E151F3">
        <w:t xml:space="preserve"> pouze konstatoval, že smysl a účel BIT by byl zpochybněn, pokud by výkon rozhodčího nálezu byl možný dle německého práva, ale jemu předcházející uznání nikoliv.</w:t>
      </w:r>
      <w:r w:rsidRPr="00E151F3">
        <w:rPr>
          <w:rStyle w:val="Znakapoznpodarou"/>
        </w:rPr>
        <w:footnoteReference w:id="26"/>
      </w:r>
      <w:r w:rsidRPr="00E151F3">
        <w:t xml:space="preserve"> Soud přit</w:t>
      </w:r>
      <w:r>
        <w:t>om poukázal na čl. 10 (2) německo-thajské BIT</w:t>
      </w:r>
      <w:r w:rsidRPr="00E151F3">
        <w:t>, který stanoví, že „</w:t>
      </w:r>
      <w:r w:rsidRPr="00E151F3">
        <w:rPr>
          <w:i/>
        </w:rPr>
        <w:t>nález bude vykonán v souladu s vnitrostátním právem</w:t>
      </w:r>
      <w:r w:rsidRPr="00E151F3">
        <w:t>.“</w:t>
      </w:r>
      <w:r w:rsidRPr="00E151F3">
        <w:rPr>
          <w:rStyle w:val="Znakapoznpodarou"/>
        </w:rPr>
        <w:footnoteReference w:id="27"/>
      </w:r>
      <w:r w:rsidRPr="00E151F3">
        <w:t xml:space="preserve"> </w:t>
      </w:r>
    </w:p>
    <w:p w:rsidR="00910125" w:rsidRPr="00765D70" w:rsidRDefault="00910125" w:rsidP="00910125">
      <w:pPr>
        <w:spacing w:after="120" w:line="360" w:lineRule="auto"/>
        <w:jc w:val="both"/>
      </w:pPr>
      <w:r>
        <w:t>Dodejme, že podobné ustanovení obsahuje také Česko-německá dohoda o ochraně investic: „</w:t>
      </w:r>
      <w:r w:rsidRPr="007D5A70">
        <w:rPr>
          <w:i/>
        </w:rPr>
        <w:t>Rozho</w:t>
      </w:r>
      <w:r>
        <w:rPr>
          <w:i/>
        </w:rPr>
        <w:t xml:space="preserve">dčí výrok bude uznán a vykonán </w:t>
      </w:r>
      <w:r w:rsidRPr="007D5A70">
        <w:rPr>
          <w:i/>
        </w:rPr>
        <w:t>podle Úmluvy o uznávání a výkonu cizích rozhodčích nálezů/New York, 10.</w:t>
      </w:r>
      <w:r>
        <w:rPr>
          <w:i/>
        </w:rPr>
        <w:t xml:space="preserve"> </w:t>
      </w:r>
      <w:r w:rsidRPr="007D5A70">
        <w:rPr>
          <w:i/>
        </w:rPr>
        <w:t>června 1958/</w:t>
      </w:r>
      <w:r>
        <w:t>“.</w:t>
      </w:r>
      <w:r>
        <w:rPr>
          <w:rStyle w:val="Znakapoznpodarou"/>
        </w:rPr>
        <w:footnoteReference w:id="28"/>
      </w:r>
    </w:p>
    <w:p w:rsidR="00910125" w:rsidRPr="00F65CD8" w:rsidRDefault="00910125" w:rsidP="00910125">
      <w:pPr>
        <w:tabs>
          <w:tab w:val="left" w:pos="4755"/>
        </w:tabs>
        <w:spacing w:after="120" w:line="360" w:lineRule="auto"/>
        <w:jc w:val="both"/>
      </w:pPr>
      <w:r>
        <w:t xml:space="preserve"> Jestliže mezinárodní smlouvy nemohou zavazovat třetí strany,</w:t>
      </w:r>
      <w:r>
        <w:rPr>
          <w:rStyle w:val="Znakapoznpodarou"/>
        </w:rPr>
        <w:footnoteReference w:id="29"/>
      </w:r>
      <w:r>
        <w:t xml:space="preserve"> tato ustanovení nemohou směřovat jinam než dovnitř smluvního státu BIT. To znamená, že např. Německo nemůže odmítnout uznat a vykonat nález ve prospěch českého investora na svém území. Není již tak jednoznačné, že by se tím stát automaticky vzdával uplatnění imunity na území třetích států. </w:t>
      </w:r>
    </w:p>
    <w:p w:rsidR="00A6219F" w:rsidRDefault="00A6219F">
      <w:bookmarkStart w:id="0" w:name="_GoBack"/>
      <w:bookmarkEnd w:id="0"/>
    </w:p>
    <w:sectPr w:rsidR="00A6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A7" w:rsidRDefault="00E833A7" w:rsidP="00910125">
      <w:r>
        <w:separator/>
      </w:r>
    </w:p>
  </w:endnote>
  <w:endnote w:type="continuationSeparator" w:id="0">
    <w:p w:rsidR="00E833A7" w:rsidRDefault="00E833A7" w:rsidP="0091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A7" w:rsidRDefault="00E833A7" w:rsidP="00910125">
      <w:r>
        <w:separator/>
      </w:r>
    </w:p>
  </w:footnote>
  <w:footnote w:type="continuationSeparator" w:id="0">
    <w:p w:rsidR="00E833A7" w:rsidRDefault="00E833A7" w:rsidP="00910125">
      <w:r>
        <w:continuationSeparator/>
      </w:r>
    </w:p>
  </w:footnote>
  <w:footnote w:id="1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F0797">
        <w:rPr>
          <w:i/>
        </w:rPr>
        <w:t>Bjorklund. A. K</w:t>
      </w:r>
      <w:r>
        <w:t xml:space="preserve">. State Immunity and the Enforcement of Investor-State Arbitral Awards. </w:t>
      </w:r>
      <w:r w:rsidRPr="002A2AC3">
        <w:rPr>
          <w:i/>
        </w:rPr>
        <w:t>Binder, Ch., Kreibaum, U., Reinisch, A., Wittich, S.</w:t>
      </w:r>
      <w:r>
        <w:t xml:space="preserve"> (</w:t>
      </w:r>
      <w:r w:rsidRPr="000E5888">
        <w:rPr>
          <w:i/>
        </w:rPr>
        <w:t>eds.</w:t>
      </w:r>
      <w:r>
        <w:t>) International Investment Law for the 21st Century. Essays in Honour of Christoph Schreuer. Oxford: OUP 2009, s. 308.</w:t>
      </w:r>
    </w:p>
  </w:footnote>
  <w:footnote w:id="2">
    <w:p w:rsidR="00910125" w:rsidRPr="001850AE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Jak pojem „</w:t>
      </w:r>
      <w:r w:rsidRPr="009B1116">
        <w:rPr>
          <w:i/>
        </w:rPr>
        <w:t>an agreement in writing</w:t>
      </w:r>
      <w:r>
        <w:t>“ v angl.. verzi úmluvy, tak „</w:t>
      </w:r>
      <w:r w:rsidRPr="009B1116">
        <w:rPr>
          <w:i/>
        </w:rPr>
        <w:t>la convention écrite</w:t>
      </w:r>
      <w:r>
        <w:t xml:space="preserve">“ ve franc. verzi ponechávájí interpretační prostor pro zahrnují souhlasu mezi stranami na základě BIT či MIT, ačkoli je zřemé, že smluvní strany nemohly pomýšlet na BIT či MIT, které v době sjednání NYÚ neexistovaly (viz kap.1). </w:t>
      </w:r>
    </w:p>
  </w:footnote>
  <w:footnote w:id="3">
    <w:p w:rsidR="00910125" w:rsidRPr="00E151F3" w:rsidRDefault="00910125" w:rsidP="00910125">
      <w:pPr>
        <w:pStyle w:val="Textpoznpodarou"/>
        <w:jc w:val="both"/>
      </w:pPr>
      <w:r w:rsidRPr="00E151F3">
        <w:rPr>
          <w:rStyle w:val="Znakapoznpodarou"/>
        </w:rPr>
        <w:footnoteRef/>
      </w:r>
      <w:r w:rsidRPr="00E151F3">
        <w:t xml:space="preserve"> Srov. </w:t>
      </w:r>
      <w:r w:rsidRPr="007533CF">
        <w:rPr>
          <w:i/>
        </w:rPr>
        <w:t>Simma, B., Müller, A</w:t>
      </w:r>
      <w:r w:rsidRPr="00E151F3">
        <w:t xml:space="preserve">. </w:t>
      </w:r>
      <w:r w:rsidRPr="007533CF">
        <w:t>The Exercise and the Limits of Jurisdiction</w:t>
      </w:r>
      <w:r w:rsidRPr="00E151F3">
        <w:t>. In</w:t>
      </w:r>
      <w:r>
        <w:t>:</w:t>
      </w:r>
      <w:r w:rsidRPr="00E151F3">
        <w:t xml:space="preserve"> </w:t>
      </w:r>
      <w:r w:rsidRPr="007533CF">
        <w:rPr>
          <w:i/>
        </w:rPr>
        <w:t>Crawford, J. a Koskenniemi, M.</w:t>
      </w:r>
      <w:r w:rsidRPr="00E151F3">
        <w:t xml:space="preserve"> (</w:t>
      </w:r>
      <w:r w:rsidRPr="00A927B4">
        <w:rPr>
          <w:i/>
        </w:rPr>
        <w:t>eds</w:t>
      </w:r>
      <w:r w:rsidRPr="00E151F3">
        <w:t>.) The Cambridge Companion to International Law. Cambridge/New York: CUP, 2013, s. 151.</w:t>
      </w:r>
    </w:p>
  </w:footnote>
  <w:footnote w:id="4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D49C4">
        <w:t xml:space="preserve">Viz např. </w:t>
      </w:r>
      <w:r w:rsidRPr="007D49C4">
        <w:rPr>
          <w:i/>
        </w:rPr>
        <w:t>Fox, H</w:t>
      </w:r>
      <w:r w:rsidRPr="007D49C4">
        <w:t xml:space="preserve">., </w:t>
      </w:r>
      <w:r w:rsidRPr="007D49C4">
        <w:rPr>
          <w:i/>
        </w:rPr>
        <w:t>Webb, P</w:t>
      </w:r>
      <w:r w:rsidRPr="007D49C4">
        <w:t>. The Law of State Immunities. 3rd Ed. Oxford: OUP, 2013, s.</w:t>
      </w:r>
      <w:r>
        <w:t xml:space="preserve"> 2-3.</w:t>
      </w:r>
    </w:p>
  </w:footnote>
  <w:footnote w:id="5">
    <w:p w:rsidR="00910125" w:rsidRPr="007D49C4" w:rsidRDefault="00910125" w:rsidP="00910125">
      <w:pPr>
        <w:pStyle w:val="Textpoznpodarou"/>
        <w:jc w:val="both"/>
      </w:pPr>
      <w:r w:rsidRPr="007D49C4">
        <w:rPr>
          <w:rStyle w:val="Znakapoznpodarou"/>
        </w:rPr>
        <w:footnoteRef/>
      </w:r>
      <w:r>
        <w:t xml:space="preserve"> Srov. </w:t>
      </w:r>
      <w:r w:rsidRPr="00FB01D5">
        <w:rPr>
          <w:i/>
        </w:rPr>
        <w:t>ibid</w:t>
      </w:r>
      <w:r>
        <w:t>.,</w:t>
      </w:r>
      <w:r w:rsidRPr="007D49C4">
        <w:t xml:space="preserve"> s. 23 a </w:t>
      </w:r>
      <w:r w:rsidRPr="007D49C4">
        <w:rPr>
          <w:i/>
        </w:rPr>
        <w:t>passim</w:t>
      </w:r>
      <w:r w:rsidRPr="007D49C4">
        <w:t xml:space="preserve">; srov. také </w:t>
      </w:r>
      <w:r w:rsidRPr="007533CF">
        <w:t>Jurisdictional Immunities of the State (Germany v Italy: Greece intervening)</w:t>
      </w:r>
      <w:r w:rsidRPr="007D49C4">
        <w:t>, Jud</w:t>
      </w:r>
      <w:r>
        <w:t xml:space="preserve">gment, I. C. J. Reports, 2012, odst. 113, </w:t>
      </w:r>
      <w:r w:rsidRPr="00FB01D5">
        <w:t>www.icj-cij.org</w:t>
      </w:r>
      <w:r>
        <w:t>.</w:t>
      </w:r>
    </w:p>
  </w:footnote>
  <w:footnote w:id="6">
    <w:p w:rsidR="00910125" w:rsidRPr="007D49C4" w:rsidRDefault="00910125" w:rsidP="00910125">
      <w:pPr>
        <w:pStyle w:val="Textpoznpodarou"/>
        <w:jc w:val="both"/>
      </w:pPr>
      <w:r w:rsidRPr="007D49C4">
        <w:rPr>
          <w:rStyle w:val="Znakapoznpodarou"/>
        </w:rPr>
        <w:footnoteRef/>
      </w:r>
      <w:r w:rsidRPr="009B3DB8">
        <w:t> Jurisdictional Immunities of the State (Germany v Italy: Greece intervening),</w:t>
      </w:r>
      <w:r w:rsidRPr="007D49C4">
        <w:t xml:space="preserve"> Judgment,</w:t>
      </w:r>
      <w:r>
        <w:t xml:space="preserve"> I. C. J. Reports, 2012, odst. 124, </w:t>
      </w:r>
      <w:r w:rsidRPr="003A119D">
        <w:t>www.icj-cij.org</w:t>
      </w:r>
      <w:r w:rsidRPr="007D49C4">
        <w:t xml:space="preserve">; srov. také </w:t>
      </w:r>
      <w:r w:rsidRPr="003A119D">
        <w:rPr>
          <w:i/>
        </w:rPr>
        <w:t>Sagar, S</w:t>
      </w:r>
      <w:r w:rsidRPr="007D49C4">
        <w:t xml:space="preserve">. </w:t>
      </w:r>
      <w:r w:rsidRPr="003A119D">
        <w:t>„Waiver of Sovereign Immunity“ Clauses in Contracts. An Examination of their Legal Standing and Practical Value in Enforcement of International Arbitral Awards</w:t>
      </w:r>
      <w:r w:rsidRPr="007D49C4">
        <w:t>. Journal of Int</w:t>
      </w:r>
      <w:r>
        <w:t>ernational Arbitration, 2014, roč</w:t>
      </w:r>
      <w:r w:rsidRPr="007D49C4">
        <w:t>. 31, č. 5, s. 622, s. 616-617.</w:t>
      </w:r>
    </w:p>
  </w:footnote>
  <w:footnote w:id="7">
    <w:p w:rsidR="00910125" w:rsidRPr="007D49C4" w:rsidRDefault="00910125" w:rsidP="00910125">
      <w:pPr>
        <w:pStyle w:val="Textpoznpodarou"/>
        <w:jc w:val="both"/>
      </w:pPr>
      <w:r w:rsidRPr="007D49C4">
        <w:rPr>
          <w:rStyle w:val="Znakapoznpodarou"/>
        </w:rPr>
        <w:footnoteRef/>
      </w:r>
      <w:r w:rsidRPr="007D49C4">
        <w:t xml:space="preserve"> </w:t>
      </w:r>
      <w:r w:rsidRPr="007533CF">
        <w:rPr>
          <w:i/>
        </w:rPr>
        <w:t>Reinisch, A</w:t>
      </w:r>
      <w:r w:rsidRPr="007D49C4">
        <w:t xml:space="preserve">. </w:t>
      </w:r>
      <w:r w:rsidRPr="007533CF">
        <w:t>European Court Practice Concerning State Immunity from Enforcement Measures</w:t>
      </w:r>
      <w:r>
        <w:t>. EJIL, 2006,  roč</w:t>
      </w:r>
      <w:r w:rsidRPr="007D49C4">
        <w:t>.17, č. 4, s. 803.</w:t>
      </w:r>
    </w:p>
  </w:footnote>
  <w:footnote w:id="8">
    <w:p w:rsidR="00910125" w:rsidRDefault="00910125" w:rsidP="00910125">
      <w:pPr>
        <w:pStyle w:val="Textpoznpodarou"/>
      </w:pPr>
      <w:r>
        <w:rPr>
          <w:rStyle w:val="Znakapoznpodarou"/>
        </w:rPr>
        <w:footnoteRef/>
      </w:r>
      <w:r>
        <w:t xml:space="preserve"> Srov. např. </w:t>
      </w:r>
      <w:r w:rsidRPr="00415056">
        <w:rPr>
          <w:i/>
        </w:rPr>
        <w:t>Feigerlová, M</w:t>
      </w:r>
      <w:r>
        <w:t xml:space="preserve">. Imunita státu a uznání rozhodčích nálezů v investičních sporech. In: </w:t>
      </w:r>
      <w:r w:rsidRPr="00415056">
        <w:rPr>
          <w:i/>
        </w:rPr>
        <w:t>Šturma, P., Trávníčková, Z.</w:t>
      </w:r>
      <w:r>
        <w:t xml:space="preserve"> </w:t>
      </w:r>
      <w:r w:rsidRPr="00415056">
        <w:t>(</w:t>
      </w:r>
      <w:r w:rsidRPr="00415056">
        <w:rPr>
          <w:i/>
        </w:rPr>
        <w:t>ed</w:t>
      </w:r>
      <w:r>
        <w:t>.) Imunity v mezinárodním právu. Praha: CSMP, 2016, s. 60.</w:t>
      </w:r>
    </w:p>
  </w:footnote>
  <w:footnote w:id="9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Srov. </w:t>
      </w:r>
      <w:r w:rsidRPr="007533CF">
        <w:rPr>
          <w:i/>
        </w:rPr>
        <w:t>Fox, H</w:t>
      </w:r>
      <w:r w:rsidRPr="00E151F3">
        <w:t xml:space="preserve">. </w:t>
      </w:r>
      <w:r w:rsidRPr="007533CF">
        <w:t>State Immunity and the New York Convention</w:t>
      </w:r>
      <w:r>
        <w:t>.</w:t>
      </w:r>
      <w:r w:rsidRPr="00E151F3">
        <w:t xml:space="preserve"> In</w:t>
      </w:r>
      <w:r>
        <w:t xml:space="preserve">: </w:t>
      </w:r>
      <w:r w:rsidRPr="00791E5C">
        <w:rPr>
          <w:i/>
        </w:rPr>
        <w:t>Gaillard, E</w:t>
      </w:r>
      <w:r>
        <w:t>.,</w:t>
      </w:r>
      <w:r w:rsidRPr="00E151F3">
        <w:t xml:space="preserve"> </w:t>
      </w:r>
      <w:r w:rsidRPr="00791E5C">
        <w:rPr>
          <w:i/>
        </w:rPr>
        <w:t>DiPietro, D</w:t>
      </w:r>
      <w:r w:rsidRPr="00E151F3">
        <w:t>. (</w:t>
      </w:r>
      <w:r w:rsidRPr="00A927B4">
        <w:rPr>
          <w:i/>
        </w:rPr>
        <w:t>eds</w:t>
      </w:r>
      <w:r w:rsidRPr="00E151F3">
        <w:t xml:space="preserve">.) Enforcement of Arbitration Agreement and International Arbitral Awards. </w:t>
      </w:r>
      <w:r>
        <w:t>London: Cameron May, 2008, s. 83</w:t>
      </w:r>
      <w:r w:rsidRPr="00E151F3">
        <w:t>1.</w:t>
      </w:r>
    </w:p>
  </w:footnote>
  <w:footnote w:id="10">
    <w:p w:rsidR="00910125" w:rsidRPr="007D49C4" w:rsidRDefault="00910125" w:rsidP="00910125">
      <w:pPr>
        <w:pStyle w:val="Textpoznpodarou"/>
        <w:jc w:val="both"/>
      </w:pPr>
      <w:r w:rsidRPr="007D49C4">
        <w:rPr>
          <w:rStyle w:val="Znakapoznpodarou"/>
        </w:rPr>
        <w:footnoteRef/>
      </w:r>
      <w:r w:rsidRPr="007D49C4">
        <w:t xml:space="preserve"> </w:t>
      </w:r>
      <w:r w:rsidRPr="007D49C4">
        <w:rPr>
          <w:i/>
        </w:rPr>
        <w:t>L</w:t>
      </w:r>
      <w:r w:rsidRPr="007D49C4">
        <w:t>.</w:t>
      </w:r>
      <w:r w:rsidRPr="007D49C4">
        <w:rPr>
          <w:i/>
        </w:rPr>
        <w:t>c</w:t>
      </w:r>
      <w:r w:rsidRPr="007D49C4">
        <w:t>.</w:t>
      </w:r>
    </w:p>
  </w:footnote>
  <w:footnote w:id="11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43CB">
        <w:rPr>
          <w:i/>
        </w:rPr>
        <w:t>Gaillard, E.</w:t>
      </w:r>
      <w:r w:rsidRPr="00E151F3">
        <w:t xml:space="preserve"> </w:t>
      </w:r>
      <w:r w:rsidRPr="00F343CB">
        <w:t>Convention d'arbitrage et immunités de jurisdiction et d</w:t>
      </w:r>
      <w:r>
        <w:t>'exécution des Etats et des org</w:t>
      </w:r>
      <w:r w:rsidRPr="00F343CB">
        <w:t>anisations internationales</w:t>
      </w:r>
      <w:r>
        <w:t>, ASA Bulletin, 2000, roč</w:t>
      </w:r>
      <w:r w:rsidRPr="00E151F3">
        <w:t>. 18, č. 3, s. 471.</w:t>
      </w:r>
    </w:p>
  </w:footnote>
  <w:footnote w:id="12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15508">
        <w:rPr>
          <w:i/>
        </w:rPr>
        <w:t>Fox, H., Webb, P</w:t>
      </w:r>
      <w:r>
        <w:t>. 2013, op. cit. s. 388.</w:t>
      </w:r>
    </w:p>
  </w:footnote>
  <w:footnote w:id="13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B6DD6">
        <w:rPr>
          <w:i/>
        </w:rPr>
        <w:t>Poirat, F</w:t>
      </w:r>
      <w:r>
        <w:t>. Les immunités des sujets du droit international (États et organisations internationales). In: Be</w:t>
      </w:r>
      <w:r w:rsidRPr="007F73AE">
        <w:rPr>
          <w:i/>
        </w:rPr>
        <w:t xml:space="preserve">aud, O., Henzelin, M., </w:t>
      </w:r>
      <w:r>
        <w:rPr>
          <w:i/>
        </w:rPr>
        <w:t>Leboulagner, P., Maison, R., Mu</w:t>
      </w:r>
      <w:r w:rsidRPr="007F73AE">
        <w:rPr>
          <w:i/>
        </w:rPr>
        <w:t>i</w:t>
      </w:r>
      <w:r>
        <w:rPr>
          <w:i/>
        </w:rPr>
        <w:t>r</w:t>
      </w:r>
      <w:r w:rsidRPr="007F73AE">
        <w:rPr>
          <w:i/>
        </w:rPr>
        <w:t xml:space="preserve"> Watt, H.</w:t>
      </w:r>
      <w:r>
        <w:t xml:space="preserve">, </w:t>
      </w:r>
      <w:r w:rsidRPr="007F73AE">
        <w:rPr>
          <w:i/>
        </w:rPr>
        <w:t>Poirat, F., Verhoeven,</w:t>
      </w:r>
      <w:r>
        <w:t xml:space="preserve"> J. Le droit international des immunités: contestation ou consolidation? Paris: Larcier-L.G.D.J., 2004. s. 40.</w:t>
      </w:r>
    </w:p>
  </w:footnote>
  <w:footnote w:id="14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15508">
        <w:rPr>
          <w:i/>
        </w:rPr>
        <w:t>Fox, H</w:t>
      </w:r>
      <w:r>
        <w:t>.</w:t>
      </w:r>
      <w:r w:rsidRPr="00515508">
        <w:t xml:space="preserve"> </w:t>
      </w:r>
      <w:r>
        <w:t>2008, op. cit., s. 849.</w:t>
      </w:r>
    </w:p>
  </w:footnote>
  <w:footnote w:id="15">
    <w:p w:rsidR="00910125" w:rsidRPr="005440FA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> Rozsudek Kasačního dvora ze dne 13. května 2015, n</w:t>
      </w:r>
      <w:r w:rsidRPr="006F5B65">
        <w:rPr>
          <w:vertAlign w:val="superscript"/>
        </w:rPr>
        <w:t>o</w:t>
      </w:r>
      <w:r>
        <w:t xml:space="preserve"> de pourvoi 13-17751, www.legifrance.gouv.fr; Rozsudek Kasačního dvora (prvního senátu) ze dne 28, března </w:t>
      </w:r>
      <w:r w:rsidRPr="00674893">
        <w:t>201</w:t>
      </w:r>
      <w:r>
        <w:t xml:space="preserve">3, č. 394, 10-25.938, </w:t>
      </w:r>
      <w:r w:rsidRPr="00674893">
        <w:t>www.courde</w:t>
      </w:r>
      <w:r>
        <w:t>cassation.fr.</w:t>
      </w:r>
    </w:p>
  </w:footnote>
  <w:footnote w:id="16">
    <w:p w:rsidR="00910125" w:rsidRPr="002F0FD8" w:rsidRDefault="00910125" w:rsidP="00910125">
      <w:pPr>
        <w:jc w:val="both"/>
        <w:rPr>
          <w:b/>
          <w:sz w:val="20"/>
          <w:szCs w:val="20"/>
        </w:rPr>
      </w:pPr>
      <w:r w:rsidRPr="002F0FD8">
        <w:rPr>
          <w:rStyle w:val="Znakapoznpodarou"/>
          <w:sz w:val="20"/>
          <w:szCs w:val="20"/>
        </w:rPr>
        <w:footnoteRef/>
      </w:r>
      <w:r w:rsidRPr="002F0FD8">
        <w:rPr>
          <w:sz w:val="20"/>
          <w:szCs w:val="20"/>
        </w:rPr>
        <w:t xml:space="preserve"> </w:t>
      </w:r>
      <w:hyperlink r:id="rId1" w:history="1">
        <w:r w:rsidRPr="002F0FD8">
          <w:rPr>
            <w:rStyle w:val="Siln"/>
            <w:sz w:val="20"/>
            <w:szCs w:val="20"/>
            <w:shd w:val="clear" w:color="auto" w:fill="FFFFFF"/>
          </w:rPr>
          <w:t>Loi n° 2016-1691 du 9 décembre 2016 relative à la transparence, à la lutte contre la corruption et à la modernisation de la vie économique (1)</w:t>
        </w:r>
      </w:hyperlink>
      <w:r w:rsidRPr="002F0FD8">
        <w:rPr>
          <w:b/>
          <w:sz w:val="20"/>
          <w:szCs w:val="20"/>
        </w:rPr>
        <w:t xml:space="preserve">, </w:t>
      </w:r>
      <w:r w:rsidRPr="002F0FD8">
        <w:rPr>
          <w:sz w:val="20"/>
          <w:szCs w:val="20"/>
        </w:rPr>
        <w:t>www.legifrance.gouv.fr.</w:t>
      </w:r>
    </w:p>
  </w:footnote>
  <w:footnote w:id="17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F0FD8">
        <w:rPr>
          <w:i/>
        </w:rPr>
        <w:t>Ibid</w:t>
      </w:r>
      <w:r>
        <w:t>., čl. 59.</w:t>
      </w:r>
    </w:p>
  </w:footnote>
  <w:footnote w:id="18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F0FD8">
        <w:rPr>
          <w:i/>
        </w:rPr>
        <w:t>L.</w:t>
      </w:r>
      <w:r>
        <w:rPr>
          <w:i/>
        </w:rPr>
        <w:t xml:space="preserve"> </w:t>
      </w:r>
      <w:r w:rsidRPr="002F0FD8">
        <w:rPr>
          <w:i/>
        </w:rPr>
        <w:t>c</w:t>
      </w:r>
      <w:r>
        <w:t>.</w:t>
      </w:r>
    </w:p>
  </w:footnote>
  <w:footnote w:id="19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F0FD8">
        <w:rPr>
          <w:i/>
        </w:rPr>
        <w:t>L</w:t>
      </w:r>
      <w:r>
        <w:rPr>
          <w:i/>
        </w:rPr>
        <w:t xml:space="preserve"> </w:t>
      </w:r>
      <w:r w:rsidRPr="002F0FD8">
        <w:rPr>
          <w:i/>
        </w:rPr>
        <w:t>.c</w:t>
      </w:r>
      <w:r>
        <w:t>.</w:t>
      </w:r>
    </w:p>
  </w:footnote>
  <w:footnote w:id="20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F0FD8">
        <w:rPr>
          <w:i/>
        </w:rPr>
        <w:t>L</w:t>
      </w:r>
      <w:r>
        <w:rPr>
          <w:i/>
        </w:rPr>
        <w:t xml:space="preserve"> </w:t>
      </w:r>
      <w:r w:rsidRPr="002F0FD8">
        <w:rPr>
          <w:i/>
        </w:rPr>
        <w:t>.c</w:t>
      </w:r>
      <w:r>
        <w:t>.</w:t>
      </w:r>
    </w:p>
  </w:footnote>
  <w:footnote w:id="21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Srov. čl. 1412</w:t>
      </w:r>
      <w:r w:rsidRPr="00D53F05">
        <w:rPr>
          <w:i/>
        </w:rPr>
        <w:t>quiquines</w:t>
      </w:r>
      <w:r>
        <w:t xml:space="preserve"> </w:t>
      </w:r>
      <w:r w:rsidRPr="00D53F05">
        <w:rPr>
          <w:i/>
        </w:rPr>
        <w:t>Code Judiciare</w:t>
      </w:r>
      <w:r>
        <w:t>, www.droitbelge.be</w:t>
      </w:r>
    </w:p>
  </w:footnote>
  <w:footnote w:id="22">
    <w:p w:rsidR="00910125" w:rsidRPr="00013687" w:rsidRDefault="00910125" w:rsidP="00910125">
      <w:pPr>
        <w:pStyle w:val="Textpoznpodarou"/>
        <w:jc w:val="both"/>
      </w:pPr>
      <w:r w:rsidRPr="00013687">
        <w:rPr>
          <w:rStyle w:val="Znakapoznpodarou"/>
        </w:rPr>
        <w:footnoteRef/>
      </w:r>
      <w:r w:rsidRPr="00013687">
        <w:t xml:space="preserve"> Rozhodčí nález ze dne 1. července 2009 ve věci Walter Bau (v likvidaci) p</w:t>
      </w:r>
      <w:r>
        <w:t>roti Thajskému království, www.italaw.com</w:t>
      </w:r>
    </w:p>
  </w:footnote>
  <w:footnote w:id="23">
    <w:p w:rsidR="00910125" w:rsidRPr="000C6512" w:rsidRDefault="00910125" w:rsidP="00910125">
      <w:pPr>
        <w:pStyle w:val="Textpoznpodarou"/>
        <w:jc w:val="both"/>
      </w:pPr>
      <w:r w:rsidRPr="000C6512">
        <w:rPr>
          <w:rStyle w:val="Znakapoznpodarou"/>
        </w:rPr>
        <w:footnoteRef/>
      </w:r>
      <w:r w:rsidRPr="000C6512">
        <w:rPr>
          <w:i/>
        </w:rPr>
        <w:t>Kläger, R</w:t>
      </w:r>
      <w:r w:rsidRPr="000C6512">
        <w:t>. Werner Schneider (liquidator of Walter Bau AG) v Kingdom of Thailand. Sovereign Immunity in Recognition and Enforcement Proceedings under Ge</w:t>
      </w:r>
      <w:r>
        <w:t>rman Law. ICSID Review, 2014, roč</w:t>
      </w:r>
      <w:r w:rsidRPr="000C6512">
        <w:t xml:space="preserve">. 29, č. </w:t>
      </w:r>
      <w:r>
        <w:t>1, s. 142</w:t>
      </w:r>
      <w:r w:rsidRPr="000C6512">
        <w:t>.</w:t>
      </w:r>
    </w:p>
  </w:footnote>
  <w:footnote w:id="24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> Rozsudek německého Nejvyššího soudu ze dne 30. ledna 2013 Az. III ZB 40/12, www. openjur.de</w:t>
      </w:r>
    </w:p>
  </w:footnote>
  <w:footnote w:id="25">
    <w:p w:rsidR="00910125" w:rsidRPr="00E151F3" w:rsidRDefault="00910125" w:rsidP="00910125">
      <w:pPr>
        <w:pStyle w:val="Textpoznpodarou"/>
        <w:jc w:val="both"/>
      </w:pPr>
      <w:r w:rsidRPr="00E151F3">
        <w:rPr>
          <w:rStyle w:val="Znakapoznpodarou"/>
        </w:rPr>
        <w:footnoteRef/>
      </w:r>
      <w:r w:rsidRPr="00E151F3">
        <w:t xml:space="preserve"> </w:t>
      </w:r>
      <w:r w:rsidRPr="000C6512">
        <w:rPr>
          <w:i/>
        </w:rPr>
        <w:t>Kläger, R</w:t>
      </w:r>
      <w:r w:rsidRPr="000C6512">
        <w:t>.</w:t>
      </w:r>
      <w:r>
        <w:t xml:space="preserve"> 2014, op. cit.,</w:t>
      </w:r>
      <w:r w:rsidRPr="00E151F3">
        <w:t xml:space="preserve"> s. 145.</w:t>
      </w:r>
    </w:p>
  </w:footnote>
  <w:footnote w:id="26">
    <w:p w:rsidR="00910125" w:rsidRPr="00E151F3" w:rsidRDefault="00910125" w:rsidP="00910125">
      <w:pPr>
        <w:pStyle w:val="Textpoznpodarou"/>
        <w:jc w:val="both"/>
      </w:pPr>
      <w:r w:rsidRPr="00E151F3">
        <w:rPr>
          <w:rStyle w:val="Znakapoznpodarou"/>
        </w:rPr>
        <w:footnoteRef/>
      </w:r>
      <w:r>
        <w:t xml:space="preserve"> Rozsudek německého Nejvyššího soudu ze dne 30. ledna 2013 Az. III ZB 40/12, www. openjur.de</w:t>
      </w:r>
      <w:r w:rsidRPr="00E151F3">
        <w:t>, odst. 18.</w:t>
      </w:r>
    </w:p>
  </w:footnote>
  <w:footnote w:id="27">
    <w:p w:rsidR="00910125" w:rsidRPr="003951F7" w:rsidRDefault="00910125" w:rsidP="00910125">
      <w:pPr>
        <w:jc w:val="both"/>
        <w:rPr>
          <w:sz w:val="20"/>
          <w:szCs w:val="20"/>
        </w:rPr>
      </w:pPr>
      <w:r w:rsidRPr="00E151F3">
        <w:rPr>
          <w:rStyle w:val="Znakapoznpodarou"/>
        </w:rPr>
        <w:footnoteRef/>
      </w:r>
      <w:r>
        <w:t xml:space="preserve"> </w:t>
      </w:r>
      <w:r w:rsidRPr="003951F7">
        <w:rPr>
          <w:sz w:val="20"/>
          <w:szCs w:val="20"/>
        </w:rPr>
        <w:t>Treaty between the Kingdom of Thailand and the Federal Republic of Germany concering the Encouragement and Reciprocal Protection of Investments</w:t>
      </w:r>
      <w:r>
        <w:rPr>
          <w:sz w:val="20"/>
          <w:szCs w:val="20"/>
        </w:rPr>
        <w:t xml:space="preserve">,www. </w:t>
      </w:r>
      <w:r w:rsidRPr="00177C40">
        <w:rPr>
          <w:sz w:val="20"/>
          <w:szCs w:val="20"/>
        </w:rPr>
        <w:t>investmentpolicyhub.unctad.org</w:t>
      </w:r>
      <w:r>
        <w:rPr>
          <w:sz w:val="20"/>
          <w:szCs w:val="20"/>
        </w:rPr>
        <w:t>.</w:t>
      </w:r>
    </w:p>
  </w:footnote>
  <w:footnote w:id="28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10 (2) </w:t>
      </w:r>
      <w:r w:rsidRPr="00987F53">
        <w:rPr>
          <w:i/>
        </w:rPr>
        <w:t xml:space="preserve">in fine </w:t>
      </w:r>
      <w:r>
        <w:t>Dohody mezi Českou a Slovenskou Federativní Republikou a Spolkovou republikou Německo, </w:t>
      </w:r>
      <w:r w:rsidRPr="00730916">
        <w:t>www.mfc</w:t>
      </w:r>
      <w:r>
        <w:t>r.cz.</w:t>
      </w:r>
    </w:p>
  </w:footnote>
  <w:footnote w:id="29">
    <w:p w:rsidR="00910125" w:rsidRDefault="00910125" w:rsidP="009101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Čl. 34 VÚSP.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F062F"/>
    <w:multiLevelType w:val="multilevel"/>
    <w:tmpl w:val="5462B154"/>
    <w:lvl w:ilvl="0">
      <w:start w:val="1"/>
      <w:numFmt w:val="decimal"/>
      <w:pStyle w:val="Nadpis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E013FFF"/>
    <w:multiLevelType w:val="hybridMultilevel"/>
    <w:tmpl w:val="A30CAE56"/>
    <w:lvl w:ilvl="0" w:tplc="CEC04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25"/>
    <w:rsid w:val="00910125"/>
    <w:rsid w:val="00A6219F"/>
    <w:rsid w:val="00E8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10125"/>
    <w:pPr>
      <w:keepNext/>
      <w:numPr>
        <w:numId w:val="1"/>
      </w:numPr>
      <w:tabs>
        <w:tab w:val="clear" w:pos="855"/>
      </w:tabs>
      <w:spacing w:before="240" w:after="24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caps/>
      <w:noProof/>
      <w:sz w:val="24"/>
      <w:szCs w:val="20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910125"/>
    <w:pPr>
      <w:keepNext/>
      <w:numPr>
        <w:ilvl w:val="1"/>
        <w:numId w:val="1"/>
      </w:numPr>
      <w:tabs>
        <w:tab w:val="clear" w:pos="855"/>
      </w:tabs>
      <w:spacing w:after="240"/>
      <w:ind w:left="567" w:hanging="567"/>
      <w:jc w:val="both"/>
      <w:outlineLvl w:val="1"/>
    </w:pPr>
    <w:rPr>
      <w:b/>
      <w:szCs w:val="20"/>
      <w:lang w:val="en-GB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910125"/>
    <w:pPr>
      <w:keepNext/>
      <w:numPr>
        <w:ilvl w:val="2"/>
        <w:numId w:val="1"/>
      </w:numPr>
      <w:tabs>
        <w:tab w:val="clear" w:pos="855"/>
      </w:tabs>
      <w:spacing w:after="240"/>
      <w:ind w:left="567" w:hanging="567"/>
      <w:jc w:val="both"/>
      <w:outlineLvl w:val="2"/>
    </w:pPr>
    <w:rPr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125"/>
    <w:rPr>
      <w:rFonts w:ascii="Times New Roman" w:eastAsia="Times New Roman" w:hAnsi="Times New Roman" w:cs="Times New Roman"/>
      <w:b/>
      <w:caps/>
      <w:noProof/>
      <w:sz w:val="24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10125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9101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xtpoznpodarou">
    <w:name w:val="footnote text"/>
    <w:basedOn w:val="Normln"/>
    <w:link w:val="TextpoznpodarouChar"/>
    <w:rsid w:val="009101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01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910125"/>
    <w:rPr>
      <w:vertAlign w:val="superscript"/>
    </w:rPr>
  </w:style>
  <w:style w:type="character" w:styleId="Siln">
    <w:name w:val="Strong"/>
    <w:uiPriority w:val="22"/>
    <w:qFormat/>
    <w:rsid w:val="0091012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91012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101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10125"/>
    <w:pPr>
      <w:keepNext/>
      <w:numPr>
        <w:numId w:val="1"/>
      </w:numPr>
      <w:tabs>
        <w:tab w:val="clear" w:pos="855"/>
      </w:tabs>
      <w:spacing w:before="240" w:after="240" w:line="240" w:lineRule="auto"/>
      <w:ind w:left="567" w:hanging="567"/>
      <w:outlineLvl w:val="0"/>
    </w:pPr>
    <w:rPr>
      <w:rFonts w:ascii="Times New Roman" w:eastAsia="Times New Roman" w:hAnsi="Times New Roman" w:cs="Times New Roman"/>
      <w:b/>
      <w:caps/>
      <w:noProof/>
      <w:sz w:val="24"/>
      <w:szCs w:val="20"/>
      <w:lang w:val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910125"/>
    <w:pPr>
      <w:keepNext/>
      <w:numPr>
        <w:ilvl w:val="1"/>
        <w:numId w:val="1"/>
      </w:numPr>
      <w:tabs>
        <w:tab w:val="clear" w:pos="855"/>
      </w:tabs>
      <w:spacing w:after="240"/>
      <w:ind w:left="567" w:hanging="567"/>
      <w:jc w:val="both"/>
      <w:outlineLvl w:val="1"/>
    </w:pPr>
    <w:rPr>
      <w:b/>
      <w:szCs w:val="20"/>
      <w:lang w:val="en-GB"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910125"/>
    <w:pPr>
      <w:keepNext/>
      <w:numPr>
        <w:ilvl w:val="2"/>
        <w:numId w:val="1"/>
      </w:numPr>
      <w:tabs>
        <w:tab w:val="clear" w:pos="855"/>
      </w:tabs>
      <w:spacing w:after="240"/>
      <w:ind w:left="567" w:hanging="567"/>
      <w:jc w:val="both"/>
      <w:outlineLvl w:val="2"/>
    </w:pPr>
    <w:rPr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125"/>
    <w:rPr>
      <w:rFonts w:ascii="Times New Roman" w:eastAsia="Times New Roman" w:hAnsi="Times New Roman" w:cs="Times New Roman"/>
      <w:b/>
      <w:caps/>
      <w:noProof/>
      <w:sz w:val="24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910125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91012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xtpoznpodarou">
    <w:name w:val="footnote text"/>
    <w:basedOn w:val="Normln"/>
    <w:link w:val="TextpoznpodarouChar"/>
    <w:rsid w:val="0091012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01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910125"/>
    <w:rPr>
      <w:vertAlign w:val="superscript"/>
    </w:rPr>
  </w:style>
  <w:style w:type="character" w:styleId="Siln">
    <w:name w:val="Strong"/>
    <w:uiPriority w:val="22"/>
    <w:qFormat/>
    <w:rsid w:val="0091012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910125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101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france.gouv.fr/affichTexte.do;jsessionid=B52FD12B227F1F90DBB069E29286B04C.tplgfr35s_2?cidTexte=JORFTEXT000033558528&amp;dateTexte=2016121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Nový</dc:creator>
  <cp:lastModifiedBy>Zdeněk Nový</cp:lastModifiedBy>
  <cp:revision>1</cp:revision>
  <dcterms:created xsi:type="dcterms:W3CDTF">2018-04-01T10:11:00Z</dcterms:created>
  <dcterms:modified xsi:type="dcterms:W3CDTF">2018-04-01T10:11:00Z</dcterms:modified>
</cp:coreProperties>
</file>