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5" w:rsidRDefault="000D75FB" w:rsidP="00D07F4C">
      <w:pPr>
        <w:jc w:val="both"/>
      </w:pPr>
      <w:r>
        <w:t>Tabulka zásady</w:t>
      </w:r>
    </w:p>
    <w:tbl>
      <w:tblPr>
        <w:tblStyle w:val="Mkatabulky"/>
        <w:tblW w:w="0" w:type="auto"/>
        <w:tblLook w:val="04A0" w:firstRow="1" w:lastRow="0" w:firstColumn="1" w:lastColumn="0" w:noHBand="0" w:noVBand="1"/>
      </w:tblPr>
      <w:tblGrid>
        <w:gridCol w:w="6912"/>
        <w:gridCol w:w="2300"/>
      </w:tblGrid>
      <w:tr w:rsidR="000D75FB" w:rsidTr="00AD349E">
        <w:tc>
          <w:tcPr>
            <w:tcW w:w="6912" w:type="dxa"/>
          </w:tcPr>
          <w:p w:rsidR="000D75FB" w:rsidRDefault="00D50E34" w:rsidP="00D07F4C">
            <w:pPr>
              <w:jc w:val="both"/>
            </w:pPr>
            <w:r w:rsidRPr="00D50E34">
              <w:t xml:space="preserve">Má-li správce daně za to, že jsou ve věci dány důvody pro aplikaci uvedeného ustanovení, je povinen prokázat nejen zjištěný, formálně právním úkonem zakrývaný skutečný stav, ale i přezkoumatelným způsobem uvést úvahy, které jej k takovému závěru vedly, včetně označení a zhodnocení důkazů, o které svá zjištění opírají. Konstatoval-li žalovaný, že stěžovatel skutečný stav zastírá účelovým jednáním, musí a priori tento zastíraný skutečný stav zjistit, jinými slovy, pro závěr o tom, že stěžovatel nějaký skutečný stav účelově zastírá, je třeba nejdříve skutečný stav, který má být zastírán, spolehlivě zjistit. Povinnost zjišťovat formálně právním úkonem zakrývaný „skutečný obsah právního úkonu“ (skutečný stav věci), </w:t>
            </w:r>
            <w:proofErr w:type="gramStart"/>
            <w:r w:rsidRPr="00D50E34">
              <w:t>představuje</w:t>
            </w:r>
            <w:proofErr w:type="gramEnd"/>
            <w:r w:rsidRPr="00D50E34">
              <w:t xml:space="preserve"> podmínku </w:t>
            </w:r>
            <w:proofErr w:type="gramStart"/>
            <w:r w:rsidRPr="00D50E34">
              <w:t>sine</w:t>
            </w:r>
            <w:proofErr w:type="gramEnd"/>
            <w:r w:rsidRPr="00D50E34">
              <w:t xml:space="preserve"> </w:t>
            </w:r>
            <w:proofErr w:type="spellStart"/>
            <w:r w:rsidRPr="00D50E34">
              <w:t>qua</w:t>
            </w:r>
            <w:proofErr w:type="spellEnd"/>
            <w:r w:rsidRPr="00D50E34">
              <w:t xml:space="preserve"> non pro samotnou aplikaci § 2 odst. 7 zákona o správě daní.</w:t>
            </w:r>
          </w:p>
          <w:p w:rsidR="00D50E34" w:rsidRPr="00D50E34" w:rsidRDefault="00D50E34" w:rsidP="00D07F4C">
            <w:pPr>
              <w:jc w:val="both"/>
              <w:rPr>
                <w:b/>
                <w:sz w:val="26"/>
              </w:rPr>
            </w:pPr>
            <w:r>
              <w:rPr>
                <w:sz w:val="26"/>
              </w:rPr>
              <w:t>(</w:t>
            </w:r>
            <w:r>
              <w:rPr>
                <w:b/>
                <w:bCs/>
                <w:lang w:val="en"/>
              </w:rPr>
              <w:t xml:space="preserve">NSS 5 </w:t>
            </w:r>
            <w:proofErr w:type="spellStart"/>
            <w:r>
              <w:rPr>
                <w:b/>
                <w:bCs/>
                <w:lang w:val="en"/>
              </w:rPr>
              <w:t>Afs</w:t>
            </w:r>
            <w:proofErr w:type="spellEnd"/>
            <w:r>
              <w:rPr>
                <w:b/>
                <w:bCs/>
                <w:lang w:val="en"/>
              </w:rPr>
              <w:t xml:space="preserve"> 16/2012</w:t>
            </w:r>
            <w:r>
              <w:rPr>
                <w:sz w:val="26"/>
              </w:rPr>
              <w:t>)</w:t>
            </w:r>
          </w:p>
        </w:tc>
        <w:tc>
          <w:tcPr>
            <w:tcW w:w="2300" w:type="dxa"/>
          </w:tcPr>
          <w:p w:rsidR="000D75FB" w:rsidRDefault="000D75FB" w:rsidP="00D07F4C">
            <w:pPr>
              <w:jc w:val="both"/>
            </w:pPr>
          </w:p>
        </w:tc>
      </w:tr>
      <w:tr w:rsidR="000D75FB" w:rsidTr="00AD349E">
        <w:tc>
          <w:tcPr>
            <w:tcW w:w="6912" w:type="dxa"/>
          </w:tcPr>
          <w:p w:rsidR="000D75FB" w:rsidRDefault="00D07F4C" w:rsidP="00D07F4C">
            <w:pPr>
              <w:jc w:val="both"/>
            </w:pPr>
            <w:r w:rsidRPr="00D07F4C">
              <w:t>Kategorie rovnosti, zakotvená v čl. 1 Listiny, náleží k těm základním lidským právům, jež svou povahou jsou sociálními hodnotami konstitujícími hodnotový řád společnosti. V sociálním procesu plní tyto hodnoty funkci spíše jen ideálně typických kategorií vyjadřujících cílové představy, jež se nemohou zcela krýt se sociální realitou a lze je dosahovat jen aproximativním způsobem. Rovnost by se tedy mohla stát univerzálním, každého sociálního tvaru a jevu se dotýkajícím, principem teprve v cíli společenského a historického vývoje, v rámci tohoto vývoje lze však na její důsledné dodržování apelovat jen v určitých mezích. Neexistuje žádný recept na určení, co všechno by mělo být rovné, egalitářský univerzalismus by však nutně vyvolal hluboce nefunkční sociální účinky. Každá rovnost ve společenském dění může proto být jen rovností „na pochodu“, vývojovým tvarem, jehož nepřetržité oscilování v oblasti kontinua napětí mezi úsilím o totální rovnost a úsilím o totální nerovnost substituuje vlastní cílovou představu.</w:t>
            </w:r>
          </w:p>
          <w:p w:rsidR="00D07F4C" w:rsidRPr="00D07F4C" w:rsidRDefault="00D07F4C" w:rsidP="00D07F4C">
            <w:pPr>
              <w:jc w:val="both"/>
              <w:rPr>
                <w:b/>
              </w:rPr>
            </w:pPr>
            <w:r w:rsidRPr="00D07F4C">
              <w:rPr>
                <w:b/>
              </w:rPr>
              <w:t xml:space="preserve">(ÚS, nález ze dne 7. 6. 1995, </w:t>
            </w:r>
            <w:proofErr w:type="spellStart"/>
            <w:r w:rsidRPr="00D07F4C">
              <w:rPr>
                <w:b/>
              </w:rPr>
              <w:t>sp</w:t>
            </w:r>
            <w:proofErr w:type="spellEnd"/>
            <w:r w:rsidRPr="00D07F4C">
              <w:rPr>
                <w:b/>
              </w:rPr>
              <w:t xml:space="preserve">. zn. </w:t>
            </w:r>
            <w:proofErr w:type="spellStart"/>
            <w:r w:rsidRPr="00D07F4C">
              <w:rPr>
                <w:b/>
              </w:rPr>
              <w:t>Pl</w:t>
            </w:r>
            <w:proofErr w:type="spellEnd"/>
            <w:r w:rsidRPr="00D07F4C">
              <w:rPr>
                <w:b/>
              </w:rPr>
              <w:t>. ÚS 4/95)</w:t>
            </w:r>
          </w:p>
        </w:tc>
        <w:tc>
          <w:tcPr>
            <w:tcW w:w="2300" w:type="dxa"/>
          </w:tcPr>
          <w:p w:rsidR="000D75FB" w:rsidRDefault="000D75FB" w:rsidP="00D07F4C">
            <w:pPr>
              <w:jc w:val="both"/>
            </w:pPr>
          </w:p>
        </w:tc>
      </w:tr>
      <w:tr w:rsidR="000D75FB" w:rsidTr="00AD349E">
        <w:tc>
          <w:tcPr>
            <w:tcW w:w="6912" w:type="dxa"/>
          </w:tcPr>
          <w:p w:rsidR="000D75FB" w:rsidRDefault="00D07F4C" w:rsidP="00D07F4C">
            <w:pPr>
              <w:jc w:val="both"/>
            </w:pPr>
            <w:r w:rsidRPr="00D07F4C">
              <w:t>Nejvyšší správní soud, s přihlédnutím ke všem okolnostem této konkrétní věci, vnímá jako účelovou snahu stěžovatele o ztížení, resp. znemožnění doručení a nastoupení tak účinků spojených s doručením. Takovýto přístup nelze, dle názoru zdejšího soudu akceptovat, a to již z toho důvodu, že základním předpokladem efektivního správního řízení je vzájemná součinnost a spolupráce správních orgánů a účastníků řízení. Právě ve smyslu tohoto základního principu je nutno hodnotit konkrétní počínání účastníků řízení. Rovněž v tomto směru je totiž nutno spatřovat praktické naplnění smluvního pojetí státu, představujícího konsensuální odraz přesvědčení občanů o nutnosti existence této instituce k ochraně základních práv a svobod. Ve svých důsledcích by se totiž tento základní vzorec právních vztahů jevil jako zcela neefektivní, pakliže by v praxi bylo připuštěno zneužívání jednotlivých procesních institutů k obcházení a k cíleným obstrukcím, v konečném výsledku znemožňujícím faktické působení práva.</w:t>
            </w:r>
          </w:p>
          <w:p w:rsidR="00D07F4C" w:rsidRPr="00D07F4C" w:rsidRDefault="00D07F4C" w:rsidP="00D07F4C">
            <w:pPr>
              <w:jc w:val="both"/>
            </w:pPr>
            <w:r>
              <w:rPr>
                <w:b/>
                <w:bCs/>
                <w:lang w:val="en"/>
              </w:rPr>
              <w:t xml:space="preserve">(NSS 5 </w:t>
            </w:r>
            <w:proofErr w:type="spellStart"/>
            <w:r>
              <w:rPr>
                <w:b/>
                <w:bCs/>
                <w:lang w:val="en"/>
              </w:rPr>
              <w:t>Afs</w:t>
            </w:r>
            <w:proofErr w:type="spellEnd"/>
            <w:r>
              <w:rPr>
                <w:b/>
                <w:bCs/>
                <w:lang w:val="en"/>
              </w:rPr>
              <w:t xml:space="preserve"> 58/2009)</w:t>
            </w:r>
          </w:p>
        </w:tc>
        <w:tc>
          <w:tcPr>
            <w:tcW w:w="2300" w:type="dxa"/>
          </w:tcPr>
          <w:p w:rsidR="000D75FB" w:rsidRDefault="000D75FB" w:rsidP="00D07F4C">
            <w:pPr>
              <w:jc w:val="both"/>
            </w:pPr>
          </w:p>
        </w:tc>
      </w:tr>
      <w:tr w:rsidR="000D75FB" w:rsidTr="00AD349E">
        <w:tc>
          <w:tcPr>
            <w:tcW w:w="6912" w:type="dxa"/>
          </w:tcPr>
          <w:p w:rsidR="000D75FB" w:rsidRPr="00D279A1" w:rsidRDefault="00D07F4C" w:rsidP="00D07F4C">
            <w:pPr>
              <w:jc w:val="both"/>
            </w:pPr>
            <w:r w:rsidRPr="00D279A1">
              <w:t xml:space="preserve">Pokud jde o uložení pořádkové pokuty, je třeba zdůraznit, že zákonodárce </w:t>
            </w:r>
            <w:proofErr w:type="gramStart"/>
            <w:r w:rsidRPr="00D279A1">
              <w:t>vědomě v </w:t>
            </w:r>
            <w:proofErr w:type="spellStart"/>
            <w:r w:rsidRPr="00D279A1">
              <w:t>d.ř</w:t>
            </w:r>
            <w:proofErr w:type="spellEnd"/>
            <w:r w:rsidRPr="00D279A1">
              <w:t>.</w:t>
            </w:r>
            <w:proofErr w:type="gramEnd"/>
            <w:r w:rsidRPr="00D279A1">
              <w:t xml:space="preserve"> volil termín závažně ztěžuje průběh řízení v § 247 odst. 1, aby naznačil, že právě jen takové jednání, které objektivně dosahuje intenzity závažného ztěžování, zakládá důvod pro udělení pořádkové </w:t>
            </w:r>
            <w:r w:rsidRPr="00D279A1">
              <w:lastRenderedPageBreak/>
              <w:t xml:space="preserve">pokuty. Činil tak u vědomí, že jak subjektivní pocity křivdy daňového subjektu, tak i subjektivní vnímání správce daně jsou exaltovány okolnostmi, souvisejícími s meritem věci, ale i např. s vzájemnou osobní zkušeností z jiných řízení. Institucím a orgánům, jež reprezentují veřejnou moc státu, přísluší vždy větší dávka tolerance, velkorysosti a nadhledu, než je tomu u účastníků řízení. Tomu odpovídá i základní povinnost všech správců daně vystupovat zdvořile (§ 6 </w:t>
            </w:r>
            <w:proofErr w:type="gramStart"/>
            <w:r w:rsidRPr="00D279A1">
              <w:t xml:space="preserve">odst. 4 </w:t>
            </w:r>
            <w:proofErr w:type="spellStart"/>
            <w:r w:rsidRPr="00D279A1">
              <w:t>d.ř</w:t>
            </w:r>
            <w:proofErr w:type="spellEnd"/>
            <w:r w:rsidRPr="00D279A1">
              <w:t>.</w:t>
            </w:r>
            <w:proofErr w:type="gramEnd"/>
            <w:r w:rsidRPr="00D279A1">
              <w:t xml:space="preserve">), zatímco povinností účastníků řízení je chovat se jen tak, aby toto chování závažně neztížilo řízení (§ 247 odst. 1 </w:t>
            </w:r>
            <w:proofErr w:type="spellStart"/>
            <w:r w:rsidRPr="00D279A1">
              <w:t>d.ř</w:t>
            </w:r>
            <w:proofErr w:type="spellEnd"/>
            <w:r w:rsidRPr="00D279A1">
              <w:t>.). Zákonodárce tak klade co do intenzity slušnosti chování na správce daně a na daňový subjekt (jeho zástupce) zcela jiné nároky.</w:t>
            </w:r>
          </w:p>
          <w:p w:rsidR="00D07F4C" w:rsidRDefault="00D279A1" w:rsidP="00D07F4C">
            <w:pPr>
              <w:jc w:val="both"/>
            </w:pPr>
            <w:r w:rsidRPr="00D279A1">
              <w:t>(</w:t>
            </w:r>
            <w:r w:rsidRPr="00D279A1">
              <w:rPr>
                <w:b/>
                <w:bCs/>
              </w:rPr>
              <w:t xml:space="preserve">KS v Ostravě 22 </w:t>
            </w:r>
            <w:proofErr w:type="spellStart"/>
            <w:r w:rsidRPr="00D279A1">
              <w:rPr>
                <w:b/>
                <w:bCs/>
              </w:rPr>
              <w:t>Af</w:t>
            </w:r>
            <w:proofErr w:type="spellEnd"/>
            <w:r w:rsidRPr="00D279A1">
              <w:rPr>
                <w:b/>
                <w:bCs/>
              </w:rPr>
              <w:t xml:space="preserve"> 105/2013</w:t>
            </w:r>
            <w:r w:rsidRPr="00D279A1">
              <w:t>)</w:t>
            </w:r>
          </w:p>
        </w:tc>
        <w:tc>
          <w:tcPr>
            <w:tcW w:w="2300" w:type="dxa"/>
          </w:tcPr>
          <w:p w:rsidR="000D75FB" w:rsidRDefault="000D75FB" w:rsidP="0072661E">
            <w:pPr>
              <w:jc w:val="both"/>
            </w:pPr>
          </w:p>
        </w:tc>
      </w:tr>
      <w:tr w:rsidR="000D75FB" w:rsidTr="00AD349E">
        <w:tc>
          <w:tcPr>
            <w:tcW w:w="6912" w:type="dxa"/>
          </w:tcPr>
          <w:p w:rsidR="0072661E" w:rsidRDefault="0072661E" w:rsidP="00D07F4C">
            <w:pPr>
              <w:jc w:val="both"/>
            </w:pPr>
            <w:bookmarkStart w:id="0" w:name="_GoBack"/>
            <w:bookmarkEnd w:id="0"/>
          </w:p>
        </w:tc>
        <w:tc>
          <w:tcPr>
            <w:tcW w:w="2300" w:type="dxa"/>
          </w:tcPr>
          <w:p w:rsidR="000D75FB" w:rsidRDefault="000D75FB" w:rsidP="00D07F4C">
            <w:pPr>
              <w:jc w:val="both"/>
            </w:pPr>
          </w:p>
        </w:tc>
      </w:tr>
      <w:tr w:rsidR="000D75FB" w:rsidTr="00AD349E">
        <w:tc>
          <w:tcPr>
            <w:tcW w:w="6912" w:type="dxa"/>
          </w:tcPr>
          <w:p w:rsidR="000D75FB" w:rsidRDefault="00AD349E" w:rsidP="00D07F4C">
            <w:pPr>
              <w:jc w:val="both"/>
            </w:pPr>
            <w:r>
              <w:t xml:space="preserve">Zásada </w:t>
            </w:r>
            <w:r w:rsidRPr="00AD349E">
              <w:t>zakotvená v tomto ustanovení znamená, že správce daně není vázán žádnými formálními pravidly, jež by stanovila, jaká je důkazní síla jednotlivých důkazních prostředků, neznamená to však, že by závěry správce daně o skutkové stránce věci mohly být výsledkem libovůle. Naopak takové závěry musí vyplynout z racionálního myšlenkového procesu odpovídajícího požadavkům formální logiky, v jehož rámci bude důkladně posouzen každý z provedených důkazů jednotlivě a zároveň budou veškeré tyto důkazy posouzeny v jejich vzájemné souvislosti. Tato úvaha musí být v konečném rozhodnutí přezkoumatelným způsobem vyjádřena a také plně podléhá kognici správních soudů</w:t>
            </w:r>
            <w:r>
              <w:t>.</w:t>
            </w:r>
          </w:p>
          <w:p w:rsidR="00AD349E" w:rsidRPr="00AD349E" w:rsidRDefault="00AD349E" w:rsidP="00D07F4C">
            <w:pPr>
              <w:jc w:val="both"/>
            </w:pPr>
            <w:r>
              <w:t>(</w:t>
            </w:r>
            <w:r>
              <w:rPr>
                <w:b/>
                <w:bCs/>
                <w:lang w:val="en"/>
              </w:rPr>
              <w:t xml:space="preserve">NSS 5 </w:t>
            </w:r>
            <w:proofErr w:type="spellStart"/>
            <w:r>
              <w:rPr>
                <w:b/>
                <w:bCs/>
                <w:lang w:val="en"/>
              </w:rPr>
              <w:t>Afs</w:t>
            </w:r>
            <w:proofErr w:type="spellEnd"/>
            <w:r>
              <w:rPr>
                <w:b/>
                <w:bCs/>
                <w:lang w:val="en"/>
              </w:rPr>
              <w:t xml:space="preserve"> 5/2008</w:t>
            </w:r>
            <w:r>
              <w:t>)</w:t>
            </w:r>
          </w:p>
        </w:tc>
        <w:tc>
          <w:tcPr>
            <w:tcW w:w="2300" w:type="dxa"/>
          </w:tcPr>
          <w:p w:rsidR="000D75FB" w:rsidRDefault="000D75FB" w:rsidP="00D07F4C">
            <w:pPr>
              <w:jc w:val="both"/>
            </w:pPr>
          </w:p>
        </w:tc>
      </w:tr>
    </w:tbl>
    <w:p w:rsidR="000D75FB" w:rsidRDefault="000D75FB" w:rsidP="00D07F4C">
      <w:pPr>
        <w:jc w:val="both"/>
      </w:pPr>
    </w:p>
    <w:sectPr w:rsidR="000D7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FB"/>
    <w:rsid w:val="00094106"/>
    <w:rsid w:val="000D75FB"/>
    <w:rsid w:val="00270525"/>
    <w:rsid w:val="005E0E39"/>
    <w:rsid w:val="0072661E"/>
    <w:rsid w:val="008E697A"/>
    <w:rsid w:val="00AD349E"/>
    <w:rsid w:val="00B22291"/>
    <w:rsid w:val="00B85179"/>
    <w:rsid w:val="00C379D1"/>
    <w:rsid w:val="00D07F4C"/>
    <w:rsid w:val="00D279A1"/>
    <w:rsid w:val="00D50E34"/>
    <w:rsid w:val="00F63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D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7266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D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726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4003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Obrtelová Martina Mgr. (OFŘ)</cp:lastModifiedBy>
  <cp:revision>4</cp:revision>
  <cp:lastPrinted>2017-05-22T04:48:00Z</cp:lastPrinted>
  <dcterms:created xsi:type="dcterms:W3CDTF">2017-05-22T04:48:00Z</dcterms:created>
  <dcterms:modified xsi:type="dcterms:W3CDTF">2018-03-13T06:26:00Z</dcterms:modified>
</cp:coreProperties>
</file>