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B8" w:rsidRPr="00A85BF5" w:rsidRDefault="00B62658" w:rsidP="0069515E">
      <w:pPr>
        <w:spacing w:before="100" w:beforeAutospacing="1" w:after="100" w:afterAutospacing="1" w:line="240" w:lineRule="auto"/>
        <w:jc w:val="both"/>
        <w:rPr>
          <w:rFonts w:ascii="Times New Roman" w:eastAsia="Times New Roman" w:hAnsi="Times New Roman" w:cs="Times New Roman"/>
          <w:b/>
          <w:color w:val="3A4145"/>
          <w:sz w:val="24"/>
          <w:szCs w:val="24"/>
          <w:u w:val="single"/>
          <w:lang w:eastAsia="cs-CZ"/>
        </w:rPr>
      </w:pPr>
      <w:r>
        <w:rPr>
          <w:rFonts w:ascii="Times New Roman" w:eastAsia="Times New Roman" w:hAnsi="Times New Roman" w:cs="Times New Roman"/>
          <w:b/>
          <w:color w:val="3A4145"/>
          <w:sz w:val="24"/>
          <w:szCs w:val="24"/>
          <w:u w:val="single"/>
          <w:lang w:eastAsia="cs-CZ"/>
        </w:rPr>
        <w:t xml:space="preserve">Manuál k seminárnímu cvičení </w:t>
      </w:r>
      <w:r w:rsidR="00B127B8" w:rsidRPr="00A85BF5">
        <w:rPr>
          <w:rFonts w:ascii="Times New Roman" w:eastAsia="Times New Roman" w:hAnsi="Times New Roman" w:cs="Times New Roman"/>
          <w:b/>
          <w:color w:val="3A4145"/>
          <w:sz w:val="24"/>
          <w:szCs w:val="24"/>
          <w:u w:val="single"/>
          <w:lang w:eastAsia="cs-CZ"/>
        </w:rPr>
        <w:t xml:space="preserve"> – </w:t>
      </w:r>
      <w:r>
        <w:rPr>
          <w:rFonts w:ascii="Times New Roman" w:eastAsia="Times New Roman" w:hAnsi="Times New Roman" w:cs="Times New Roman"/>
          <w:b/>
          <w:color w:val="3A4145"/>
          <w:sz w:val="24"/>
          <w:szCs w:val="24"/>
          <w:u w:val="single"/>
          <w:lang w:eastAsia="cs-CZ"/>
        </w:rPr>
        <w:t xml:space="preserve"> </w:t>
      </w:r>
      <w:r w:rsidR="00B127B8" w:rsidRPr="00A85BF5">
        <w:rPr>
          <w:rFonts w:ascii="Times New Roman" w:eastAsia="Times New Roman" w:hAnsi="Times New Roman" w:cs="Times New Roman"/>
          <w:b/>
          <w:color w:val="3A4145"/>
          <w:sz w:val="24"/>
          <w:szCs w:val="24"/>
          <w:u w:val="single"/>
          <w:lang w:eastAsia="cs-CZ"/>
        </w:rPr>
        <w:t>Citace</w:t>
      </w:r>
    </w:p>
    <w:p w:rsidR="00795D14" w:rsidRDefault="00795D14"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795D14" w:rsidRPr="00FE1A40" w:rsidRDefault="00795D14" w:rsidP="00795D14">
      <w:pPr>
        <w:spacing w:after="0" w:line="240" w:lineRule="auto"/>
        <w:jc w:val="both"/>
        <w:rPr>
          <w:rFonts w:ascii="Times New Roman" w:eastAsia="Times New Roman" w:hAnsi="Times New Roman" w:cs="Times New Roman"/>
          <w:b/>
          <w:sz w:val="24"/>
          <w:szCs w:val="24"/>
          <w:lang w:eastAsia="cs-CZ"/>
        </w:rPr>
      </w:pPr>
      <w:r w:rsidRPr="00FE1A40">
        <w:rPr>
          <w:rFonts w:ascii="Times New Roman" w:eastAsia="Times New Roman" w:hAnsi="Times New Roman" w:cs="Times New Roman"/>
          <w:b/>
          <w:sz w:val="24"/>
          <w:szCs w:val="24"/>
          <w:lang w:eastAsia="cs-CZ"/>
        </w:rPr>
        <w:t xml:space="preserve">Úkol č.1    </w:t>
      </w:r>
    </w:p>
    <w:p w:rsidR="00795D14" w:rsidRDefault="00B62658" w:rsidP="00795D1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Vaším úkolem je určit, zda  citace, která je použitá v jednotlivých diplomových pracích  je uvedena  správně nebo nesprávně.  </w:t>
      </w:r>
    </w:p>
    <w:p w:rsidR="00B62658" w:rsidRDefault="00B62658" w:rsidP="00795D14">
      <w:pPr>
        <w:spacing w:after="0" w:line="240" w:lineRule="auto"/>
        <w:jc w:val="both"/>
        <w:rPr>
          <w:rFonts w:ascii="Times New Roman" w:eastAsia="Times New Roman" w:hAnsi="Times New Roman" w:cs="Times New Roman"/>
          <w:b/>
          <w:sz w:val="24"/>
          <w:szCs w:val="24"/>
          <w:lang w:eastAsia="cs-CZ"/>
        </w:rPr>
      </w:pPr>
    </w:p>
    <w:p w:rsidR="00402279" w:rsidRPr="004109D7" w:rsidRDefault="00402279" w:rsidP="00795D14">
      <w:pPr>
        <w:spacing w:after="0" w:line="240" w:lineRule="auto"/>
        <w:jc w:val="both"/>
        <w:rPr>
          <w:rFonts w:ascii="Times New Roman" w:eastAsia="Times New Roman" w:hAnsi="Times New Roman" w:cs="Times New Roman"/>
          <w:b/>
          <w:sz w:val="24"/>
          <w:szCs w:val="24"/>
          <w:lang w:eastAsia="cs-CZ"/>
        </w:rPr>
      </w:pPr>
      <w:r w:rsidRPr="004109D7">
        <w:rPr>
          <w:rFonts w:ascii="Times New Roman" w:eastAsia="Times New Roman" w:hAnsi="Times New Roman" w:cs="Times New Roman"/>
          <w:b/>
          <w:sz w:val="24"/>
          <w:szCs w:val="24"/>
          <w:lang w:eastAsia="cs-CZ"/>
        </w:rPr>
        <w:t xml:space="preserve">Text v knize: </w:t>
      </w:r>
    </w:p>
    <w:p w:rsidR="00FE1A40" w:rsidRPr="00B62658" w:rsidRDefault="00402279" w:rsidP="0069515E">
      <w:pPr>
        <w:spacing w:before="100" w:beforeAutospacing="1" w:after="100" w:afterAutospacing="1" w:line="240" w:lineRule="auto"/>
        <w:jc w:val="both"/>
        <w:rPr>
          <w:rFonts w:ascii="Times New Roman" w:eastAsia="Times New Roman" w:hAnsi="Times New Roman" w:cs="Times New Roman"/>
          <w:b/>
          <w:i/>
          <w:sz w:val="24"/>
          <w:szCs w:val="24"/>
          <w:lang w:eastAsia="cs-CZ"/>
        </w:rPr>
      </w:pPr>
      <w:r w:rsidRPr="00402279">
        <w:rPr>
          <w:rFonts w:ascii="Times New Roman" w:eastAsia="Times New Roman" w:hAnsi="Times New Roman" w:cs="Times New Roman"/>
          <w:i/>
          <w:sz w:val="24"/>
          <w:szCs w:val="24"/>
          <w:lang w:eastAsia="cs-CZ"/>
        </w:rPr>
        <w:t>„</w:t>
      </w:r>
      <w:r w:rsidRPr="00B62658">
        <w:rPr>
          <w:rFonts w:ascii="Times New Roman" w:eastAsia="Times New Roman" w:hAnsi="Times New Roman" w:cs="Times New Roman"/>
          <w:b/>
          <w:i/>
          <w:sz w:val="24"/>
          <w:szCs w:val="24"/>
          <w:lang w:eastAsia="cs-CZ"/>
        </w:rPr>
        <w:t>Rozdíl mezi právními pravidly a právními principy tkví v logice věci. Oba soubory standardů se vztahují ke konkrétním rozhodnutím o právní povinnosti za určitých konkrétn</w:t>
      </w:r>
      <w:r w:rsidR="003D08F1" w:rsidRPr="00B62658">
        <w:rPr>
          <w:rFonts w:ascii="Times New Roman" w:eastAsia="Times New Roman" w:hAnsi="Times New Roman" w:cs="Times New Roman"/>
          <w:b/>
          <w:i/>
          <w:sz w:val="24"/>
          <w:szCs w:val="24"/>
          <w:lang w:eastAsia="cs-CZ"/>
        </w:rPr>
        <w:t xml:space="preserve">ích okolností, liší se však co </w:t>
      </w:r>
      <w:r w:rsidRPr="00B62658">
        <w:rPr>
          <w:rFonts w:ascii="Times New Roman" w:eastAsia="Times New Roman" w:hAnsi="Times New Roman" w:cs="Times New Roman"/>
          <w:b/>
          <w:i/>
          <w:sz w:val="24"/>
          <w:szCs w:val="24"/>
          <w:lang w:eastAsia="cs-CZ"/>
        </w:rPr>
        <w:t>do charakteru direktivy, kterou dávají“</w:t>
      </w:r>
      <w:r w:rsidRPr="00B62658">
        <w:rPr>
          <w:rFonts w:ascii="Times New Roman" w:eastAsia="Times New Roman" w:hAnsi="Times New Roman" w:cs="Times New Roman"/>
          <w:b/>
          <w:i/>
          <w:color w:val="3A4145"/>
          <w:sz w:val="24"/>
          <w:szCs w:val="24"/>
          <w:vertAlign w:val="superscript"/>
          <w:lang w:eastAsia="cs-CZ"/>
        </w:rPr>
        <w:t xml:space="preserve"> 1</w:t>
      </w:r>
    </w:p>
    <w:p w:rsidR="00402279" w:rsidRPr="00FE1A40" w:rsidRDefault="00402279" w:rsidP="0069515E">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B62658">
        <w:rPr>
          <w:rFonts w:ascii="Times New Roman" w:eastAsia="Times New Roman" w:hAnsi="Times New Roman" w:cs="Times New Roman"/>
          <w:b/>
          <w:sz w:val="24"/>
          <w:szCs w:val="24"/>
          <w:lang w:eastAsia="cs-CZ"/>
        </w:rPr>
        <w:t xml:space="preserve"> </w:t>
      </w:r>
      <w:r w:rsidR="00FE1A40" w:rsidRPr="00B62658">
        <w:rPr>
          <w:rFonts w:ascii="Times New Roman" w:eastAsia="Times New Roman" w:hAnsi="Times New Roman" w:cs="Times New Roman"/>
          <w:b/>
          <w:color w:val="3A4145"/>
          <w:sz w:val="24"/>
          <w:szCs w:val="24"/>
          <w:vertAlign w:val="superscript"/>
          <w:lang w:eastAsia="cs-CZ"/>
        </w:rPr>
        <w:t xml:space="preserve"> </w:t>
      </w:r>
      <w:r w:rsidR="00FE1A40" w:rsidRPr="00B62658">
        <w:rPr>
          <w:rFonts w:ascii="Times New Roman" w:eastAsia="Times New Roman" w:hAnsi="Times New Roman" w:cs="Times New Roman"/>
          <w:color w:val="3A4145"/>
          <w:sz w:val="24"/>
          <w:szCs w:val="24"/>
          <w:vertAlign w:val="superscript"/>
          <w:lang w:eastAsia="cs-CZ"/>
        </w:rPr>
        <w:t>1</w:t>
      </w:r>
      <w:r w:rsidRPr="00B62658">
        <w:rPr>
          <w:rFonts w:ascii="Times New Roman" w:eastAsia="Times New Roman" w:hAnsi="Times New Roman" w:cs="Times New Roman"/>
          <w:sz w:val="24"/>
          <w:szCs w:val="24"/>
          <w:lang w:eastAsia="cs-CZ"/>
        </w:rPr>
        <w:t>Vi</w:t>
      </w:r>
      <w:r>
        <w:rPr>
          <w:rFonts w:ascii="Times New Roman" w:eastAsia="Times New Roman" w:hAnsi="Times New Roman" w:cs="Times New Roman"/>
          <w:sz w:val="24"/>
          <w:szCs w:val="24"/>
          <w:lang w:eastAsia="cs-CZ"/>
        </w:rPr>
        <w:t xml:space="preserve">z k tomu DWORKIN, Ronald. </w:t>
      </w:r>
      <w:r w:rsidRPr="00B62658">
        <w:rPr>
          <w:rFonts w:ascii="Times New Roman" w:eastAsia="Times New Roman" w:hAnsi="Times New Roman" w:cs="Times New Roman"/>
          <w:i/>
          <w:sz w:val="24"/>
          <w:szCs w:val="24"/>
          <w:lang w:eastAsia="cs-CZ"/>
        </w:rPr>
        <w:t xml:space="preserve">Když se práva berou vážně. </w:t>
      </w:r>
      <w:r>
        <w:rPr>
          <w:rFonts w:ascii="Times New Roman" w:eastAsia="Times New Roman" w:hAnsi="Times New Roman" w:cs="Times New Roman"/>
          <w:sz w:val="24"/>
          <w:szCs w:val="24"/>
          <w:lang w:eastAsia="cs-CZ"/>
        </w:rPr>
        <w:t>Praha: Oikoymenh, 2001, s.</w:t>
      </w:r>
      <w:r w:rsidR="00B6265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46.</w:t>
      </w:r>
    </w:p>
    <w:p w:rsidR="00402279" w:rsidRPr="00795D14" w:rsidRDefault="00402279"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 1</w:t>
      </w:r>
    </w:p>
    <w:p w:rsidR="00402279" w:rsidRPr="00B62658" w:rsidRDefault="00402279" w:rsidP="0069515E">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B62658">
        <w:rPr>
          <w:rFonts w:ascii="Times New Roman" w:eastAsia="Times New Roman" w:hAnsi="Times New Roman" w:cs="Times New Roman"/>
          <w:i/>
          <w:sz w:val="24"/>
          <w:szCs w:val="24"/>
          <w:lang w:eastAsia="cs-CZ"/>
        </w:rPr>
        <w:t>Rozdíl mezi právními pravidly a právními principy tkví v logice věci. Oba soubory standardů se vztahují ke konkrétním rozhodnutím o právní povinnosti za určitých konkrétních okolností, liší se však co do charakteru direktivy, kterou dávají.</w:t>
      </w:r>
    </w:p>
    <w:p w:rsidR="00795D14" w:rsidRDefault="00795D14" w:rsidP="00402279">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p>
    <w:p w:rsidR="00B62658" w:rsidRDefault="00B62658" w:rsidP="00402279">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402279" w:rsidRPr="00795D14" w:rsidRDefault="00402279" w:rsidP="00402279">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 2</w:t>
      </w:r>
    </w:p>
    <w:p w:rsidR="00FE1A40" w:rsidRDefault="001D7510" w:rsidP="001D7510">
      <w:pPr>
        <w:spacing w:before="100" w:beforeAutospacing="1" w:after="100" w:afterAutospacing="1" w:line="24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w:t>
      </w:r>
      <w:r w:rsidRPr="001D7510">
        <w:rPr>
          <w:rFonts w:ascii="Times New Roman" w:eastAsia="Times New Roman" w:hAnsi="Times New Roman" w:cs="Times New Roman"/>
          <w:i/>
          <w:sz w:val="24"/>
          <w:szCs w:val="24"/>
          <w:lang w:eastAsia="cs-CZ"/>
        </w:rPr>
        <w:t>Jedná se o r</w:t>
      </w:r>
      <w:r w:rsidR="00402279" w:rsidRPr="001D7510">
        <w:rPr>
          <w:rFonts w:ascii="Times New Roman" w:eastAsia="Times New Roman" w:hAnsi="Times New Roman" w:cs="Times New Roman"/>
          <w:i/>
          <w:sz w:val="24"/>
          <w:szCs w:val="24"/>
          <w:lang w:eastAsia="cs-CZ"/>
        </w:rPr>
        <w:t>ozdíl mezi právními pravidly a právními principy</w:t>
      </w:r>
      <w:r w:rsidR="00B62658">
        <w:rPr>
          <w:rFonts w:ascii="Times New Roman" w:eastAsia="Times New Roman" w:hAnsi="Times New Roman" w:cs="Times New Roman"/>
          <w:i/>
          <w:sz w:val="24"/>
          <w:szCs w:val="24"/>
          <w:lang w:eastAsia="cs-CZ"/>
        </w:rPr>
        <w:t>“</w:t>
      </w:r>
      <w:r>
        <w:rPr>
          <w:rFonts w:ascii="Times New Roman" w:eastAsia="Times New Roman" w:hAnsi="Times New Roman" w:cs="Times New Roman"/>
          <w:sz w:val="24"/>
          <w:szCs w:val="24"/>
          <w:lang w:eastAsia="cs-CZ"/>
        </w:rPr>
        <w:t xml:space="preserve">, který podle Dworkina </w:t>
      </w:r>
      <w:r w:rsidRPr="001D7510">
        <w:rPr>
          <w:rFonts w:ascii="Times New Roman" w:eastAsia="Times New Roman" w:hAnsi="Times New Roman" w:cs="Times New Roman"/>
          <w:i/>
          <w:sz w:val="24"/>
          <w:szCs w:val="24"/>
          <w:lang w:eastAsia="cs-CZ"/>
        </w:rPr>
        <w:t>„</w:t>
      </w:r>
      <w:r w:rsidR="00402279" w:rsidRPr="001D7510">
        <w:rPr>
          <w:rFonts w:ascii="Times New Roman" w:eastAsia="Times New Roman" w:hAnsi="Times New Roman" w:cs="Times New Roman"/>
          <w:i/>
          <w:sz w:val="24"/>
          <w:szCs w:val="24"/>
          <w:lang w:eastAsia="cs-CZ"/>
        </w:rPr>
        <w:t xml:space="preserve">tkví </w:t>
      </w:r>
      <w:r w:rsidRPr="001D7510">
        <w:rPr>
          <w:rFonts w:ascii="Times New Roman" w:eastAsia="Times New Roman" w:hAnsi="Times New Roman" w:cs="Times New Roman"/>
          <w:i/>
          <w:sz w:val="24"/>
          <w:szCs w:val="24"/>
          <w:lang w:eastAsia="cs-CZ"/>
        </w:rPr>
        <w:t xml:space="preserve"> </w:t>
      </w:r>
      <w:r w:rsidR="00402279" w:rsidRPr="001D7510">
        <w:rPr>
          <w:rFonts w:ascii="Times New Roman" w:eastAsia="Times New Roman" w:hAnsi="Times New Roman" w:cs="Times New Roman"/>
          <w:i/>
          <w:sz w:val="24"/>
          <w:szCs w:val="24"/>
          <w:lang w:eastAsia="cs-CZ"/>
        </w:rPr>
        <w:t>v </w:t>
      </w:r>
      <w:r w:rsidR="003D08F1">
        <w:rPr>
          <w:rFonts w:ascii="Times New Roman" w:eastAsia="Times New Roman" w:hAnsi="Times New Roman" w:cs="Times New Roman"/>
          <w:i/>
          <w:sz w:val="24"/>
          <w:szCs w:val="24"/>
          <w:lang w:eastAsia="cs-CZ"/>
        </w:rPr>
        <w:t xml:space="preserve"> </w:t>
      </w:r>
      <w:r w:rsidR="00402279" w:rsidRPr="001D7510">
        <w:rPr>
          <w:rFonts w:ascii="Times New Roman" w:eastAsia="Times New Roman" w:hAnsi="Times New Roman" w:cs="Times New Roman"/>
          <w:i/>
          <w:sz w:val="24"/>
          <w:szCs w:val="24"/>
          <w:lang w:eastAsia="cs-CZ"/>
        </w:rPr>
        <w:t>logice věci. Oba soubory standardů se vztahují ke konkrétním rozhodnutím o právní povinnosti za určitých konkrétních okolností, liší se však co  do charakteru direktivy, kterou dávají.</w:t>
      </w:r>
      <w:r w:rsidRPr="001D7510">
        <w:rPr>
          <w:rFonts w:ascii="Times New Roman" w:eastAsia="Times New Roman" w:hAnsi="Times New Roman" w:cs="Times New Roman"/>
          <w:i/>
          <w:sz w:val="24"/>
          <w:szCs w:val="24"/>
          <w:lang w:eastAsia="cs-CZ"/>
        </w:rPr>
        <w:t>“</w:t>
      </w:r>
      <w:r w:rsidRPr="001D7510">
        <w:rPr>
          <w:rFonts w:ascii="Times New Roman" w:eastAsia="Times New Roman" w:hAnsi="Times New Roman" w:cs="Times New Roman"/>
          <w:i/>
          <w:color w:val="3A4145"/>
          <w:sz w:val="24"/>
          <w:szCs w:val="24"/>
          <w:vertAlign w:val="superscript"/>
          <w:lang w:eastAsia="cs-CZ"/>
        </w:rPr>
        <w:t xml:space="preserve"> 1</w:t>
      </w:r>
    </w:p>
    <w:p w:rsidR="001D7510" w:rsidRPr="00FE1A40" w:rsidRDefault="001D7510" w:rsidP="001D7510">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sz w:val="24"/>
          <w:szCs w:val="24"/>
          <w:lang w:eastAsia="cs-CZ"/>
        </w:rPr>
        <w:t xml:space="preserve"> </w:t>
      </w:r>
      <w:r w:rsidR="00FE1A40" w:rsidRPr="001D7510">
        <w:rPr>
          <w:rFonts w:ascii="Times New Roman" w:eastAsia="Times New Roman" w:hAnsi="Times New Roman" w:cs="Times New Roman"/>
          <w:i/>
          <w:color w:val="3A4145"/>
          <w:sz w:val="24"/>
          <w:szCs w:val="24"/>
          <w:vertAlign w:val="superscript"/>
          <w:lang w:eastAsia="cs-CZ"/>
        </w:rPr>
        <w:t xml:space="preserve"> 1</w:t>
      </w:r>
      <w:r w:rsidRPr="001D7510">
        <w:rPr>
          <w:rFonts w:ascii="Times New Roman" w:eastAsia="Times New Roman" w:hAnsi="Times New Roman" w:cs="Times New Roman"/>
          <w:sz w:val="24"/>
          <w:szCs w:val="24"/>
          <w:lang w:eastAsia="cs-CZ"/>
        </w:rPr>
        <w:t xml:space="preserve">Viz k tomu DWORKIN, Ronald. </w:t>
      </w:r>
      <w:r w:rsidRPr="00795D14">
        <w:rPr>
          <w:rFonts w:ascii="Times New Roman" w:eastAsia="Times New Roman" w:hAnsi="Times New Roman" w:cs="Times New Roman"/>
          <w:i/>
          <w:sz w:val="24"/>
          <w:szCs w:val="24"/>
          <w:lang w:eastAsia="cs-CZ"/>
        </w:rPr>
        <w:t>Když se práva berou vážně.</w:t>
      </w:r>
      <w:r w:rsidRPr="001D7510">
        <w:rPr>
          <w:rFonts w:ascii="Times New Roman" w:eastAsia="Times New Roman" w:hAnsi="Times New Roman" w:cs="Times New Roman"/>
          <w:sz w:val="24"/>
          <w:szCs w:val="24"/>
          <w:lang w:eastAsia="cs-CZ"/>
        </w:rPr>
        <w:t xml:space="preserve"> Praha: Oikoymenh, 2001, s.46.</w:t>
      </w:r>
    </w:p>
    <w:p w:rsidR="00795D14" w:rsidRDefault="00795D14" w:rsidP="00795D14">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p>
    <w:p w:rsidR="001D7510" w:rsidRPr="00795D14" w:rsidRDefault="001D7510" w:rsidP="001D7510">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Text v diplomové práci č. 3</w:t>
      </w:r>
    </w:p>
    <w:p w:rsidR="00402279" w:rsidRDefault="001D7510" w:rsidP="0040227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w:t>
      </w:r>
      <w:r w:rsidRPr="00402279">
        <w:rPr>
          <w:rFonts w:ascii="Times New Roman" w:eastAsia="Times New Roman" w:hAnsi="Times New Roman" w:cs="Times New Roman"/>
          <w:i/>
          <w:sz w:val="24"/>
          <w:szCs w:val="24"/>
          <w:lang w:eastAsia="cs-CZ"/>
        </w:rPr>
        <w:t>Rozdíl mezi právními pravidly a právními principy</w:t>
      </w:r>
      <w:r>
        <w:rPr>
          <w:rFonts w:ascii="Times New Roman" w:eastAsia="Times New Roman" w:hAnsi="Times New Roman" w:cs="Times New Roman"/>
          <w:i/>
          <w:sz w:val="24"/>
          <w:szCs w:val="24"/>
          <w:lang w:eastAsia="cs-CZ"/>
        </w:rPr>
        <w:t xml:space="preserve"> plyne z logiky</w:t>
      </w:r>
      <w:r w:rsidRPr="00402279">
        <w:rPr>
          <w:rFonts w:ascii="Times New Roman" w:eastAsia="Times New Roman" w:hAnsi="Times New Roman" w:cs="Times New Roman"/>
          <w:i/>
          <w:sz w:val="24"/>
          <w:szCs w:val="24"/>
          <w:lang w:eastAsia="cs-CZ"/>
        </w:rPr>
        <w:t xml:space="preserve"> věci. Oba </w:t>
      </w:r>
      <w:r>
        <w:rPr>
          <w:rFonts w:ascii="Times New Roman" w:eastAsia="Times New Roman" w:hAnsi="Times New Roman" w:cs="Times New Roman"/>
          <w:i/>
          <w:sz w:val="24"/>
          <w:szCs w:val="24"/>
          <w:lang w:eastAsia="cs-CZ"/>
        </w:rPr>
        <w:t xml:space="preserve">systémy </w:t>
      </w:r>
      <w:r w:rsidRPr="00402279">
        <w:rPr>
          <w:rFonts w:ascii="Times New Roman" w:eastAsia="Times New Roman" w:hAnsi="Times New Roman" w:cs="Times New Roman"/>
          <w:i/>
          <w:sz w:val="24"/>
          <w:szCs w:val="24"/>
          <w:lang w:eastAsia="cs-CZ"/>
        </w:rPr>
        <w:t xml:space="preserve"> standardů se vztahují ke konkrétním rozhodnutím o právní</w:t>
      </w:r>
      <w:r w:rsidR="00036B2F">
        <w:rPr>
          <w:rFonts w:ascii="Times New Roman" w:eastAsia="Times New Roman" w:hAnsi="Times New Roman" w:cs="Times New Roman"/>
          <w:i/>
          <w:sz w:val="24"/>
          <w:szCs w:val="24"/>
          <w:lang w:eastAsia="cs-CZ"/>
        </w:rPr>
        <w:t>ch  povinnostech</w:t>
      </w:r>
      <w:r>
        <w:rPr>
          <w:rFonts w:ascii="Times New Roman" w:eastAsia="Times New Roman" w:hAnsi="Times New Roman" w:cs="Times New Roman"/>
          <w:i/>
          <w:sz w:val="24"/>
          <w:szCs w:val="24"/>
          <w:lang w:eastAsia="cs-CZ"/>
        </w:rPr>
        <w:t xml:space="preserve">, </w:t>
      </w:r>
      <w:r w:rsidRPr="00402279">
        <w:rPr>
          <w:rFonts w:ascii="Times New Roman" w:eastAsia="Times New Roman" w:hAnsi="Times New Roman" w:cs="Times New Roman"/>
          <w:i/>
          <w:sz w:val="24"/>
          <w:szCs w:val="24"/>
          <w:lang w:eastAsia="cs-CZ"/>
        </w:rPr>
        <w:t xml:space="preserve"> liší se však co  do charakteru direktivy, kterou </w:t>
      </w:r>
      <w:r>
        <w:rPr>
          <w:rFonts w:ascii="Times New Roman" w:eastAsia="Times New Roman" w:hAnsi="Times New Roman" w:cs="Times New Roman"/>
          <w:i/>
          <w:sz w:val="24"/>
          <w:szCs w:val="24"/>
          <w:lang w:eastAsia="cs-CZ"/>
        </w:rPr>
        <w:t>poskytují</w:t>
      </w:r>
      <w:r w:rsidRPr="00402279">
        <w:rPr>
          <w:rFonts w:ascii="Times New Roman" w:eastAsia="Times New Roman" w:hAnsi="Times New Roman" w:cs="Times New Roman"/>
          <w:i/>
          <w:sz w:val="24"/>
          <w:szCs w:val="24"/>
          <w:lang w:eastAsia="cs-CZ"/>
        </w:rPr>
        <w:t>“</w:t>
      </w:r>
      <w:r w:rsidRPr="00402279">
        <w:rPr>
          <w:rFonts w:ascii="Times New Roman" w:eastAsia="Times New Roman" w:hAnsi="Times New Roman" w:cs="Times New Roman"/>
          <w:i/>
          <w:color w:val="3A4145"/>
          <w:sz w:val="24"/>
          <w:szCs w:val="24"/>
          <w:vertAlign w:val="superscript"/>
          <w:lang w:eastAsia="cs-CZ"/>
        </w:rPr>
        <w:t xml:space="preserve"> 1</w:t>
      </w:r>
      <w:r w:rsidRPr="001D7510">
        <w:rPr>
          <w:rFonts w:ascii="Times New Roman" w:eastAsia="Times New Roman" w:hAnsi="Times New Roman" w:cs="Times New Roman"/>
          <w:i/>
          <w:sz w:val="24"/>
          <w:szCs w:val="24"/>
          <w:lang w:eastAsia="cs-CZ"/>
        </w:rPr>
        <w:t xml:space="preserve"> </w:t>
      </w:r>
    </w:p>
    <w:p w:rsidR="001D7510" w:rsidRPr="00FE1A40" w:rsidRDefault="00FE1A40" w:rsidP="001D7510">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i/>
          <w:color w:val="3A4145"/>
          <w:sz w:val="24"/>
          <w:szCs w:val="24"/>
          <w:vertAlign w:val="superscript"/>
          <w:lang w:eastAsia="cs-CZ"/>
        </w:rPr>
        <w:t>1</w:t>
      </w:r>
      <w:r w:rsidR="001D7510" w:rsidRPr="001D7510">
        <w:rPr>
          <w:rFonts w:ascii="Times New Roman" w:eastAsia="Times New Roman" w:hAnsi="Times New Roman" w:cs="Times New Roman"/>
          <w:sz w:val="24"/>
          <w:szCs w:val="24"/>
          <w:lang w:eastAsia="cs-CZ"/>
        </w:rPr>
        <w:t xml:space="preserve"> Viz k tomu DWORKIN, Ronald. </w:t>
      </w:r>
      <w:r w:rsidR="001D7510" w:rsidRPr="00795D14">
        <w:rPr>
          <w:rFonts w:ascii="Times New Roman" w:eastAsia="Times New Roman" w:hAnsi="Times New Roman" w:cs="Times New Roman"/>
          <w:i/>
          <w:sz w:val="24"/>
          <w:szCs w:val="24"/>
          <w:lang w:eastAsia="cs-CZ"/>
        </w:rPr>
        <w:t>Když se práva berou vážně</w:t>
      </w:r>
      <w:r w:rsidR="001D7510" w:rsidRPr="001D7510">
        <w:rPr>
          <w:rFonts w:ascii="Times New Roman" w:eastAsia="Times New Roman" w:hAnsi="Times New Roman" w:cs="Times New Roman"/>
          <w:sz w:val="24"/>
          <w:szCs w:val="24"/>
          <w:lang w:eastAsia="cs-CZ"/>
        </w:rPr>
        <w:t>. Praha: Oikoymenh, 2001, s.46.</w:t>
      </w:r>
    </w:p>
    <w:p w:rsidR="00795D14" w:rsidRDefault="00795D14" w:rsidP="00795D14">
      <w:pPr>
        <w:spacing w:before="100" w:beforeAutospacing="1" w:after="100" w:afterAutospacing="1"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Správně nebo špatně? </w:t>
      </w:r>
    </w:p>
    <w:p w:rsidR="00402279" w:rsidRDefault="00402279"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F17C69" w:rsidRDefault="00F17C69"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p>
    <w:p w:rsidR="00795D14" w:rsidRPr="00C1280D" w:rsidRDefault="00C1280D"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r w:rsidRPr="00C1280D">
        <w:rPr>
          <w:rFonts w:ascii="Times New Roman" w:eastAsia="Times New Roman" w:hAnsi="Times New Roman" w:cs="Times New Roman"/>
          <w:b/>
          <w:sz w:val="24"/>
          <w:szCs w:val="24"/>
          <w:u w:val="single"/>
          <w:lang w:eastAsia="cs-CZ"/>
        </w:rPr>
        <w:lastRenderedPageBreak/>
        <w:t>Používání citací.</w:t>
      </w:r>
    </w:p>
    <w:p w:rsidR="00795D14" w:rsidRDefault="00AF7D54" w:rsidP="00795D14">
      <w:pPr>
        <w:spacing w:after="0" w:line="240" w:lineRule="auto"/>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sz w:val="24"/>
          <w:szCs w:val="24"/>
          <w:lang w:eastAsia="cs-CZ"/>
        </w:rPr>
        <w:t xml:space="preserve">U citací je přípustná drobná úprava, kdy </w:t>
      </w:r>
      <w:r w:rsidR="00795D14">
        <w:rPr>
          <w:rFonts w:ascii="Times New Roman" w:eastAsia="Times New Roman" w:hAnsi="Times New Roman" w:cs="Times New Roman"/>
          <w:sz w:val="24"/>
          <w:szCs w:val="24"/>
          <w:lang w:eastAsia="cs-CZ"/>
        </w:rPr>
        <w:t xml:space="preserve"> </w:t>
      </w:r>
      <w:r w:rsidRPr="00202B86">
        <w:rPr>
          <w:rFonts w:ascii="Times New Roman" w:eastAsia="Times New Roman" w:hAnsi="Times New Roman" w:cs="Times New Roman"/>
          <w:i/>
          <w:sz w:val="24"/>
          <w:szCs w:val="24"/>
          <w:lang w:eastAsia="cs-CZ"/>
        </w:rPr>
        <w:t xml:space="preserve">a) vypustíte část textu a  nahradíte  jej třemi tečkami umístěnými v hranatých závorkách; </w:t>
      </w:r>
    </w:p>
    <w:p w:rsidR="00806671" w:rsidRPr="00795D14" w:rsidRDefault="00AF7D54" w:rsidP="00795D14">
      <w:pPr>
        <w:spacing w:after="0" w:line="240" w:lineRule="auto"/>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i/>
          <w:sz w:val="24"/>
          <w:szCs w:val="24"/>
          <w:lang w:eastAsia="cs-CZ"/>
        </w:rPr>
        <w:t xml:space="preserve">b) vypustíte nějaké slovo a vložené, pozměněné slovo opět vložíte v hranatých závorkách; </w:t>
      </w:r>
    </w:p>
    <w:p w:rsidR="00AF7D54" w:rsidRPr="00202B86" w:rsidRDefault="00AF7D54" w:rsidP="00795D14">
      <w:pPr>
        <w:spacing w:after="0"/>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i/>
          <w:sz w:val="24"/>
          <w:szCs w:val="24"/>
          <w:lang w:eastAsia="cs-CZ"/>
        </w:rPr>
        <w:t>c)  typografické změny, kdy nahradíte interpunkční znaménka, zdůrazníte něco v textu kurzívou apod.</w:t>
      </w:r>
      <w:r w:rsidRPr="00202B86">
        <w:rPr>
          <w:rFonts w:ascii="Times New Roman" w:eastAsia="Times New Roman" w:hAnsi="Times New Roman" w:cs="Times New Roman"/>
          <w:sz w:val="24"/>
          <w:szCs w:val="24"/>
          <w:lang w:eastAsia="cs-CZ"/>
        </w:rPr>
        <w:t xml:space="preserve"> </w:t>
      </w:r>
    </w:p>
    <w:p w:rsidR="00AF7D54" w:rsidRPr="00802479" w:rsidRDefault="00AF7D54" w:rsidP="00795D1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
          <w:color w:val="3A4145"/>
          <w:sz w:val="24"/>
          <w:szCs w:val="24"/>
          <w:lang w:eastAsia="cs-CZ"/>
        </w:rPr>
      </w:pPr>
      <w:r w:rsidRPr="00A85BF5">
        <w:rPr>
          <w:rFonts w:ascii="Times New Roman" w:eastAsia="Times New Roman" w:hAnsi="Times New Roman" w:cs="Times New Roman"/>
          <w:b/>
          <w:i/>
          <w:color w:val="3A4145"/>
          <w:sz w:val="24"/>
          <w:szCs w:val="24"/>
          <w:lang w:eastAsia="cs-CZ"/>
        </w:rPr>
        <w:t>Příklad</w:t>
      </w:r>
      <w:r w:rsidR="00A85BF5" w:rsidRPr="00A85BF5">
        <w:rPr>
          <w:rFonts w:ascii="Times New Roman" w:eastAsia="Times New Roman" w:hAnsi="Times New Roman" w:cs="Times New Roman"/>
          <w:b/>
          <w:i/>
          <w:color w:val="3A4145"/>
          <w:sz w:val="24"/>
          <w:szCs w:val="24"/>
          <w:lang w:eastAsia="cs-CZ"/>
        </w:rPr>
        <w:t xml:space="preserve"> </w:t>
      </w:r>
      <w:r w:rsidRPr="00A85BF5">
        <w:rPr>
          <w:rFonts w:ascii="Times New Roman" w:eastAsia="Times New Roman" w:hAnsi="Times New Roman" w:cs="Times New Roman"/>
          <w:b/>
          <w:i/>
          <w:color w:val="3A4145"/>
          <w:sz w:val="24"/>
          <w:szCs w:val="24"/>
          <w:lang w:eastAsia="cs-CZ"/>
        </w:rPr>
        <w:t>č.1-</w:t>
      </w:r>
      <w:r w:rsidR="000C08CF" w:rsidRPr="00A85BF5">
        <w:rPr>
          <w:rFonts w:ascii="Times New Roman" w:eastAsia="Times New Roman" w:hAnsi="Times New Roman" w:cs="Times New Roman"/>
          <w:b/>
          <w:i/>
          <w:color w:val="3A4145"/>
          <w:sz w:val="24"/>
          <w:szCs w:val="24"/>
          <w:lang w:eastAsia="cs-CZ"/>
        </w:rPr>
        <w:t xml:space="preserve"> </w:t>
      </w:r>
      <w:r w:rsidRPr="00A85BF5">
        <w:rPr>
          <w:rFonts w:ascii="Times New Roman" w:eastAsia="Times New Roman" w:hAnsi="Times New Roman" w:cs="Times New Roman"/>
          <w:b/>
          <w:i/>
          <w:color w:val="3A4145"/>
          <w:sz w:val="24"/>
          <w:szCs w:val="24"/>
          <w:lang w:eastAsia="cs-CZ"/>
        </w:rPr>
        <w:t xml:space="preserve">původní text </w:t>
      </w:r>
      <w:r w:rsidRPr="0069515E">
        <w:rPr>
          <w:rFonts w:ascii="Times New Roman" w:eastAsia="Times New Roman" w:hAnsi="Times New Roman" w:cs="Times New Roman"/>
          <w:i/>
          <w:color w:val="3A4145"/>
          <w:sz w:val="24"/>
          <w:szCs w:val="24"/>
          <w:lang w:eastAsia="cs-CZ"/>
        </w:rPr>
        <w:t xml:space="preserve"> „V obecné rovině ve vztahu k závaznosti soudní judikatury lze konstatovat, že již učiněný výklad by měl být, nedojde-li k následnému  shledání dostatečných relevantních důvodů podložených racionálními a přesvědčivějšími argumenty, ve svém souhrnu více konformnějšími s právním řádem jako významovým celkem a svědčícími tak pro změnu judikatury, východiskem pro rozhodování následujících případů stejného druhu, a to z pohledu postulátů právní jistoty, předvídatelnosti práva, ochrany oprávněné důvěry v právo (oprávněného legitimního očekávání) a principu formální spravedlnosti (rovnosti)“.</w:t>
      </w:r>
      <w:r w:rsidRPr="0069515E">
        <w:rPr>
          <w:rFonts w:ascii="Times New Roman" w:eastAsia="Times New Roman" w:hAnsi="Times New Roman" w:cs="Times New Roman"/>
          <w:i/>
          <w:color w:val="3A4145"/>
          <w:sz w:val="24"/>
          <w:szCs w:val="24"/>
          <w:vertAlign w:val="superscript"/>
          <w:lang w:eastAsia="cs-CZ"/>
        </w:rPr>
        <w:t xml:space="preserve"> 1</w:t>
      </w:r>
      <w:r w:rsidRPr="0069515E">
        <w:rPr>
          <w:rFonts w:ascii="Times New Roman" w:eastAsia="Times New Roman" w:hAnsi="Times New Roman" w:cs="Times New Roman"/>
          <w:i/>
          <w:color w:val="3A4145"/>
          <w:sz w:val="24"/>
          <w:szCs w:val="24"/>
          <w:lang w:eastAsia="cs-CZ"/>
        </w:rPr>
        <w:t xml:space="preserve"> </w:t>
      </w:r>
    </w:p>
    <w:p w:rsidR="00AF7D54" w:rsidRPr="0069515E" w:rsidRDefault="00AF7D54"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color w:val="3A4145"/>
          <w:sz w:val="24"/>
          <w:szCs w:val="24"/>
          <w:lang w:eastAsia="cs-CZ"/>
        </w:rPr>
      </w:pPr>
      <w:r w:rsidRPr="0069515E">
        <w:rPr>
          <w:rFonts w:ascii="Times New Roman" w:eastAsia="Times New Roman" w:hAnsi="Times New Roman" w:cs="Times New Roman"/>
          <w:color w:val="3A4145"/>
          <w:sz w:val="24"/>
          <w:szCs w:val="24"/>
          <w:vertAlign w:val="superscript"/>
          <w:lang w:eastAsia="cs-CZ"/>
        </w:rPr>
        <w:t>1</w:t>
      </w:r>
      <w:r w:rsidRPr="0069515E">
        <w:rPr>
          <w:rFonts w:ascii="Times New Roman" w:eastAsia="Times New Roman" w:hAnsi="Times New Roman" w:cs="Times New Roman"/>
          <w:color w:val="3A4145"/>
          <w:sz w:val="24"/>
          <w:szCs w:val="24"/>
          <w:lang w:eastAsia="cs-CZ"/>
        </w:rPr>
        <w:t xml:space="preserve">Viz nález Ústavního soudu ČR ze dne 25. 1. 2005 sp. zn. III. ÚS 252/04. </w:t>
      </w:r>
    </w:p>
    <w:p w:rsidR="00802479" w:rsidRDefault="00A85BF5"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color w:val="3A4145"/>
          <w:sz w:val="24"/>
          <w:szCs w:val="24"/>
          <w:vertAlign w:val="superscript"/>
          <w:lang w:eastAsia="cs-CZ"/>
        </w:rPr>
      </w:pPr>
      <w:r>
        <w:rPr>
          <w:rFonts w:ascii="Times New Roman" w:eastAsia="Times New Roman" w:hAnsi="Times New Roman" w:cs="Times New Roman"/>
          <w:b/>
          <w:color w:val="3A4145"/>
          <w:sz w:val="24"/>
          <w:szCs w:val="24"/>
          <w:lang w:eastAsia="cs-CZ"/>
        </w:rPr>
        <w:t>Upravený text</w:t>
      </w:r>
      <w:r w:rsidR="00802479">
        <w:rPr>
          <w:rFonts w:ascii="Times New Roman" w:eastAsia="Times New Roman" w:hAnsi="Times New Roman" w:cs="Times New Roman"/>
          <w:b/>
          <w:color w:val="3A4145"/>
          <w:sz w:val="24"/>
          <w:szCs w:val="24"/>
          <w:lang w:eastAsia="cs-CZ"/>
        </w:rPr>
        <w:t xml:space="preserve">:    </w:t>
      </w:r>
      <w:r w:rsidR="00AF7D54" w:rsidRPr="0069515E">
        <w:rPr>
          <w:rFonts w:ascii="Times New Roman" w:eastAsia="Times New Roman" w:hAnsi="Times New Roman" w:cs="Times New Roman"/>
          <w:color w:val="3A4145"/>
          <w:sz w:val="24"/>
          <w:szCs w:val="24"/>
          <w:lang w:eastAsia="cs-CZ"/>
        </w:rPr>
        <w:t xml:space="preserve">Podle Ústavního soudu by </w:t>
      </w:r>
      <w:r w:rsidR="00AF7D54" w:rsidRPr="00806671">
        <w:rPr>
          <w:rFonts w:ascii="Times New Roman" w:eastAsia="Times New Roman" w:hAnsi="Times New Roman" w:cs="Times New Roman"/>
          <w:i/>
          <w:iCs/>
          <w:color w:val="FF0000"/>
          <w:sz w:val="24"/>
          <w:szCs w:val="24"/>
          <w:lang w:eastAsia="cs-CZ"/>
        </w:rPr>
        <w:t xml:space="preserve">„[v] </w:t>
      </w:r>
      <w:r w:rsidR="00AF7D54" w:rsidRPr="0069515E">
        <w:rPr>
          <w:rFonts w:ascii="Times New Roman" w:eastAsia="Times New Roman" w:hAnsi="Times New Roman" w:cs="Times New Roman"/>
          <w:i/>
          <w:iCs/>
          <w:color w:val="3A4145"/>
          <w:sz w:val="24"/>
          <w:szCs w:val="24"/>
          <w:lang w:eastAsia="cs-CZ"/>
        </w:rPr>
        <w:t xml:space="preserve">obecné rovině ve vztahu k závaznosti soudní judikatury </w:t>
      </w:r>
      <w:r w:rsidR="00AF7D54" w:rsidRPr="00806671">
        <w:rPr>
          <w:rFonts w:ascii="Times New Roman" w:eastAsia="Times New Roman" w:hAnsi="Times New Roman" w:cs="Times New Roman"/>
          <w:i/>
          <w:iCs/>
          <w:color w:val="FF0000"/>
          <w:sz w:val="24"/>
          <w:szCs w:val="24"/>
          <w:lang w:eastAsia="cs-CZ"/>
        </w:rPr>
        <w:t>[bylo možné]</w:t>
      </w:r>
      <w:r w:rsidR="00AF7D54" w:rsidRPr="0069515E">
        <w:rPr>
          <w:rFonts w:ascii="Times New Roman" w:eastAsia="Times New Roman" w:hAnsi="Times New Roman" w:cs="Times New Roman"/>
          <w:i/>
          <w:iCs/>
          <w:color w:val="3A4145"/>
          <w:sz w:val="24"/>
          <w:szCs w:val="24"/>
          <w:lang w:eastAsia="cs-CZ"/>
        </w:rPr>
        <w:t xml:space="preserve"> konstatovat, že již učiněný výklad by měl být, nedojde-li k následnému shledání dostatečných relevantních důvodů podložených racionálními a přesvědčivějšími argumenty </w:t>
      </w:r>
      <w:r w:rsidR="00AF7D54" w:rsidRPr="00806671">
        <w:rPr>
          <w:rFonts w:ascii="Times New Roman" w:eastAsia="Times New Roman" w:hAnsi="Times New Roman" w:cs="Times New Roman"/>
          <w:i/>
          <w:iCs/>
          <w:color w:val="FF0000"/>
          <w:sz w:val="24"/>
          <w:szCs w:val="24"/>
          <w:lang w:eastAsia="cs-CZ"/>
        </w:rPr>
        <w:t xml:space="preserve">[...] </w:t>
      </w:r>
      <w:r w:rsidR="00AF7D54" w:rsidRPr="0069515E">
        <w:rPr>
          <w:rFonts w:ascii="Times New Roman" w:eastAsia="Times New Roman" w:hAnsi="Times New Roman" w:cs="Times New Roman"/>
          <w:i/>
          <w:iCs/>
          <w:color w:val="3A4145"/>
          <w:sz w:val="24"/>
          <w:szCs w:val="24"/>
          <w:lang w:eastAsia="cs-CZ"/>
        </w:rPr>
        <w:t>svědčícími tak pro změnu judikatury, východiskem pro rozhodování následujících případů stejného druhu“</w:t>
      </w:r>
      <w:r w:rsidR="00AF7D54" w:rsidRPr="0069515E">
        <w:rPr>
          <w:rFonts w:ascii="Times New Roman" w:eastAsia="Times New Roman" w:hAnsi="Times New Roman" w:cs="Times New Roman"/>
          <w:color w:val="3A4145"/>
          <w:sz w:val="24"/>
          <w:szCs w:val="24"/>
          <w:lang w:eastAsia="cs-CZ"/>
        </w:rPr>
        <w:t>. Tento závěr Ústavní soud podkládá dovoláním se principů právní jistoty, předvídatelnosti práva,  formální jistoty a ochrany oprávněné důvěry v právo.</w:t>
      </w:r>
      <w:r w:rsidR="00AF7D54" w:rsidRPr="0069515E">
        <w:rPr>
          <w:rFonts w:ascii="Times New Roman" w:eastAsia="Times New Roman" w:hAnsi="Times New Roman" w:cs="Times New Roman"/>
          <w:color w:val="3A4145"/>
          <w:sz w:val="24"/>
          <w:szCs w:val="24"/>
          <w:vertAlign w:val="superscript"/>
          <w:lang w:eastAsia="cs-CZ"/>
        </w:rPr>
        <w:t xml:space="preserve"> </w:t>
      </w:r>
    </w:p>
    <w:p w:rsidR="00802479" w:rsidRPr="00802479" w:rsidRDefault="00802479"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i/>
          <w:color w:val="3A4145"/>
          <w:sz w:val="24"/>
          <w:szCs w:val="24"/>
          <w:vertAlign w:val="superscript"/>
          <w:lang w:eastAsia="cs-CZ"/>
        </w:rPr>
      </w:pPr>
      <w:r>
        <w:rPr>
          <w:rFonts w:ascii="Times New Roman" w:eastAsia="Times New Roman" w:hAnsi="Times New Roman" w:cs="Times New Roman"/>
          <w:color w:val="3A4145"/>
          <w:sz w:val="24"/>
          <w:szCs w:val="24"/>
          <w:vertAlign w:val="superscript"/>
          <w:lang w:eastAsia="cs-CZ"/>
        </w:rPr>
        <w:t>Převzato od  SMEJKALOVÁ, T., VEČEŘA,M.  Korektní zacházení se zdroji při tvorbě odborného textu. In: MACHALOVÁ, T. a kol.</w:t>
      </w:r>
      <w:r>
        <w:rPr>
          <w:rFonts w:ascii="Times New Roman" w:eastAsia="Times New Roman" w:hAnsi="Times New Roman" w:cs="Times New Roman"/>
          <w:i/>
          <w:color w:val="3A4145"/>
          <w:sz w:val="24"/>
          <w:szCs w:val="24"/>
          <w:vertAlign w:val="superscript"/>
          <w:lang w:eastAsia="cs-CZ"/>
        </w:rPr>
        <w:t>Akademické psaní pro právníky.</w:t>
      </w:r>
      <w:r w:rsidRPr="00802479">
        <w:rPr>
          <w:rFonts w:ascii="Times New Roman" w:eastAsia="Times New Roman" w:hAnsi="Times New Roman" w:cs="Times New Roman"/>
          <w:color w:val="3A4145"/>
          <w:sz w:val="24"/>
          <w:szCs w:val="24"/>
          <w:vertAlign w:val="superscript"/>
          <w:lang w:eastAsia="cs-CZ"/>
        </w:rPr>
        <w:t>Plzeň</w:t>
      </w:r>
      <w:r>
        <w:rPr>
          <w:rFonts w:ascii="Times New Roman" w:eastAsia="Times New Roman" w:hAnsi="Times New Roman" w:cs="Times New Roman"/>
          <w:color w:val="3A4145"/>
          <w:sz w:val="24"/>
          <w:szCs w:val="24"/>
          <w:vertAlign w:val="superscript"/>
          <w:lang w:eastAsia="cs-CZ"/>
        </w:rPr>
        <w:t xml:space="preserve">: </w:t>
      </w:r>
      <w:r w:rsidRPr="00802479">
        <w:rPr>
          <w:rFonts w:ascii="Times New Roman" w:eastAsia="Times New Roman" w:hAnsi="Times New Roman" w:cs="Times New Roman"/>
          <w:color w:val="3A4145"/>
          <w:sz w:val="24"/>
          <w:szCs w:val="24"/>
          <w:vertAlign w:val="superscript"/>
          <w:lang w:eastAsia="cs-CZ"/>
        </w:rPr>
        <w:t xml:space="preserve">Vydavatelství A.Čeněk, 2018. </w:t>
      </w:r>
      <w:r>
        <w:rPr>
          <w:rFonts w:ascii="Times New Roman" w:eastAsia="Times New Roman" w:hAnsi="Times New Roman" w:cs="Times New Roman"/>
          <w:i/>
          <w:color w:val="3A4145"/>
          <w:sz w:val="24"/>
          <w:szCs w:val="24"/>
          <w:vertAlign w:val="superscript"/>
          <w:lang w:eastAsia="cs-CZ"/>
        </w:rPr>
        <w:t xml:space="preserve"> </w:t>
      </w:r>
    </w:p>
    <w:p w:rsidR="00AF7D54" w:rsidRPr="00802479" w:rsidRDefault="00802479" w:rsidP="00A85BF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color w:val="3A4145"/>
          <w:sz w:val="24"/>
          <w:szCs w:val="24"/>
          <w:lang w:eastAsia="cs-CZ"/>
        </w:rPr>
      </w:pPr>
      <w:r>
        <w:rPr>
          <w:rFonts w:ascii="Times New Roman" w:eastAsia="Times New Roman" w:hAnsi="Times New Roman" w:cs="Times New Roman"/>
          <w:color w:val="3A4145"/>
          <w:sz w:val="24"/>
          <w:szCs w:val="24"/>
          <w:vertAlign w:val="superscript"/>
          <w:lang w:eastAsia="cs-CZ"/>
        </w:rPr>
        <w:t xml:space="preserve"> </w:t>
      </w:r>
      <w:r w:rsidR="00AF7D54" w:rsidRPr="0069515E">
        <w:rPr>
          <w:rFonts w:ascii="Times New Roman" w:eastAsia="Times New Roman" w:hAnsi="Times New Roman" w:cs="Times New Roman"/>
          <w:color w:val="3A4145"/>
          <w:sz w:val="24"/>
          <w:szCs w:val="24"/>
          <w:lang w:eastAsia="cs-CZ"/>
        </w:rPr>
        <w:t> </w:t>
      </w:r>
    </w:p>
    <w:p w:rsidR="000C08CF" w:rsidRDefault="00AF7D54" w:rsidP="0069515E">
      <w:pPr>
        <w:spacing w:before="100" w:beforeAutospacing="1" w:after="100" w:afterAutospacing="1" w:line="240" w:lineRule="auto"/>
        <w:jc w:val="both"/>
        <w:rPr>
          <w:rFonts w:ascii="Times New Roman" w:eastAsia="Times New Roman" w:hAnsi="Times New Roman" w:cs="Times New Roman"/>
          <w:color w:val="3A4145"/>
          <w:sz w:val="24"/>
          <w:szCs w:val="24"/>
          <w:lang w:eastAsia="cs-CZ"/>
        </w:rPr>
      </w:pPr>
      <w:r w:rsidRPr="0069515E">
        <w:rPr>
          <w:rFonts w:ascii="Times New Roman" w:eastAsia="Times New Roman" w:hAnsi="Times New Roman" w:cs="Times New Roman"/>
          <w:color w:val="3A4145"/>
          <w:sz w:val="24"/>
          <w:szCs w:val="24"/>
          <w:lang w:eastAsia="cs-CZ"/>
        </w:rPr>
        <w:t> </w:t>
      </w:r>
    </w:p>
    <w:p w:rsidR="00A85BF5" w:rsidRPr="00BB69B3" w:rsidRDefault="00A85BF5" w:rsidP="00A85BF5">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B69B3">
        <w:rPr>
          <w:rFonts w:ascii="Times New Roman" w:eastAsia="Times New Roman" w:hAnsi="Times New Roman" w:cs="Times New Roman"/>
          <w:b/>
          <w:sz w:val="24"/>
          <w:szCs w:val="24"/>
          <w:lang w:eastAsia="cs-CZ"/>
        </w:rPr>
        <w:t>Úkol č.</w:t>
      </w:r>
      <w:r w:rsidR="00FE1A40" w:rsidRPr="00BB69B3">
        <w:rPr>
          <w:rFonts w:ascii="Times New Roman" w:eastAsia="Times New Roman" w:hAnsi="Times New Roman" w:cs="Times New Roman"/>
          <w:b/>
          <w:sz w:val="24"/>
          <w:szCs w:val="24"/>
          <w:lang w:eastAsia="cs-CZ"/>
        </w:rPr>
        <w:t xml:space="preserve">2 </w:t>
      </w:r>
      <w:r w:rsidRPr="00BB69B3">
        <w:rPr>
          <w:rFonts w:ascii="Times New Roman" w:eastAsia="Times New Roman" w:hAnsi="Times New Roman" w:cs="Times New Roman"/>
          <w:b/>
          <w:sz w:val="24"/>
          <w:szCs w:val="24"/>
          <w:lang w:eastAsia="cs-CZ"/>
        </w:rPr>
        <w:t>- Úprava  citac</w:t>
      </w:r>
      <w:r w:rsidR="00FE1A40" w:rsidRPr="00BB69B3">
        <w:rPr>
          <w:rFonts w:ascii="Times New Roman" w:eastAsia="Times New Roman" w:hAnsi="Times New Roman" w:cs="Times New Roman"/>
          <w:b/>
          <w:sz w:val="24"/>
          <w:szCs w:val="24"/>
          <w:lang w:eastAsia="cs-CZ"/>
        </w:rPr>
        <w:t>e</w:t>
      </w:r>
      <w:r w:rsidRPr="00BB69B3">
        <w:rPr>
          <w:rFonts w:ascii="Times New Roman" w:eastAsia="Times New Roman" w:hAnsi="Times New Roman" w:cs="Times New Roman"/>
          <w:b/>
          <w:sz w:val="24"/>
          <w:szCs w:val="24"/>
          <w:lang w:eastAsia="cs-CZ"/>
        </w:rPr>
        <w:t xml:space="preserve"> </w:t>
      </w:r>
    </w:p>
    <w:p w:rsidR="00B127B8" w:rsidRPr="00BB69B3" w:rsidRDefault="00AF7D54"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B69B3">
        <w:rPr>
          <w:rFonts w:ascii="Times New Roman" w:eastAsia="Times New Roman" w:hAnsi="Times New Roman" w:cs="Times New Roman"/>
          <w:b/>
          <w:sz w:val="24"/>
          <w:szCs w:val="24"/>
          <w:lang w:eastAsia="cs-CZ"/>
        </w:rPr>
        <w:t>Na základě prvního příkladu se pokuste  upravit následující citaci.</w:t>
      </w:r>
      <w:r w:rsidR="00D96838" w:rsidRPr="00BB69B3">
        <w:rPr>
          <w:rFonts w:ascii="Times New Roman" w:eastAsia="Times New Roman" w:hAnsi="Times New Roman" w:cs="Times New Roman"/>
          <w:b/>
          <w:sz w:val="24"/>
          <w:szCs w:val="24"/>
          <w:lang w:eastAsia="cs-CZ"/>
        </w:rPr>
        <w:t xml:space="preserve"> Představte si, že ve své práci máte vysvětlit význam spojení </w:t>
      </w:r>
      <w:r w:rsidR="00D96838" w:rsidRPr="00BB69B3">
        <w:rPr>
          <w:rFonts w:ascii="Times New Roman" w:eastAsia="Times New Roman" w:hAnsi="Times New Roman" w:cs="Times New Roman"/>
          <w:b/>
          <w:color w:val="FF0000"/>
          <w:sz w:val="24"/>
          <w:szCs w:val="24"/>
          <w:lang w:eastAsia="cs-CZ"/>
        </w:rPr>
        <w:t>“v nejlepším zájmu dítěte“.</w:t>
      </w:r>
      <w:r w:rsidR="00D96838" w:rsidRPr="00BB69B3">
        <w:rPr>
          <w:rFonts w:ascii="Times New Roman" w:eastAsia="Times New Roman" w:hAnsi="Times New Roman" w:cs="Times New Roman"/>
          <w:b/>
          <w:sz w:val="24"/>
          <w:szCs w:val="24"/>
          <w:lang w:eastAsia="cs-CZ"/>
        </w:rPr>
        <w:t xml:space="preserve"> V rozsudku Nejvyššího soudu jste našli pasáž k </w:t>
      </w:r>
      <w:r w:rsidR="00806671" w:rsidRPr="00BB69B3">
        <w:rPr>
          <w:rFonts w:ascii="Times New Roman" w:eastAsia="Times New Roman" w:hAnsi="Times New Roman" w:cs="Times New Roman"/>
          <w:b/>
          <w:sz w:val="24"/>
          <w:szCs w:val="24"/>
          <w:lang w:eastAsia="cs-CZ"/>
        </w:rPr>
        <w:t xml:space="preserve">uvedenému problému. Pasáž je poměrně </w:t>
      </w:r>
      <w:r w:rsidR="00D96838" w:rsidRPr="00BB69B3">
        <w:rPr>
          <w:rFonts w:ascii="Times New Roman" w:eastAsia="Times New Roman" w:hAnsi="Times New Roman" w:cs="Times New Roman"/>
          <w:b/>
          <w:sz w:val="24"/>
          <w:szCs w:val="24"/>
          <w:lang w:eastAsia="cs-CZ"/>
        </w:rPr>
        <w:t xml:space="preserve"> dlouhá</w:t>
      </w:r>
      <w:r w:rsidR="00806671" w:rsidRPr="00BB69B3">
        <w:rPr>
          <w:rFonts w:ascii="Times New Roman" w:eastAsia="Times New Roman" w:hAnsi="Times New Roman" w:cs="Times New Roman"/>
          <w:b/>
          <w:sz w:val="24"/>
          <w:szCs w:val="24"/>
          <w:lang w:eastAsia="cs-CZ"/>
        </w:rPr>
        <w:t xml:space="preserve">, proto je </w:t>
      </w:r>
      <w:r w:rsidR="00D96838" w:rsidRPr="00BB69B3">
        <w:rPr>
          <w:rFonts w:ascii="Times New Roman" w:eastAsia="Times New Roman" w:hAnsi="Times New Roman" w:cs="Times New Roman"/>
          <w:b/>
          <w:sz w:val="24"/>
          <w:szCs w:val="24"/>
          <w:lang w:eastAsia="cs-CZ"/>
        </w:rPr>
        <w:t xml:space="preserve"> nutné ji krátit. Pokuste se o to!    </w:t>
      </w:r>
      <w:r w:rsidRPr="00BB69B3">
        <w:rPr>
          <w:rFonts w:ascii="Times New Roman" w:eastAsia="Times New Roman" w:hAnsi="Times New Roman" w:cs="Times New Roman"/>
          <w:b/>
          <w:sz w:val="24"/>
          <w:szCs w:val="24"/>
          <w:lang w:eastAsia="cs-CZ"/>
        </w:rPr>
        <w:t xml:space="preserve"> </w:t>
      </w:r>
    </w:p>
    <w:p w:rsidR="00806671" w:rsidRPr="00202B86" w:rsidRDefault="00806671" w:rsidP="00806671">
      <w:p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 xml:space="preserve">Jak postupovat? </w:t>
      </w:r>
    </w:p>
    <w:p w:rsidR="00806671" w:rsidRPr="00202B86" w:rsidRDefault="00806671" w:rsidP="0080667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Pozorně si přečtěte text a vyznačte si věty, ve kterých se přímo objevuje spojení „ve veřejném zájmu dítěte“.</w:t>
      </w:r>
    </w:p>
    <w:p w:rsidR="00806671" w:rsidRPr="00202B86" w:rsidRDefault="00806671" w:rsidP="00806671">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Přistupte ke krácení textu</w:t>
      </w:r>
      <w:r w:rsidR="00202B86">
        <w:rPr>
          <w:rFonts w:ascii="Times New Roman" w:eastAsia="Times New Roman" w:hAnsi="Times New Roman" w:cs="Times New Roman"/>
          <w:color w:val="FF0000"/>
          <w:sz w:val="24"/>
          <w:szCs w:val="24"/>
          <w:lang w:eastAsia="cs-CZ"/>
        </w:rPr>
        <w:t>.  Uveďte text  například konstatováním: „</w:t>
      </w:r>
      <w:r w:rsidRPr="00202B86">
        <w:rPr>
          <w:rFonts w:ascii="Times New Roman" w:eastAsia="Times New Roman" w:hAnsi="Times New Roman" w:cs="Times New Roman"/>
          <w:color w:val="FF0000"/>
          <w:sz w:val="24"/>
          <w:szCs w:val="24"/>
          <w:lang w:eastAsia="cs-CZ"/>
        </w:rPr>
        <w:t>Nejvyšší soud ve svém rozhodnutí uvádí, že</w:t>
      </w:r>
      <w:r w:rsidR="00202B86">
        <w:rPr>
          <w:rFonts w:ascii="Times New Roman" w:eastAsia="Times New Roman" w:hAnsi="Times New Roman" w:cs="Times New Roman"/>
          <w:color w:val="FF0000"/>
          <w:sz w:val="24"/>
          <w:szCs w:val="24"/>
          <w:lang w:eastAsia="cs-CZ"/>
        </w:rPr>
        <w:t xml:space="preserve"> …  a pokračujte uvedením citace ze zadaného textu</w:t>
      </w:r>
      <w:r w:rsidRPr="00202B86">
        <w:rPr>
          <w:rFonts w:ascii="Times New Roman" w:eastAsia="Times New Roman" w:hAnsi="Times New Roman" w:cs="Times New Roman"/>
          <w:color w:val="FF0000"/>
          <w:sz w:val="24"/>
          <w:szCs w:val="24"/>
          <w:lang w:eastAsia="cs-CZ"/>
        </w:rPr>
        <w:t>.  Napojení citace  graficky  upravte.</w:t>
      </w:r>
    </w:p>
    <w:p w:rsidR="00806671" w:rsidRPr="00202B86" w:rsidRDefault="00806671" w:rsidP="00202B86">
      <w:pPr>
        <w:pStyle w:val="Odstavecseseznamem"/>
        <w:numPr>
          <w:ilvl w:val="0"/>
          <w:numId w:val="9"/>
        </w:numPr>
        <w:spacing w:before="100" w:beforeAutospacing="1" w:after="100" w:afterAutospacing="1" w:line="240" w:lineRule="auto"/>
        <w:jc w:val="both"/>
        <w:rPr>
          <w:rFonts w:ascii="Times New Roman" w:eastAsia="Times New Roman"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 xml:space="preserve">Pokračujte v krácení textu </w:t>
      </w:r>
      <w:r w:rsidR="00202B86" w:rsidRPr="00202B86">
        <w:rPr>
          <w:rFonts w:ascii="Times New Roman" w:eastAsia="Times New Roman" w:hAnsi="Times New Roman" w:cs="Times New Roman"/>
          <w:color w:val="FF0000"/>
          <w:sz w:val="24"/>
          <w:szCs w:val="24"/>
          <w:lang w:eastAsia="cs-CZ"/>
        </w:rPr>
        <w:t xml:space="preserve">vypuštěním některých </w:t>
      </w:r>
      <w:r w:rsidR="00202B86">
        <w:rPr>
          <w:rFonts w:ascii="Times New Roman" w:eastAsia="Times New Roman" w:hAnsi="Times New Roman" w:cs="Times New Roman"/>
          <w:color w:val="FF0000"/>
          <w:sz w:val="24"/>
          <w:szCs w:val="24"/>
          <w:lang w:eastAsia="cs-CZ"/>
        </w:rPr>
        <w:t xml:space="preserve"> </w:t>
      </w:r>
      <w:r w:rsidR="00202B86" w:rsidRPr="00202B86">
        <w:rPr>
          <w:rFonts w:ascii="Times New Roman" w:eastAsia="Times New Roman" w:hAnsi="Times New Roman" w:cs="Times New Roman"/>
          <w:color w:val="FF0000"/>
          <w:sz w:val="24"/>
          <w:szCs w:val="24"/>
          <w:lang w:eastAsia="cs-CZ"/>
        </w:rPr>
        <w:t>vět nebo jejich  částí</w:t>
      </w:r>
      <w:r w:rsidRPr="00202B86">
        <w:rPr>
          <w:rFonts w:ascii="Times New Roman" w:eastAsia="Times New Roman" w:hAnsi="Times New Roman" w:cs="Times New Roman"/>
          <w:color w:val="FF0000"/>
          <w:sz w:val="24"/>
          <w:szCs w:val="24"/>
          <w:lang w:eastAsia="cs-CZ"/>
        </w:rPr>
        <w:t xml:space="preserve">, které nejsou pro vysvětlení uvedeného pojmu důležité. Nahraďte je </w:t>
      </w:r>
      <w:r w:rsidR="00202B86" w:rsidRPr="00202B86">
        <w:rPr>
          <w:rFonts w:ascii="Times New Roman" w:eastAsia="Times New Roman" w:hAnsi="Times New Roman" w:cs="Times New Roman"/>
          <w:color w:val="FF0000"/>
          <w:sz w:val="24"/>
          <w:szCs w:val="24"/>
          <w:lang w:eastAsia="cs-CZ"/>
        </w:rPr>
        <w:t>třemi tečkami v </w:t>
      </w:r>
      <w:r w:rsidRPr="00202B86">
        <w:rPr>
          <w:rFonts w:ascii="Times New Roman" w:eastAsia="Times New Roman" w:hAnsi="Times New Roman" w:cs="Times New Roman"/>
          <w:color w:val="FF0000"/>
          <w:sz w:val="24"/>
          <w:szCs w:val="24"/>
          <w:lang w:eastAsia="cs-CZ"/>
        </w:rPr>
        <w:t>hranatý</w:t>
      </w:r>
      <w:r w:rsidR="00202B86" w:rsidRPr="00202B86">
        <w:rPr>
          <w:rFonts w:ascii="Times New Roman" w:eastAsia="Times New Roman" w:hAnsi="Times New Roman" w:cs="Times New Roman"/>
          <w:color w:val="FF0000"/>
          <w:sz w:val="24"/>
          <w:szCs w:val="24"/>
          <w:lang w:eastAsia="cs-CZ"/>
        </w:rPr>
        <w:t xml:space="preserve">ch </w:t>
      </w:r>
      <w:r w:rsidRPr="00202B86">
        <w:rPr>
          <w:rFonts w:ascii="Times New Roman" w:eastAsia="Times New Roman" w:hAnsi="Times New Roman" w:cs="Times New Roman"/>
          <w:color w:val="FF0000"/>
          <w:sz w:val="24"/>
          <w:szCs w:val="24"/>
          <w:lang w:eastAsia="cs-CZ"/>
        </w:rPr>
        <w:t xml:space="preserve"> závork</w:t>
      </w:r>
      <w:r w:rsidR="00202B86" w:rsidRPr="00202B86">
        <w:rPr>
          <w:rFonts w:ascii="Times New Roman" w:eastAsia="Times New Roman" w:hAnsi="Times New Roman" w:cs="Times New Roman"/>
          <w:color w:val="FF0000"/>
          <w:sz w:val="24"/>
          <w:szCs w:val="24"/>
          <w:lang w:eastAsia="cs-CZ"/>
        </w:rPr>
        <w:t xml:space="preserve">ách. </w:t>
      </w:r>
    </w:p>
    <w:p w:rsidR="00202B86" w:rsidRPr="00202B86" w:rsidRDefault="00202B86" w:rsidP="00202B86">
      <w:pPr>
        <w:pStyle w:val="Odstavecseseznamem"/>
        <w:numPr>
          <w:ilvl w:val="0"/>
          <w:numId w:val="9"/>
        </w:numPr>
        <w:spacing w:before="100" w:beforeAutospacing="1" w:after="100" w:afterAutospacing="1" w:line="240" w:lineRule="auto"/>
        <w:jc w:val="both"/>
        <w:rPr>
          <w:rStyle w:val="PsacstrojHTML"/>
          <w:rFonts w:ascii="Times New Roman" w:eastAsiaTheme="minorHAnsi" w:hAnsi="Times New Roman" w:cs="Times New Roman"/>
          <w:color w:val="FF0000"/>
          <w:sz w:val="24"/>
          <w:szCs w:val="24"/>
          <w:lang w:eastAsia="cs-CZ"/>
        </w:rPr>
      </w:pPr>
      <w:r w:rsidRPr="00202B86">
        <w:rPr>
          <w:rFonts w:ascii="Times New Roman" w:eastAsia="Times New Roman" w:hAnsi="Times New Roman" w:cs="Times New Roman"/>
          <w:color w:val="FF0000"/>
          <w:sz w:val="24"/>
          <w:szCs w:val="24"/>
          <w:lang w:eastAsia="cs-CZ"/>
        </w:rPr>
        <w:t>Výsledkem by měla být  cca</w:t>
      </w:r>
      <w:r>
        <w:rPr>
          <w:rFonts w:ascii="Times New Roman" w:eastAsia="Times New Roman" w:hAnsi="Times New Roman" w:cs="Times New Roman"/>
          <w:color w:val="FF0000"/>
          <w:sz w:val="24"/>
          <w:szCs w:val="24"/>
          <w:lang w:eastAsia="cs-CZ"/>
        </w:rPr>
        <w:t xml:space="preserve"> o jednu třetinu kratší citace.</w:t>
      </w:r>
    </w:p>
    <w:p w:rsidR="00202B86" w:rsidRDefault="00202B86" w:rsidP="000C08CF">
      <w:pPr>
        <w:pStyle w:val="Normlnweb"/>
        <w:spacing w:before="0" w:beforeAutospacing="0" w:after="240" w:afterAutospacing="0" w:line="360" w:lineRule="auto"/>
        <w:jc w:val="both"/>
        <w:rPr>
          <w:rStyle w:val="PsacstrojHTML"/>
          <w:rFonts w:ascii="Times New Roman" w:hAnsi="Times New Roman" w:cs="Times New Roman"/>
          <w:color w:val="242222"/>
          <w:sz w:val="27"/>
          <w:szCs w:val="27"/>
        </w:rPr>
      </w:pPr>
    </w:p>
    <w:p w:rsidR="00AF7D54" w:rsidRPr="00202B86" w:rsidRDefault="00D96838" w:rsidP="000C08CF">
      <w:pPr>
        <w:pStyle w:val="Normlnweb"/>
        <w:spacing w:before="0" w:beforeAutospacing="0" w:after="240" w:afterAutospacing="0" w:line="360" w:lineRule="auto"/>
        <w:jc w:val="both"/>
        <w:rPr>
          <w:sz w:val="22"/>
          <w:szCs w:val="22"/>
        </w:rPr>
      </w:pPr>
      <w:r w:rsidRPr="00202B86">
        <w:rPr>
          <w:rStyle w:val="PsacstrojHTML"/>
          <w:rFonts w:ascii="Times New Roman" w:hAnsi="Times New Roman" w:cs="Times New Roman"/>
          <w:sz w:val="27"/>
          <w:szCs w:val="27"/>
        </w:rPr>
        <w:t>„</w:t>
      </w:r>
      <w:r w:rsidR="000A0697" w:rsidRPr="00202B86">
        <w:rPr>
          <w:rStyle w:val="PsacstrojHTML"/>
          <w:rFonts w:ascii="Times New Roman" w:hAnsi="Times New Roman" w:cs="Times New Roman"/>
          <w:sz w:val="24"/>
          <w:szCs w:val="24"/>
        </w:rPr>
        <w:t>Sama Úmluva zásadu „nejlepšího zájmu dítěte“ (best interests of the child) nedefinuje. Ustanovení čl. 3 Úmluvy je Výborem pro práva dítěte OSN řazeno mezi čtyři obecné zásady, které se stávají základními vodítky pro výklad, aplikaci a implementaci ostatních smluvních norem (srov. D., Jílek, Práva dítěte v kontextu, in Studie o právech dítěte, Brno, 2011, str. 56). Zrodilo se v procesu soudního rozhodování a sousloví “nejlepší zájem dítěte“ může proto označovat závazné uvážení soudů, když rozhodují o zaopatření, péči, pomoci či ochraně, jež nejlépe slouží dítěti (srov. Determining the Best Interests of the Child: Summary of State Laws. Child Welfare Information Gateway. Washington, 2010, str.2). Procesní charakter této zásady se zřetelně projevuje i ve směrnici vypracované Úřadem vysokého komisaře pro uprchlíky (UNHCR), která popisuje určování nejlepšího zájmu</w:t>
      </w:r>
      <w:r w:rsidR="000A0697" w:rsidRPr="00202B86">
        <w:rPr>
          <w:rStyle w:val="apple-converted-space"/>
        </w:rPr>
        <w:t> </w:t>
      </w:r>
      <w:r w:rsidR="000A0697" w:rsidRPr="00202B86">
        <w:rPr>
          <w:rStyle w:val="PsacstrojHTML"/>
          <w:rFonts w:ascii="Times New Roman" w:hAnsi="Times New Roman" w:cs="Times New Roman"/>
          <w:sz w:val="24"/>
          <w:szCs w:val="24"/>
        </w:rPr>
        <w:t>jako formální proces s přísnými procesními zárukami, jenž má určit nejlepší zájem dítěte pro účely obzvláště důležitých rozhodnutí týkajících se dítěte, umožňující odpovídající účast dítěte bez jakékoli formy diskriminace, zapojení do rozhodovacího procesu odborníky na příslušné oblasti, hledání rovnováhy mezi všemi relevantními faktory a vyhodnocení nejlepší alternativy.</w:t>
      </w:r>
      <w:r w:rsidR="009D3CDA" w:rsidRPr="00202B86">
        <w:rPr>
          <w:rStyle w:val="PsacstrojHTML"/>
          <w:rFonts w:ascii="Times New Roman" w:hAnsi="Times New Roman" w:cs="Times New Roman"/>
          <w:sz w:val="24"/>
          <w:szCs w:val="24"/>
        </w:rPr>
        <w:t>“</w:t>
      </w:r>
      <w:r w:rsidRPr="00202B86">
        <w:rPr>
          <w:vertAlign w:val="superscript"/>
        </w:rPr>
        <w:t>1</w:t>
      </w:r>
    </w:p>
    <w:p w:rsidR="000C08CF" w:rsidRPr="00202B86" w:rsidRDefault="00D96838"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02B86">
        <w:rPr>
          <w:rFonts w:ascii="Times New Roman" w:eastAsia="Times New Roman" w:hAnsi="Times New Roman" w:cs="Times New Roman"/>
          <w:sz w:val="24"/>
          <w:szCs w:val="24"/>
          <w:vertAlign w:val="superscript"/>
          <w:lang w:eastAsia="cs-CZ"/>
        </w:rPr>
        <w:t>1</w:t>
      </w:r>
      <w:r w:rsidRPr="00202B86">
        <w:rPr>
          <w:rFonts w:ascii="Times New Roman" w:eastAsia="Times New Roman" w:hAnsi="Times New Roman" w:cs="Times New Roman"/>
          <w:sz w:val="24"/>
          <w:szCs w:val="24"/>
          <w:lang w:eastAsia="cs-CZ"/>
        </w:rPr>
        <w:t>Viz rozsudek nejvyššího soudu ČR ze dne</w:t>
      </w:r>
      <w:r w:rsidR="000C08CF" w:rsidRPr="00202B86">
        <w:rPr>
          <w:rFonts w:ascii="Times New Roman" w:eastAsia="Times New Roman" w:hAnsi="Times New Roman" w:cs="Times New Roman"/>
          <w:sz w:val="24"/>
          <w:szCs w:val="24"/>
          <w:lang w:eastAsia="cs-CZ"/>
        </w:rPr>
        <w:t>26</w:t>
      </w:r>
      <w:r w:rsidRPr="00202B86">
        <w:rPr>
          <w:rFonts w:ascii="Times New Roman" w:eastAsia="Times New Roman" w:hAnsi="Times New Roman" w:cs="Times New Roman"/>
          <w:sz w:val="24"/>
          <w:szCs w:val="24"/>
          <w:lang w:eastAsia="cs-CZ"/>
        </w:rPr>
        <w:t xml:space="preserve">. </w:t>
      </w:r>
      <w:r w:rsidR="000C08CF" w:rsidRPr="00202B86">
        <w:rPr>
          <w:rFonts w:ascii="Times New Roman" w:eastAsia="Times New Roman" w:hAnsi="Times New Roman" w:cs="Times New Roman"/>
          <w:sz w:val="24"/>
          <w:szCs w:val="24"/>
          <w:lang w:eastAsia="cs-CZ"/>
        </w:rPr>
        <w:t>4</w:t>
      </w:r>
      <w:r w:rsidRPr="00202B86">
        <w:rPr>
          <w:rFonts w:ascii="Times New Roman" w:eastAsia="Times New Roman" w:hAnsi="Times New Roman" w:cs="Times New Roman"/>
          <w:sz w:val="24"/>
          <w:szCs w:val="24"/>
          <w:lang w:eastAsia="cs-CZ"/>
        </w:rPr>
        <w:t xml:space="preserve">. </w:t>
      </w:r>
      <w:r w:rsidR="00CB58F0" w:rsidRPr="00202B86">
        <w:rPr>
          <w:rFonts w:ascii="Times New Roman" w:eastAsia="Times New Roman" w:hAnsi="Times New Roman" w:cs="Times New Roman"/>
          <w:sz w:val="24"/>
          <w:szCs w:val="24"/>
          <w:lang w:eastAsia="cs-CZ"/>
        </w:rPr>
        <w:t>2012 sp.zn.30Cdo3430/2011.</w:t>
      </w:r>
    </w:p>
    <w:p w:rsidR="00806671" w:rsidRPr="00CE7C04" w:rsidRDefault="00202B86" w:rsidP="00806671">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CE7C04">
        <w:rPr>
          <w:rFonts w:ascii="Times New Roman" w:eastAsia="Times New Roman" w:hAnsi="Times New Roman" w:cs="Times New Roman"/>
          <w:b/>
          <w:sz w:val="24"/>
          <w:szCs w:val="24"/>
          <w:lang w:eastAsia="cs-CZ"/>
        </w:rPr>
        <w:t xml:space="preserve">Upravená citace: </w:t>
      </w:r>
    </w:p>
    <w:p w:rsidR="00806671" w:rsidRDefault="00806671" w:rsidP="0069515E">
      <w:pPr>
        <w:spacing w:before="100" w:beforeAutospacing="1" w:after="100" w:afterAutospacing="1" w:line="240" w:lineRule="auto"/>
        <w:jc w:val="both"/>
        <w:rPr>
          <w:rFonts w:ascii="Times New Roman" w:eastAsia="Times New Roman" w:hAnsi="Times New Roman" w:cs="Times New Roman"/>
          <w:color w:val="3A4145"/>
          <w:sz w:val="24"/>
          <w:szCs w:val="24"/>
          <w:lang w:eastAsia="cs-CZ"/>
        </w:rPr>
      </w:pPr>
    </w:p>
    <w:p w:rsidR="000C08CF" w:rsidRPr="00795D14" w:rsidRDefault="00795D14" w:rsidP="0069515E">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795D14">
        <w:rPr>
          <w:rFonts w:ascii="Times New Roman" w:eastAsia="Times New Roman" w:hAnsi="Times New Roman" w:cs="Times New Roman"/>
          <w:b/>
          <w:sz w:val="24"/>
          <w:szCs w:val="24"/>
          <w:lang w:eastAsia="cs-CZ"/>
        </w:rPr>
        <w:t>Úkol č. 3</w:t>
      </w:r>
      <w:r w:rsidR="00C1280D">
        <w:rPr>
          <w:rFonts w:ascii="Times New Roman" w:eastAsia="Times New Roman" w:hAnsi="Times New Roman" w:cs="Times New Roman"/>
          <w:b/>
          <w:sz w:val="24"/>
          <w:szCs w:val="24"/>
          <w:lang w:eastAsia="cs-CZ"/>
        </w:rPr>
        <w:t xml:space="preserve"> –Komentovaná citace </w:t>
      </w:r>
    </w:p>
    <w:p w:rsidR="009D3CDA" w:rsidRPr="00202B86" w:rsidRDefault="004600D9" w:rsidP="0069515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Tento úkol budeme řešit společně</w:t>
      </w:r>
      <w:r w:rsidR="00795D14">
        <w:rPr>
          <w:rFonts w:ascii="Times New Roman" w:eastAsia="Times New Roman" w:hAnsi="Times New Roman" w:cs="Times New Roman"/>
          <w:sz w:val="24"/>
          <w:szCs w:val="24"/>
          <w:lang w:eastAsia="cs-CZ"/>
        </w:rPr>
        <w:t xml:space="preserve">. Pokusíme se </w:t>
      </w:r>
      <w:r>
        <w:rPr>
          <w:rFonts w:ascii="Times New Roman" w:eastAsia="Times New Roman" w:hAnsi="Times New Roman" w:cs="Times New Roman"/>
          <w:sz w:val="24"/>
          <w:szCs w:val="24"/>
          <w:lang w:eastAsia="cs-CZ"/>
        </w:rPr>
        <w:t xml:space="preserve">  uvedenou citaci okomentovat</w:t>
      </w:r>
      <w:r w:rsidR="00795D14">
        <w:rPr>
          <w:rFonts w:ascii="Times New Roman" w:eastAsia="Times New Roman" w:hAnsi="Times New Roman" w:cs="Times New Roman"/>
          <w:sz w:val="24"/>
          <w:szCs w:val="24"/>
          <w:lang w:eastAsia="cs-CZ"/>
        </w:rPr>
        <w:t xml:space="preserve"> tak, abychom v </w:t>
      </w:r>
      <w:r>
        <w:rPr>
          <w:rFonts w:ascii="Times New Roman" w:eastAsia="Times New Roman" w:hAnsi="Times New Roman" w:cs="Times New Roman"/>
          <w:sz w:val="24"/>
          <w:szCs w:val="24"/>
          <w:lang w:eastAsia="cs-CZ"/>
        </w:rPr>
        <w:t xml:space="preserve"> nově vytvořeném textu </w:t>
      </w:r>
      <w:r w:rsidR="00795D14">
        <w:rPr>
          <w:rFonts w:ascii="Times New Roman" w:eastAsia="Times New Roman" w:hAnsi="Times New Roman" w:cs="Times New Roman"/>
          <w:sz w:val="24"/>
          <w:szCs w:val="24"/>
          <w:lang w:eastAsia="cs-CZ"/>
        </w:rPr>
        <w:t xml:space="preserve"> zachovali </w:t>
      </w:r>
      <w:r>
        <w:rPr>
          <w:rFonts w:ascii="Times New Roman" w:eastAsia="Times New Roman" w:hAnsi="Times New Roman" w:cs="Times New Roman"/>
          <w:sz w:val="24"/>
          <w:szCs w:val="24"/>
          <w:lang w:eastAsia="cs-CZ"/>
        </w:rPr>
        <w:t xml:space="preserve"> jen nejdůležitější část  citace. </w:t>
      </w:r>
      <w:r w:rsidR="00795D14">
        <w:rPr>
          <w:rFonts w:ascii="Times New Roman" w:eastAsia="Times New Roman" w:hAnsi="Times New Roman" w:cs="Times New Roman"/>
          <w:sz w:val="24"/>
          <w:szCs w:val="24"/>
          <w:lang w:eastAsia="cs-CZ"/>
        </w:rPr>
        <w:t xml:space="preserve">Méně důležité sdělení v dalších </w:t>
      </w:r>
      <w:r>
        <w:rPr>
          <w:rFonts w:ascii="Times New Roman" w:eastAsia="Times New Roman" w:hAnsi="Times New Roman" w:cs="Times New Roman"/>
          <w:sz w:val="24"/>
          <w:szCs w:val="24"/>
          <w:lang w:eastAsia="cs-CZ"/>
        </w:rPr>
        <w:t xml:space="preserve"> vět</w:t>
      </w:r>
      <w:r w:rsidR="00795D14">
        <w:rPr>
          <w:rFonts w:ascii="Times New Roman" w:eastAsia="Times New Roman" w:hAnsi="Times New Roman" w:cs="Times New Roman"/>
          <w:sz w:val="24"/>
          <w:szCs w:val="24"/>
          <w:lang w:eastAsia="cs-CZ"/>
        </w:rPr>
        <w:t xml:space="preserve">ách </w:t>
      </w:r>
      <w:r>
        <w:rPr>
          <w:rFonts w:ascii="Times New Roman" w:eastAsia="Times New Roman" w:hAnsi="Times New Roman" w:cs="Times New Roman"/>
          <w:sz w:val="24"/>
          <w:szCs w:val="24"/>
          <w:lang w:eastAsia="cs-CZ"/>
        </w:rPr>
        <w:t xml:space="preserve"> </w:t>
      </w:r>
      <w:r w:rsidR="00795D14">
        <w:rPr>
          <w:rFonts w:ascii="Times New Roman" w:eastAsia="Times New Roman" w:hAnsi="Times New Roman" w:cs="Times New Roman"/>
          <w:sz w:val="24"/>
          <w:szCs w:val="24"/>
          <w:lang w:eastAsia="cs-CZ"/>
        </w:rPr>
        <w:t xml:space="preserve">budeme jen komentovat. </w:t>
      </w:r>
      <w:r w:rsidR="009D3CDA" w:rsidRPr="00202B86">
        <w:rPr>
          <w:rFonts w:ascii="Times New Roman" w:eastAsia="Times New Roman" w:hAnsi="Times New Roman" w:cs="Times New Roman"/>
          <w:sz w:val="24"/>
          <w:szCs w:val="24"/>
          <w:lang w:eastAsia="cs-CZ"/>
        </w:rPr>
        <w:t xml:space="preserve"> </w:t>
      </w:r>
    </w:p>
    <w:p w:rsidR="00D07484" w:rsidRPr="00795D14" w:rsidRDefault="009D3CDA" w:rsidP="00D07484">
      <w:pPr>
        <w:pStyle w:val="Normlnweb"/>
        <w:spacing w:before="0" w:beforeAutospacing="0" w:after="240" w:afterAutospacing="0" w:line="276" w:lineRule="auto"/>
        <w:jc w:val="both"/>
        <w:rPr>
          <w:b/>
          <w:sz w:val="22"/>
          <w:szCs w:val="22"/>
        </w:rPr>
      </w:pPr>
      <w:r w:rsidRPr="00795D14">
        <w:rPr>
          <w:b/>
        </w:rPr>
        <w:t>„Dalším naprosto neudržitelným momentem používání práva je jeho aplikace, vycházející pouze z jazykového výkladu.  Jazykový výklad představuje pouze  prvotní přiblížení se k aplikované právní normě. Je pouze východiskem pro objasnění a ujasnění si jejích smyslu a účelu (k čemuž slouží i řada dalších postupů, jako logický a systematický výklad, výklad e ratione legis atd.).</w:t>
      </w:r>
      <w:r w:rsidR="00CE7C04">
        <w:rPr>
          <w:b/>
        </w:rPr>
        <w:t xml:space="preserve"> </w:t>
      </w:r>
      <w:r w:rsidRPr="00795D14">
        <w:rPr>
          <w:b/>
        </w:rPr>
        <w:t>Mechanická aplikace abstrahující, resp. neuvědomující si</w:t>
      </w:r>
      <w:r w:rsidR="00D07484" w:rsidRPr="00795D14">
        <w:rPr>
          <w:b/>
        </w:rPr>
        <w:t>, a to buď úmyslně nebo v důsledku nevzdělanosti, smysl a účel právní normy, činí</w:t>
      </w:r>
      <w:r w:rsidRPr="00795D14">
        <w:rPr>
          <w:b/>
        </w:rPr>
        <w:t xml:space="preserve"> </w:t>
      </w:r>
      <w:r w:rsidR="00D07484" w:rsidRPr="00795D14">
        <w:rPr>
          <w:b/>
        </w:rPr>
        <w:t>z práva nástroj odcizení a absurdity“.</w:t>
      </w:r>
      <w:r w:rsidR="00D07484" w:rsidRPr="00795D14">
        <w:rPr>
          <w:b/>
          <w:vertAlign w:val="superscript"/>
        </w:rPr>
        <w:t xml:space="preserve"> 1</w:t>
      </w:r>
    </w:p>
    <w:p w:rsidR="001536BC" w:rsidRPr="00FE1A40" w:rsidRDefault="00FE1A40" w:rsidP="00B869A0">
      <w:pPr>
        <w:spacing w:before="100" w:beforeAutospacing="1" w:after="100" w:afterAutospacing="1" w:line="240" w:lineRule="auto"/>
        <w:jc w:val="both"/>
        <w:rPr>
          <w:rFonts w:ascii="Times New Roman" w:eastAsia="Times New Roman" w:hAnsi="Times New Roman" w:cs="Times New Roman"/>
          <w:i/>
          <w:sz w:val="24"/>
          <w:szCs w:val="24"/>
          <w:lang w:eastAsia="cs-CZ"/>
        </w:rPr>
      </w:pPr>
      <w:r w:rsidRPr="001D7510">
        <w:rPr>
          <w:rFonts w:ascii="Times New Roman" w:eastAsia="Times New Roman" w:hAnsi="Times New Roman" w:cs="Times New Roman"/>
          <w:i/>
          <w:color w:val="3A4145"/>
          <w:sz w:val="24"/>
          <w:szCs w:val="24"/>
          <w:vertAlign w:val="superscript"/>
          <w:lang w:eastAsia="cs-CZ"/>
        </w:rPr>
        <w:t>1</w:t>
      </w:r>
      <w:r w:rsidR="00D07484" w:rsidRPr="00202B86">
        <w:rPr>
          <w:rFonts w:ascii="Times New Roman" w:eastAsia="Times New Roman" w:hAnsi="Times New Roman" w:cs="Times New Roman"/>
          <w:sz w:val="24"/>
          <w:szCs w:val="24"/>
          <w:lang w:eastAsia="cs-CZ"/>
        </w:rPr>
        <w:t xml:space="preserve"> Viz k tomu </w:t>
      </w:r>
      <w:r w:rsidR="001536BC" w:rsidRPr="00202B86">
        <w:rPr>
          <w:rFonts w:ascii="Times New Roman" w:eastAsia="Times New Roman" w:hAnsi="Times New Roman" w:cs="Times New Roman"/>
          <w:sz w:val="24"/>
          <w:szCs w:val="24"/>
          <w:lang w:eastAsia="cs-CZ"/>
        </w:rPr>
        <w:t>Nález ÚS, Pl</w:t>
      </w:r>
      <w:r w:rsidR="00B869A0" w:rsidRPr="00202B86">
        <w:rPr>
          <w:rFonts w:ascii="Times New Roman" w:eastAsia="Times New Roman" w:hAnsi="Times New Roman" w:cs="Times New Roman"/>
          <w:sz w:val="24"/>
          <w:szCs w:val="24"/>
          <w:lang w:eastAsia="cs-CZ"/>
        </w:rPr>
        <w:t xml:space="preserve">.ÚS 33/97 ze dne 17.12.1997. </w:t>
      </w:r>
    </w:p>
    <w:p w:rsidR="00CE7C04" w:rsidRDefault="00CE7C04" w:rsidP="0069515E">
      <w:pPr>
        <w:spacing w:before="100" w:beforeAutospacing="1" w:after="100" w:afterAutospacing="1" w:line="240" w:lineRule="auto"/>
        <w:jc w:val="both"/>
        <w:rPr>
          <w:rFonts w:ascii="Times New Roman" w:eastAsia="Times New Roman" w:hAnsi="Times New Roman" w:cs="Times New Roman"/>
          <w:b/>
          <w:color w:val="3A4145"/>
          <w:sz w:val="24"/>
          <w:szCs w:val="24"/>
          <w:lang w:eastAsia="cs-CZ"/>
        </w:rPr>
      </w:pPr>
    </w:p>
    <w:p w:rsidR="00C85786" w:rsidRPr="00C1280D" w:rsidRDefault="00FE1A40" w:rsidP="0069515E">
      <w:pPr>
        <w:spacing w:before="100" w:beforeAutospacing="1" w:after="100" w:afterAutospacing="1" w:line="240" w:lineRule="auto"/>
        <w:jc w:val="both"/>
        <w:rPr>
          <w:rFonts w:ascii="Times New Roman" w:eastAsia="Times New Roman" w:hAnsi="Times New Roman" w:cs="Times New Roman"/>
          <w:b/>
          <w:sz w:val="24"/>
          <w:szCs w:val="24"/>
          <w:u w:val="single"/>
          <w:lang w:eastAsia="cs-CZ"/>
        </w:rPr>
      </w:pPr>
      <w:r w:rsidRPr="00C1280D">
        <w:rPr>
          <w:rFonts w:ascii="Times New Roman" w:eastAsia="Times New Roman" w:hAnsi="Times New Roman" w:cs="Times New Roman"/>
          <w:b/>
          <w:sz w:val="24"/>
          <w:szCs w:val="24"/>
          <w:u w:val="single"/>
          <w:lang w:eastAsia="cs-CZ"/>
        </w:rPr>
        <w:lastRenderedPageBreak/>
        <w:t>Jak se tvoří p</w:t>
      </w:r>
      <w:r w:rsidR="00A85BF5" w:rsidRPr="00C1280D">
        <w:rPr>
          <w:rFonts w:ascii="Times New Roman" w:eastAsia="Times New Roman" w:hAnsi="Times New Roman" w:cs="Times New Roman"/>
          <w:b/>
          <w:sz w:val="24"/>
          <w:szCs w:val="24"/>
          <w:u w:val="single"/>
          <w:lang w:eastAsia="cs-CZ"/>
        </w:rPr>
        <w:t>arafráze</w:t>
      </w:r>
      <w:r w:rsidRPr="00C1280D">
        <w:rPr>
          <w:rFonts w:ascii="Times New Roman" w:eastAsia="Times New Roman" w:hAnsi="Times New Roman" w:cs="Times New Roman"/>
          <w:b/>
          <w:sz w:val="24"/>
          <w:szCs w:val="24"/>
          <w:u w:val="single"/>
          <w:lang w:eastAsia="cs-CZ"/>
        </w:rPr>
        <w:t>?</w:t>
      </w:r>
    </w:p>
    <w:p w:rsidR="0069515E" w:rsidRPr="001C383B" w:rsidRDefault="0069515E" w:rsidP="007061C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sz w:val="24"/>
          <w:szCs w:val="24"/>
          <w:lang w:eastAsia="cs-CZ"/>
        </w:rPr>
      </w:pPr>
      <w:r w:rsidRPr="001C383B">
        <w:rPr>
          <w:rFonts w:ascii="Times New Roman" w:eastAsia="Times New Roman" w:hAnsi="Times New Roman" w:cs="Times New Roman"/>
          <w:b/>
          <w:sz w:val="24"/>
          <w:szCs w:val="24"/>
          <w:lang w:eastAsia="cs-CZ"/>
        </w:rPr>
        <w:t xml:space="preserve">Příklad </w:t>
      </w:r>
      <w:r w:rsidR="001C383B">
        <w:rPr>
          <w:rFonts w:ascii="Times New Roman" w:eastAsia="Times New Roman" w:hAnsi="Times New Roman" w:cs="Times New Roman"/>
          <w:b/>
          <w:sz w:val="24"/>
          <w:szCs w:val="24"/>
          <w:lang w:eastAsia="cs-CZ"/>
        </w:rPr>
        <w:t xml:space="preserve">č.1 </w:t>
      </w:r>
      <w:r w:rsidRPr="001C383B">
        <w:rPr>
          <w:rFonts w:ascii="Times New Roman" w:eastAsia="Times New Roman" w:hAnsi="Times New Roman" w:cs="Times New Roman"/>
          <w:b/>
          <w:sz w:val="24"/>
          <w:szCs w:val="24"/>
          <w:lang w:eastAsia="cs-CZ"/>
        </w:rPr>
        <w:t xml:space="preserve"> </w:t>
      </w:r>
      <w:r w:rsidR="001C383B">
        <w:rPr>
          <w:rFonts w:ascii="Times New Roman" w:eastAsia="Times New Roman" w:hAnsi="Times New Roman" w:cs="Times New Roman"/>
          <w:b/>
          <w:sz w:val="24"/>
          <w:szCs w:val="24"/>
          <w:lang w:eastAsia="cs-CZ"/>
        </w:rPr>
        <w:t xml:space="preserve"> </w:t>
      </w:r>
      <w:r w:rsidRPr="001C383B">
        <w:rPr>
          <w:rFonts w:ascii="Times New Roman" w:eastAsia="Times New Roman" w:hAnsi="Times New Roman" w:cs="Times New Roman"/>
          <w:b/>
          <w:sz w:val="24"/>
          <w:szCs w:val="24"/>
          <w:lang w:eastAsia="cs-CZ"/>
        </w:rPr>
        <w:t xml:space="preserve"> </w:t>
      </w:r>
    </w:p>
    <w:p w:rsidR="0069515E" w:rsidRPr="004600D9" w:rsidRDefault="0069515E" w:rsidP="007061C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4600D9">
        <w:rPr>
          <w:rFonts w:ascii="Times New Roman" w:eastAsia="Times New Roman" w:hAnsi="Times New Roman" w:cs="Times New Roman"/>
          <w:sz w:val="24"/>
          <w:szCs w:val="24"/>
          <w:lang w:eastAsia="cs-CZ"/>
        </w:rPr>
        <w:t>Původní text: </w:t>
      </w:r>
      <w:r w:rsidRPr="004600D9">
        <w:rPr>
          <w:rFonts w:ascii="Times New Roman" w:eastAsia="Times New Roman" w:hAnsi="Times New Roman" w:cs="Times New Roman"/>
          <w:i/>
          <w:iCs/>
          <w:sz w:val="24"/>
          <w:szCs w:val="24"/>
          <w:lang w:eastAsia="cs-CZ"/>
        </w:rPr>
        <w:t>Rozdílná řeč ženského a mužského těla: Ženy – stojí k sobě při komunikaci blíž… (zdroj: chovani.eu)</w:t>
      </w:r>
    </w:p>
    <w:p w:rsidR="0069515E" w:rsidRPr="004600D9" w:rsidRDefault="0069515E" w:rsidP="007061C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cs-CZ"/>
        </w:rPr>
      </w:pPr>
      <w:r w:rsidRPr="004600D9">
        <w:rPr>
          <w:rFonts w:ascii="Times New Roman" w:eastAsia="Times New Roman" w:hAnsi="Times New Roman" w:cs="Times New Roman"/>
          <w:sz w:val="24"/>
          <w:szCs w:val="24"/>
          <w:lang w:eastAsia="cs-CZ"/>
        </w:rPr>
        <w:t>Parafráze: </w:t>
      </w:r>
      <w:r w:rsidRPr="004600D9">
        <w:rPr>
          <w:rFonts w:ascii="Times New Roman" w:eastAsia="Times New Roman" w:hAnsi="Times New Roman" w:cs="Times New Roman"/>
          <w:i/>
          <w:iCs/>
          <w:sz w:val="24"/>
          <w:szCs w:val="24"/>
          <w:lang w:eastAsia="cs-CZ"/>
        </w:rPr>
        <w:t>Existuje několik rozdílů v řeči mužského a ženského těla – při komunikování mají mezi sebou ženy menší vzdálenost…</w:t>
      </w:r>
    </w:p>
    <w:p w:rsidR="001C383B" w:rsidRDefault="001C383B" w:rsidP="007061C2">
      <w:pPr>
        <w:tabs>
          <w:tab w:val="left" w:pos="5380"/>
        </w:tabs>
        <w:spacing w:before="100" w:beforeAutospacing="1" w:after="100" w:afterAutospacing="1" w:line="240" w:lineRule="auto"/>
        <w:jc w:val="both"/>
        <w:rPr>
          <w:rFonts w:ascii="Times New Roman" w:eastAsia="Times New Roman" w:hAnsi="Times New Roman" w:cs="Times New Roman"/>
          <w:sz w:val="24"/>
          <w:szCs w:val="24"/>
          <w:lang w:eastAsia="cs-CZ"/>
        </w:rPr>
      </w:pPr>
    </w:p>
    <w:p w:rsidR="00105392" w:rsidRPr="007061C2" w:rsidRDefault="00C85786" w:rsidP="007061C2">
      <w:pPr>
        <w:tabs>
          <w:tab w:val="left" w:pos="5380"/>
        </w:tabs>
        <w:spacing w:before="100" w:beforeAutospacing="1" w:after="100" w:afterAutospacing="1" w:line="240" w:lineRule="auto"/>
        <w:jc w:val="both"/>
        <w:rPr>
          <w:rFonts w:ascii="Times New Roman" w:eastAsia="Times New Roman" w:hAnsi="Times New Roman" w:cs="Times New Roman"/>
          <w:b/>
          <w:sz w:val="24"/>
          <w:szCs w:val="24"/>
          <w:lang w:eastAsia="cs-CZ"/>
        </w:rPr>
      </w:pPr>
      <w:r w:rsidRPr="007061C2">
        <w:rPr>
          <w:rFonts w:ascii="Times New Roman" w:eastAsia="Times New Roman" w:hAnsi="Times New Roman" w:cs="Times New Roman"/>
          <w:b/>
          <w:sz w:val="24"/>
          <w:szCs w:val="24"/>
          <w:lang w:eastAsia="cs-CZ"/>
        </w:rPr>
        <w:t xml:space="preserve">Příklad </w:t>
      </w:r>
      <w:r w:rsidR="0069515E" w:rsidRPr="007061C2">
        <w:rPr>
          <w:rFonts w:ascii="Times New Roman" w:eastAsia="Times New Roman" w:hAnsi="Times New Roman" w:cs="Times New Roman"/>
          <w:b/>
          <w:sz w:val="24"/>
          <w:szCs w:val="24"/>
          <w:lang w:eastAsia="cs-CZ"/>
        </w:rPr>
        <w:t xml:space="preserve">č.2    </w:t>
      </w:r>
    </w:p>
    <w:p w:rsidR="001C383B" w:rsidRPr="007061C2" w:rsidRDefault="001C383B" w:rsidP="007061C2">
      <w:pPr>
        <w:spacing w:after="0" w:line="240" w:lineRule="auto"/>
        <w:jc w:val="both"/>
        <w:rPr>
          <w:rFonts w:ascii="Times New Roman" w:eastAsia="Times New Roman" w:hAnsi="Times New Roman" w:cs="Times New Roman"/>
          <w:b/>
          <w:i/>
          <w:sz w:val="24"/>
          <w:szCs w:val="24"/>
          <w:lang w:eastAsia="cs-CZ"/>
        </w:rPr>
      </w:pPr>
      <w:r w:rsidRPr="007061C2">
        <w:rPr>
          <w:rFonts w:ascii="Times New Roman" w:eastAsia="Times New Roman" w:hAnsi="Times New Roman" w:cs="Times New Roman"/>
          <w:b/>
          <w:i/>
          <w:sz w:val="24"/>
          <w:szCs w:val="24"/>
          <w:lang w:eastAsia="cs-CZ"/>
        </w:rPr>
        <w:t xml:space="preserve">Původní text </w:t>
      </w:r>
    </w:p>
    <w:p w:rsidR="001C383B" w:rsidRPr="007061C2" w:rsidRDefault="001C383B" w:rsidP="007061C2">
      <w:pPr>
        <w:spacing w:after="0" w:line="240" w:lineRule="auto"/>
        <w:jc w:val="both"/>
        <w:rPr>
          <w:rFonts w:ascii="Times New Roman" w:eastAsia="Times New Roman" w:hAnsi="Times New Roman" w:cs="Times New Roman"/>
          <w:b/>
          <w:i/>
          <w:sz w:val="24"/>
          <w:szCs w:val="24"/>
          <w:lang w:eastAsia="cs-CZ"/>
        </w:rPr>
      </w:pPr>
      <w:r w:rsidRPr="007061C2">
        <w:rPr>
          <w:rFonts w:ascii="Times New Roman" w:eastAsia="Times New Roman" w:hAnsi="Times New Roman" w:cs="Times New Roman"/>
          <w:i/>
          <w:sz w:val="24"/>
          <w:szCs w:val="24"/>
          <w:lang w:eastAsia="cs-CZ"/>
        </w:rPr>
        <w:t xml:space="preserve"> „V obecné rovině ve vztahu k závaznosti soudní judikatury lze konstatovat, že již učiněný výklad by měl být, nedojde-li k následnému  shledání dostatečných relevantních důvodů podložených racionálními a přesvědčivějšími argumenty, ve svém souhrnu více konformnějšími s právním řádem jako významovým celkem a svědčícími tak pro změnu judikatury, východiskem pro rozhodování následujících případů stejného druhu, a to z pohledu postulátů právní jistoty, předvídatelnosti práva, ochrany oprávněné důvěry v právo (oprávněného legitimního očekávání) a principu formální spravedlnosti (rovnosti)“.</w:t>
      </w:r>
      <w:r w:rsidRPr="007061C2">
        <w:rPr>
          <w:rFonts w:ascii="Times New Roman" w:eastAsia="Times New Roman" w:hAnsi="Times New Roman" w:cs="Times New Roman"/>
          <w:i/>
          <w:sz w:val="24"/>
          <w:szCs w:val="24"/>
          <w:vertAlign w:val="superscript"/>
          <w:lang w:eastAsia="cs-CZ"/>
        </w:rPr>
        <w:t xml:space="preserve"> 1</w:t>
      </w:r>
      <w:r w:rsidRPr="007061C2">
        <w:rPr>
          <w:rFonts w:ascii="Times New Roman" w:eastAsia="Times New Roman" w:hAnsi="Times New Roman" w:cs="Times New Roman"/>
          <w:i/>
          <w:sz w:val="24"/>
          <w:szCs w:val="24"/>
          <w:lang w:eastAsia="cs-CZ"/>
        </w:rPr>
        <w:t xml:space="preserve"> </w:t>
      </w:r>
    </w:p>
    <w:p w:rsidR="001C383B" w:rsidRPr="007061C2" w:rsidRDefault="001C383B" w:rsidP="007061C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61C2">
        <w:rPr>
          <w:rFonts w:ascii="Times New Roman" w:eastAsia="Times New Roman" w:hAnsi="Times New Roman" w:cs="Times New Roman"/>
          <w:sz w:val="24"/>
          <w:szCs w:val="24"/>
          <w:vertAlign w:val="superscript"/>
          <w:lang w:eastAsia="cs-CZ"/>
        </w:rPr>
        <w:t>1</w:t>
      </w:r>
      <w:r w:rsidRPr="007061C2">
        <w:rPr>
          <w:rFonts w:ascii="Times New Roman" w:eastAsia="Times New Roman" w:hAnsi="Times New Roman" w:cs="Times New Roman"/>
          <w:sz w:val="24"/>
          <w:szCs w:val="24"/>
          <w:lang w:eastAsia="cs-CZ"/>
        </w:rPr>
        <w:t xml:space="preserve">Viz nález Ústavního soudu ČR ze dne 25. 1. 2005 sp. zn. III. ÚS 252/04. </w:t>
      </w:r>
    </w:p>
    <w:tbl>
      <w:tblPr>
        <w:tblW w:w="0" w:type="auto"/>
        <w:tblLook w:val="04A0" w:firstRow="1" w:lastRow="0" w:firstColumn="1" w:lastColumn="0" w:noHBand="0" w:noVBand="1"/>
      </w:tblPr>
      <w:tblGrid>
        <w:gridCol w:w="9072"/>
      </w:tblGrid>
      <w:tr w:rsidR="00CE7C04" w:rsidRPr="007061C2" w:rsidTr="00BF6D02">
        <w:tc>
          <w:tcPr>
            <w:tcW w:w="9288" w:type="dxa"/>
          </w:tcPr>
          <w:p w:rsidR="00CE7C04" w:rsidRPr="00CE7C04" w:rsidRDefault="00CE7C04" w:rsidP="00CE7C04">
            <w:pPr>
              <w:spacing w:after="0"/>
              <w:jc w:val="both"/>
              <w:rPr>
                <w:rFonts w:ascii="Times New Roman" w:eastAsia="Times New Roman" w:hAnsi="Times New Roman" w:cs="Times New Roman"/>
                <w:b/>
                <w:sz w:val="24"/>
                <w:szCs w:val="24"/>
                <w:lang w:eastAsia="cs-CZ"/>
              </w:rPr>
            </w:pPr>
            <w:r w:rsidRPr="00CE7C04">
              <w:rPr>
                <w:rFonts w:ascii="Times New Roman" w:eastAsia="Times New Roman" w:hAnsi="Times New Roman" w:cs="Times New Roman"/>
                <w:b/>
                <w:sz w:val="24"/>
                <w:szCs w:val="24"/>
                <w:lang w:eastAsia="cs-CZ"/>
              </w:rPr>
              <w:t xml:space="preserve">Parafráze. </w:t>
            </w:r>
          </w:p>
          <w:p w:rsidR="00CE7C04" w:rsidRPr="00CE7C04" w:rsidRDefault="00CE7C04" w:rsidP="00CE7C04">
            <w:pPr>
              <w:spacing w:after="0"/>
              <w:jc w:val="both"/>
              <w:rPr>
                <w:rFonts w:ascii="Times New Roman" w:eastAsia="Times New Roman" w:hAnsi="Times New Roman" w:cs="Times New Roman"/>
                <w:b/>
                <w:sz w:val="24"/>
                <w:szCs w:val="24"/>
                <w:lang w:eastAsia="cs-CZ"/>
              </w:rPr>
            </w:pPr>
            <w:r w:rsidRPr="00CE7C04">
              <w:rPr>
                <w:rFonts w:ascii="Times New Roman" w:hAnsi="Times New Roman" w:cs="Times New Roman"/>
                <w:b/>
                <w:sz w:val="24"/>
                <w:szCs w:val="24"/>
              </w:rPr>
              <w:t xml:space="preserve">Ačkoli Ústava ČR v této otázce mlčí, Ústavní soud je přesvědčen, že výklad již učiněný prostřednictvím soudní judikatury by měl být brán jako základ pro další rozhodování v obdobných případech, a to tehdy, pokud nenalezneme dostatečné racionálnější a přesvědčivější argumenty,  kterými prokážeme opak. </w:t>
            </w:r>
            <w:r w:rsidRPr="00CE7C04">
              <w:rPr>
                <w:rFonts w:ascii="Times New Roman" w:eastAsia="Times New Roman" w:hAnsi="Times New Roman" w:cs="Times New Roman"/>
                <w:b/>
                <w:sz w:val="24"/>
                <w:szCs w:val="24"/>
                <w:vertAlign w:val="superscript"/>
                <w:lang w:eastAsia="cs-CZ"/>
              </w:rPr>
              <w:t>1</w:t>
            </w:r>
            <w:r w:rsidRPr="00CE7C04">
              <w:rPr>
                <w:rFonts w:ascii="Times New Roman" w:eastAsia="Times New Roman" w:hAnsi="Times New Roman" w:cs="Times New Roman"/>
                <w:b/>
                <w:sz w:val="24"/>
                <w:szCs w:val="24"/>
                <w:lang w:eastAsia="cs-CZ"/>
              </w:rPr>
              <w:t xml:space="preserve"> </w:t>
            </w:r>
          </w:p>
          <w:p w:rsidR="00CE7C04" w:rsidRDefault="00CE7C04" w:rsidP="00CE7C04">
            <w:pPr>
              <w:jc w:val="both"/>
              <w:rPr>
                <w:rFonts w:ascii="Times New Roman" w:hAnsi="Times New Roman" w:cs="Times New Roman"/>
                <w:sz w:val="24"/>
                <w:szCs w:val="24"/>
              </w:rPr>
            </w:pPr>
          </w:p>
          <w:p w:rsidR="00CE7C04" w:rsidRPr="00CE7C04" w:rsidRDefault="00CE7C04" w:rsidP="00CE7C04">
            <w:pPr>
              <w:jc w:val="both"/>
              <w:rPr>
                <w:rFonts w:ascii="Times New Roman" w:hAnsi="Times New Roman" w:cs="Times New Roman"/>
                <w:sz w:val="24"/>
                <w:szCs w:val="24"/>
              </w:rPr>
            </w:pPr>
            <w:r w:rsidRPr="00CE7C04">
              <w:rPr>
                <w:rFonts w:ascii="Times New Roman" w:hAnsi="Times New Roman" w:cs="Times New Roman"/>
                <w:sz w:val="24"/>
                <w:szCs w:val="24"/>
              </w:rPr>
              <w:t>Viz nález Ústavního soudu ČR ze dne 25. 1. 2005 sp. zn. III. ÚS 252/04.</w:t>
            </w:r>
          </w:p>
        </w:tc>
      </w:tr>
    </w:tbl>
    <w:p w:rsidR="00105392" w:rsidRDefault="00105392" w:rsidP="007061C2">
      <w:pPr>
        <w:spacing w:line="360" w:lineRule="auto"/>
        <w:jc w:val="both"/>
        <w:rPr>
          <w:rFonts w:ascii="Times New Roman" w:hAnsi="Times New Roman" w:cs="Times New Roman"/>
          <w:sz w:val="24"/>
          <w:szCs w:val="24"/>
        </w:rPr>
      </w:pPr>
    </w:p>
    <w:p w:rsidR="00FE1A40" w:rsidRPr="00FE1A40" w:rsidRDefault="00FE1A40" w:rsidP="007061C2">
      <w:pPr>
        <w:spacing w:line="360" w:lineRule="auto"/>
        <w:jc w:val="both"/>
        <w:rPr>
          <w:rFonts w:ascii="Times New Roman" w:hAnsi="Times New Roman" w:cs="Times New Roman"/>
          <w:b/>
          <w:sz w:val="24"/>
          <w:szCs w:val="24"/>
        </w:rPr>
      </w:pPr>
      <w:r w:rsidRPr="00FE1A40">
        <w:rPr>
          <w:rFonts w:ascii="Times New Roman" w:hAnsi="Times New Roman" w:cs="Times New Roman"/>
          <w:b/>
          <w:sz w:val="24"/>
          <w:szCs w:val="24"/>
        </w:rPr>
        <w:t>Úkol č.4</w:t>
      </w:r>
    </w:p>
    <w:p w:rsidR="00F17C69" w:rsidRDefault="007061C2" w:rsidP="00F17C69">
      <w:pPr>
        <w:spacing w:line="360" w:lineRule="auto"/>
        <w:jc w:val="both"/>
        <w:rPr>
          <w:rFonts w:ascii="Times New Roman" w:hAnsi="Times New Roman" w:cs="Times New Roman"/>
          <w:b/>
          <w:sz w:val="24"/>
          <w:szCs w:val="24"/>
        </w:rPr>
      </w:pPr>
      <w:r>
        <w:rPr>
          <w:rFonts w:ascii="Times New Roman" w:hAnsi="Times New Roman" w:cs="Times New Roman"/>
          <w:b/>
          <w:sz w:val="24"/>
          <w:szCs w:val="24"/>
        </w:rPr>
        <w:t>Vašim úkolem je</w:t>
      </w:r>
      <w:r w:rsidR="00F17C69">
        <w:rPr>
          <w:rFonts w:ascii="Times New Roman" w:hAnsi="Times New Roman" w:cs="Times New Roman"/>
          <w:b/>
          <w:sz w:val="24"/>
          <w:szCs w:val="24"/>
        </w:rPr>
        <w:t xml:space="preserve"> parafrázovat pasáž či odstavec  ve Vámi zvoleném textu.  Postupujte následovně: a) vyznačte si část, která podle Vás obsahuje zásadní sdělení, myšlenku, argument,  atd.; b) stručně uveďte, o čem to je? c) vytvořte parafrázi. </w:t>
      </w:r>
    </w:p>
    <w:p w:rsidR="00F17C69" w:rsidRDefault="00F17C69" w:rsidP="00F17C69">
      <w:pPr>
        <w:jc w:val="both"/>
        <w:rPr>
          <w:rFonts w:ascii="Times New Roman" w:hAnsi="Times New Roman" w:cs="Times New Roman"/>
          <w:b/>
          <w:sz w:val="24"/>
          <w:szCs w:val="24"/>
        </w:rPr>
      </w:pPr>
    </w:p>
    <w:p w:rsidR="00F17C69" w:rsidRDefault="00F17C69" w:rsidP="00F17C69">
      <w:pPr>
        <w:jc w:val="both"/>
        <w:rPr>
          <w:rFonts w:ascii="Times New Roman" w:hAnsi="Times New Roman" w:cs="Times New Roman"/>
          <w:b/>
          <w:sz w:val="24"/>
          <w:szCs w:val="24"/>
        </w:rPr>
      </w:pPr>
    </w:p>
    <w:p w:rsidR="00F17C69" w:rsidRPr="00F17C69" w:rsidRDefault="00F17C69" w:rsidP="00F17C69">
      <w:pPr>
        <w:spacing w:after="0" w:line="360" w:lineRule="auto"/>
        <w:jc w:val="both"/>
        <w:rPr>
          <w:rFonts w:ascii="Times New Roman" w:hAnsi="Times New Roman" w:cs="Times New Roman"/>
          <w:b/>
          <w:sz w:val="24"/>
          <w:szCs w:val="24"/>
        </w:rPr>
      </w:pPr>
    </w:p>
    <w:p w:rsidR="00691D1F" w:rsidRDefault="00BB69B3" w:rsidP="0069515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Úkol č. 5</w:t>
      </w:r>
    </w:p>
    <w:p w:rsidR="00BB69B3" w:rsidRDefault="00BB69B3" w:rsidP="0069515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Zkontrolujte citace ve Vašem vybraném textu.  Všímejte si, zda jsou uvedeny správně v poznámce pod čarou všechny požadované bibliografické údaje. </w:t>
      </w:r>
      <w:bookmarkStart w:id="0" w:name="_GoBack"/>
      <w:bookmarkEnd w:id="0"/>
      <w:r>
        <w:rPr>
          <w:rFonts w:ascii="Times New Roman" w:hAnsi="Times New Roman" w:cs="Times New Roman"/>
          <w:b/>
          <w:sz w:val="24"/>
          <w:szCs w:val="24"/>
        </w:rPr>
        <w:t xml:space="preserve"> </w:t>
      </w:r>
    </w:p>
    <w:p w:rsidR="00691D1F" w:rsidRDefault="00691D1F" w:rsidP="0069515E">
      <w:pPr>
        <w:spacing w:line="240" w:lineRule="auto"/>
        <w:jc w:val="both"/>
        <w:rPr>
          <w:rFonts w:ascii="Times New Roman" w:hAnsi="Times New Roman" w:cs="Times New Roman"/>
          <w:b/>
          <w:sz w:val="24"/>
          <w:szCs w:val="24"/>
        </w:rPr>
      </w:pPr>
    </w:p>
    <w:p w:rsidR="00691D1F" w:rsidRDefault="00691D1F" w:rsidP="0069515E">
      <w:pPr>
        <w:spacing w:line="240" w:lineRule="auto"/>
        <w:jc w:val="both"/>
        <w:rPr>
          <w:rFonts w:ascii="Times New Roman" w:hAnsi="Times New Roman" w:cs="Times New Roman"/>
          <w:b/>
          <w:sz w:val="24"/>
          <w:szCs w:val="24"/>
        </w:rPr>
      </w:pPr>
    </w:p>
    <w:p w:rsidR="00735943" w:rsidRPr="00A85BF5" w:rsidRDefault="00735943" w:rsidP="0069515E">
      <w:pPr>
        <w:spacing w:line="240" w:lineRule="auto"/>
        <w:jc w:val="both"/>
        <w:rPr>
          <w:rFonts w:ascii="Times New Roman" w:hAnsi="Times New Roman" w:cs="Times New Roman"/>
          <w:b/>
          <w:sz w:val="24"/>
          <w:szCs w:val="24"/>
        </w:rPr>
      </w:pPr>
    </w:p>
    <w:p w:rsidR="00FE1A40" w:rsidRDefault="00FE1A40" w:rsidP="00531094">
      <w:pPr>
        <w:pStyle w:val="Nzev"/>
        <w:rPr>
          <w:lang w:val="cs-CZ"/>
        </w:rPr>
      </w:pPr>
    </w:p>
    <w:p w:rsidR="00CE5E47" w:rsidRDefault="00CE5E47" w:rsidP="00531094">
      <w:pPr>
        <w:pStyle w:val="Nzev"/>
        <w:rPr>
          <w:lang w:val="cs-CZ"/>
        </w:rPr>
      </w:pPr>
    </w:p>
    <w:p w:rsidR="00CE5E47" w:rsidRDefault="00CE5E47" w:rsidP="00531094">
      <w:pPr>
        <w:pStyle w:val="Nzev"/>
        <w:rPr>
          <w:lang w:val="cs-CZ"/>
        </w:rPr>
      </w:pPr>
    </w:p>
    <w:p w:rsidR="00CE5E47" w:rsidRDefault="00CE5E47" w:rsidP="00531094">
      <w:pPr>
        <w:pStyle w:val="Nzev"/>
        <w:rPr>
          <w:lang w:val="cs-CZ"/>
        </w:rPr>
      </w:pPr>
    </w:p>
    <w:p w:rsidR="00531094" w:rsidRPr="0069515E" w:rsidRDefault="00531094" w:rsidP="0069515E">
      <w:pPr>
        <w:spacing w:line="240" w:lineRule="auto"/>
        <w:jc w:val="both"/>
        <w:rPr>
          <w:sz w:val="24"/>
          <w:szCs w:val="24"/>
        </w:rPr>
      </w:pPr>
    </w:p>
    <w:sectPr w:rsidR="00531094" w:rsidRPr="0069515E" w:rsidSect="00361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40" w:rsidRDefault="00773140" w:rsidP="00773140">
      <w:pPr>
        <w:spacing w:after="0" w:line="240" w:lineRule="auto"/>
      </w:pPr>
      <w:r>
        <w:separator/>
      </w:r>
    </w:p>
  </w:endnote>
  <w:endnote w:type="continuationSeparator" w:id="0">
    <w:p w:rsidR="00773140" w:rsidRDefault="00773140" w:rsidP="0077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40" w:rsidRDefault="00773140" w:rsidP="00773140">
      <w:pPr>
        <w:spacing w:after="0" w:line="240" w:lineRule="auto"/>
      </w:pPr>
      <w:r>
        <w:separator/>
      </w:r>
    </w:p>
  </w:footnote>
  <w:footnote w:type="continuationSeparator" w:id="0">
    <w:p w:rsidR="00773140" w:rsidRDefault="00773140" w:rsidP="00773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015"/>
    <w:multiLevelType w:val="hybridMultilevel"/>
    <w:tmpl w:val="507C13D2"/>
    <w:lvl w:ilvl="0" w:tplc="1D882DDA">
      <w:start w:val="1"/>
      <w:numFmt w:val="decimal"/>
      <w:lvlText w:val="%1"/>
      <w:lvlJc w:val="left"/>
      <w:pPr>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2935DD0"/>
    <w:multiLevelType w:val="hybridMultilevel"/>
    <w:tmpl w:val="507C13D2"/>
    <w:lvl w:ilvl="0" w:tplc="1D882DDA">
      <w:start w:val="1"/>
      <w:numFmt w:val="decimal"/>
      <w:lvlText w:val="%1"/>
      <w:lvlJc w:val="left"/>
      <w:pPr>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95732C"/>
    <w:multiLevelType w:val="hybridMultilevel"/>
    <w:tmpl w:val="48509D28"/>
    <w:lvl w:ilvl="0" w:tplc="AE7C41B8">
      <w:start w:val="1"/>
      <w:numFmt w:val="bullet"/>
      <w:lvlText w:val="•"/>
      <w:lvlJc w:val="left"/>
      <w:pPr>
        <w:tabs>
          <w:tab w:val="num" w:pos="720"/>
        </w:tabs>
        <w:ind w:left="720" w:hanging="360"/>
      </w:pPr>
      <w:rPr>
        <w:rFonts w:ascii="Arial" w:hAnsi="Arial" w:hint="default"/>
      </w:rPr>
    </w:lvl>
    <w:lvl w:ilvl="1" w:tplc="B52E4D48" w:tentative="1">
      <w:start w:val="1"/>
      <w:numFmt w:val="bullet"/>
      <w:lvlText w:val="•"/>
      <w:lvlJc w:val="left"/>
      <w:pPr>
        <w:tabs>
          <w:tab w:val="num" w:pos="1440"/>
        </w:tabs>
        <w:ind w:left="1440" w:hanging="360"/>
      </w:pPr>
      <w:rPr>
        <w:rFonts w:ascii="Arial" w:hAnsi="Arial" w:hint="default"/>
      </w:rPr>
    </w:lvl>
    <w:lvl w:ilvl="2" w:tplc="2A6A9FBA" w:tentative="1">
      <w:start w:val="1"/>
      <w:numFmt w:val="bullet"/>
      <w:lvlText w:val="•"/>
      <w:lvlJc w:val="left"/>
      <w:pPr>
        <w:tabs>
          <w:tab w:val="num" w:pos="2160"/>
        </w:tabs>
        <w:ind w:left="2160" w:hanging="360"/>
      </w:pPr>
      <w:rPr>
        <w:rFonts w:ascii="Arial" w:hAnsi="Arial" w:hint="default"/>
      </w:rPr>
    </w:lvl>
    <w:lvl w:ilvl="3" w:tplc="497A38B6" w:tentative="1">
      <w:start w:val="1"/>
      <w:numFmt w:val="bullet"/>
      <w:lvlText w:val="•"/>
      <w:lvlJc w:val="left"/>
      <w:pPr>
        <w:tabs>
          <w:tab w:val="num" w:pos="2880"/>
        </w:tabs>
        <w:ind w:left="2880" w:hanging="360"/>
      </w:pPr>
      <w:rPr>
        <w:rFonts w:ascii="Arial" w:hAnsi="Arial" w:hint="default"/>
      </w:rPr>
    </w:lvl>
    <w:lvl w:ilvl="4" w:tplc="18B4FF20" w:tentative="1">
      <w:start w:val="1"/>
      <w:numFmt w:val="bullet"/>
      <w:lvlText w:val="•"/>
      <w:lvlJc w:val="left"/>
      <w:pPr>
        <w:tabs>
          <w:tab w:val="num" w:pos="3600"/>
        </w:tabs>
        <w:ind w:left="3600" w:hanging="360"/>
      </w:pPr>
      <w:rPr>
        <w:rFonts w:ascii="Arial" w:hAnsi="Arial" w:hint="default"/>
      </w:rPr>
    </w:lvl>
    <w:lvl w:ilvl="5" w:tplc="350C5524" w:tentative="1">
      <w:start w:val="1"/>
      <w:numFmt w:val="bullet"/>
      <w:lvlText w:val="•"/>
      <w:lvlJc w:val="left"/>
      <w:pPr>
        <w:tabs>
          <w:tab w:val="num" w:pos="4320"/>
        </w:tabs>
        <w:ind w:left="4320" w:hanging="360"/>
      </w:pPr>
      <w:rPr>
        <w:rFonts w:ascii="Arial" w:hAnsi="Arial" w:hint="default"/>
      </w:rPr>
    </w:lvl>
    <w:lvl w:ilvl="6" w:tplc="A4C6D7A0" w:tentative="1">
      <w:start w:val="1"/>
      <w:numFmt w:val="bullet"/>
      <w:lvlText w:val="•"/>
      <w:lvlJc w:val="left"/>
      <w:pPr>
        <w:tabs>
          <w:tab w:val="num" w:pos="5040"/>
        </w:tabs>
        <w:ind w:left="5040" w:hanging="360"/>
      </w:pPr>
      <w:rPr>
        <w:rFonts w:ascii="Arial" w:hAnsi="Arial" w:hint="default"/>
      </w:rPr>
    </w:lvl>
    <w:lvl w:ilvl="7" w:tplc="ACB4215E" w:tentative="1">
      <w:start w:val="1"/>
      <w:numFmt w:val="bullet"/>
      <w:lvlText w:val="•"/>
      <w:lvlJc w:val="left"/>
      <w:pPr>
        <w:tabs>
          <w:tab w:val="num" w:pos="5760"/>
        </w:tabs>
        <w:ind w:left="5760" w:hanging="360"/>
      </w:pPr>
      <w:rPr>
        <w:rFonts w:ascii="Arial" w:hAnsi="Arial" w:hint="default"/>
      </w:rPr>
    </w:lvl>
    <w:lvl w:ilvl="8" w:tplc="76B695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2B67D8"/>
    <w:multiLevelType w:val="hybridMultilevel"/>
    <w:tmpl w:val="3ECECD5E"/>
    <w:lvl w:ilvl="0" w:tplc="214E1C60">
      <w:start w:val="1"/>
      <w:numFmt w:val="bullet"/>
      <w:lvlText w:val="•"/>
      <w:lvlJc w:val="left"/>
      <w:pPr>
        <w:tabs>
          <w:tab w:val="num" w:pos="720"/>
        </w:tabs>
        <w:ind w:left="720" w:hanging="360"/>
      </w:pPr>
      <w:rPr>
        <w:rFonts w:ascii="Arial" w:hAnsi="Arial" w:hint="default"/>
      </w:rPr>
    </w:lvl>
    <w:lvl w:ilvl="1" w:tplc="15D88180" w:tentative="1">
      <w:start w:val="1"/>
      <w:numFmt w:val="bullet"/>
      <w:lvlText w:val="•"/>
      <w:lvlJc w:val="left"/>
      <w:pPr>
        <w:tabs>
          <w:tab w:val="num" w:pos="1440"/>
        </w:tabs>
        <w:ind w:left="1440" w:hanging="360"/>
      </w:pPr>
      <w:rPr>
        <w:rFonts w:ascii="Arial" w:hAnsi="Arial" w:hint="default"/>
      </w:rPr>
    </w:lvl>
    <w:lvl w:ilvl="2" w:tplc="8E7CA8DC" w:tentative="1">
      <w:start w:val="1"/>
      <w:numFmt w:val="bullet"/>
      <w:lvlText w:val="•"/>
      <w:lvlJc w:val="left"/>
      <w:pPr>
        <w:tabs>
          <w:tab w:val="num" w:pos="2160"/>
        </w:tabs>
        <w:ind w:left="2160" w:hanging="360"/>
      </w:pPr>
      <w:rPr>
        <w:rFonts w:ascii="Arial" w:hAnsi="Arial" w:hint="default"/>
      </w:rPr>
    </w:lvl>
    <w:lvl w:ilvl="3" w:tplc="8AC62DDE" w:tentative="1">
      <w:start w:val="1"/>
      <w:numFmt w:val="bullet"/>
      <w:lvlText w:val="•"/>
      <w:lvlJc w:val="left"/>
      <w:pPr>
        <w:tabs>
          <w:tab w:val="num" w:pos="2880"/>
        </w:tabs>
        <w:ind w:left="2880" w:hanging="360"/>
      </w:pPr>
      <w:rPr>
        <w:rFonts w:ascii="Arial" w:hAnsi="Arial" w:hint="default"/>
      </w:rPr>
    </w:lvl>
    <w:lvl w:ilvl="4" w:tplc="F63AC264" w:tentative="1">
      <w:start w:val="1"/>
      <w:numFmt w:val="bullet"/>
      <w:lvlText w:val="•"/>
      <w:lvlJc w:val="left"/>
      <w:pPr>
        <w:tabs>
          <w:tab w:val="num" w:pos="3600"/>
        </w:tabs>
        <w:ind w:left="3600" w:hanging="360"/>
      </w:pPr>
      <w:rPr>
        <w:rFonts w:ascii="Arial" w:hAnsi="Arial" w:hint="default"/>
      </w:rPr>
    </w:lvl>
    <w:lvl w:ilvl="5" w:tplc="011861F4" w:tentative="1">
      <w:start w:val="1"/>
      <w:numFmt w:val="bullet"/>
      <w:lvlText w:val="•"/>
      <w:lvlJc w:val="left"/>
      <w:pPr>
        <w:tabs>
          <w:tab w:val="num" w:pos="4320"/>
        </w:tabs>
        <w:ind w:left="4320" w:hanging="360"/>
      </w:pPr>
      <w:rPr>
        <w:rFonts w:ascii="Arial" w:hAnsi="Arial" w:hint="default"/>
      </w:rPr>
    </w:lvl>
    <w:lvl w:ilvl="6" w:tplc="2CB21040" w:tentative="1">
      <w:start w:val="1"/>
      <w:numFmt w:val="bullet"/>
      <w:lvlText w:val="•"/>
      <w:lvlJc w:val="left"/>
      <w:pPr>
        <w:tabs>
          <w:tab w:val="num" w:pos="5040"/>
        </w:tabs>
        <w:ind w:left="5040" w:hanging="360"/>
      </w:pPr>
      <w:rPr>
        <w:rFonts w:ascii="Arial" w:hAnsi="Arial" w:hint="default"/>
      </w:rPr>
    </w:lvl>
    <w:lvl w:ilvl="7" w:tplc="BA48DAC4" w:tentative="1">
      <w:start w:val="1"/>
      <w:numFmt w:val="bullet"/>
      <w:lvlText w:val="•"/>
      <w:lvlJc w:val="left"/>
      <w:pPr>
        <w:tabs>
          <w:tab w:val="num" w:pos="5760"/>
        </w:tabs>
        <w:ind w:left="5760" w:hanging="360"/>
      </w:pPr>
      <w:rPr>
        <w:rFonts w:ascii="Arial" w:hAnsi="Arial" w:hint="default"/>
      </w:rPr>
    </w:lvl>
    <w:lvl w:ilvl="8" w:tplc="0EECE1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B107D7"/>
    <w:multiLevelType w:val="multilevel"/>
    <w:tmpl w:val="C6EA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F0913"/>
    <w:multiLevelType w:val="hybridMultilevel"/>
    <w:tmpl w:val="92D8DBA8"/>
    <w:lvl w:ilvl="0" w:tplc="57328B40">
      <w:start w:val="1"/>
      <w:numFmt w:val="bullet"/>
      <w:lvlText w:val="•"/>
      <w:lvlJc w:val="left"/>
      <w:pPr>
        <w:tabs>
          <w:tab w:val="num" w:pos="720"/>
        </w:tabs>
        <w:ind w:left="720" w:hanging="360"/>
      </w:pPr>
      <w:rPr>
        <w:rFonts w:ascii="Arial" w:hAnsi="Arial" w:hint="default"/>
      </w:rPr>
    </w:lvl>
    <w:lvl w:ilvl="1" w:tplc="B8CAC520" w:tentative="1">
      <w:start w:val="1"/>
      <w:numFmt w:val="bullet"/>
      <w:lvlText w:val="•"/>
      <w:lvlJc w:val="left"/>
      <w:pPr>
        <w:tabs>
          <w:tab w:val="num" w:pos="1440"/>
        </w:tabs>
        <w:ind w:left="1440" w:hanging="360"/>
      </w:pPr>
      <w:rPr>
        <w:rFonts w:ascii="Arial" w:hAnsi="Arial" w:hint="default"/>
      </w:rPr>
    </w:lvl>
    <w:lvl w:ilvl="2" w:tplc="FB8CBA40" w:tentative="1">
      <w:start w:val="1"/>
      <w:numFmt w:val="bullet"/>
      <w:lvlText w:val="•"/>
      <w:lvlJc w:val="left"/>
      <w:pPr>
        <w:tabs>
          <w:tab w:val="num" w:pos="2160"/>
        </w:tabs>
        <w:ind w:left="2160" w:hanging="360"/>
      </w:pPr>
      <w:rPr>
        <w:rFonts w:ascii="Arial" w:hAnsi="Arial" w:hint="default"/>
      </w:rPr>
    </w:lvl>
    <w:lvl w:ilvl="3" w:tplc="9B00CD78" w:tentative="1">
      <w:start w:val="1"/>
      <w:numFmt w:val="bullet"/>
      <w:lvlText w:val="•"/>
      <w:lvlJc w:val="left"/>
      <w:pPr>
        <w:tabs>
          <w:tab w:val="num" w:pos="2880"/>
        </w:tabs>
        <w:ind w:left="2880" w:hanging="360"/>
      </w:pPr>
      <w:rPr>
        <w:rFonts w:ascii="Arial" w:hAnsi="Arial" w:hint="default"/>
      </w:rPr>
    </w:lvl>
    <w:lvl w:ilvl="4" w:tplc="1E96A8B6" w:tentative="1">
      <w:start w:val="1"/>
      <w:numFmt w:val="bullet"/>
      <w:lvlText w:val="•"/>
      <w:lvlJc w:val="left"/>
      <w:pPr>
        <w:tabs>
          <w:tab w:val="num" w:pos="3600"/>
        </w:tabs>
        <w:ind w:left="3600" w:hanging="360"/>
      </w:pPr>
      <w:rPr>
        <w:rFonts w:ascii="Arial" w:hAnsi="Arial" w:hint="default"/>
      </w:rPr>
    </w:lvl>
    <w:lvl w:ilvl="5" w:tplc="D40EA83E" w:tentative="1">
      <w:start w:val="1"/>
      <w:numFmt w:val="bullet"/>
      <w:lvlText w:val="•"/>
      <w:lvlJc w:val="left"/>
      <w:pPr>
        <w:tabs>
          <w:tab w:val="num" w:pos="4320"/>
        </w:tabs>
        <w:ind w:left="4320" w:hanging="360"/>
      </w:pPr>
      <w:rPr>
        <w:rFonts w:ascii="Arial" w:hAnsi="Arial" w:hint="default"/>
      </w:rPr>
    </w:lvl>
    <w:lvl w:ilvl="6" w:tplc="C26AE160" w:tentative="1">
      <w:start w:val="1"/>
      <w:numFmt w:val="bullet"/>
      <w:lvlText w:val="•"/>
      <w:lvlJc w:val="left"/>
      <w:pPr>
        <w:tabs>
          <w:tab w:val="num" w:pos="5040"/>
        </w:tabs>
        <w:ind w:left="5040" w:hanging="360"/>
      </w:pPr>
      <w:rPr>
        <w:rFonts w:ascii="Arial" w:hAnsi="Arial" w:hint="default"/>
      </w:rPr>
    </w:lvl>
    <w:lvl w:ilvl="7" w:tplc="C1A68654" w:tentative="1">
      <w:start w:val="1"/>
      <w:numFmt w:val="bullet"/>
      <w:lvlText w:val="•"/>
      <w:lvlJc w:val="left"/>
      <w:pPr>
        <w:tabs>
          <w:tab w:val="num" w:pos="5760"/>
        </w:tabs>
        <w:ind w:left="5760" w:hanging="360"/>
      </w:pPr>
      <w:rPr>
        <w:rFonts w:ascii="Arial" w:hAnsi="Arial" w:hint="default"/>
      </w:rPr>
    </w:lvl>
    <w:lvl w:ilvl="8" w:tplc="A7223E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5B3A96"/>
    <w:multiLevelType w:val="hybridMultilevel"/>
    <w:tmpl w:val="A892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1E6925"/>
    <w:multiLevelType w:val="hybridMultilevel"/>
    <w:tmpl w:val="3F004D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1C4B06"/>
    <w:multiLevelType w:val="hybridMultilevel"/>
    <w:tmpl w:val="E33E3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71676C"/>
    <w:multiLevelType w:val="hybridMultilevel"/>
    <w:tmpl w:val="E8B64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E77345"/>
    <w:multiLevelType w:val="hybridMultilevel"/>
    <w:tmpl w:val="57885F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307B85"/>
    <w:multiLevelType w:val="hybridMultilevel"/>
    <w:tmpl w:val="F404D316"/>
    <w:lvl w:ilvl="0" w:tplc="8FCCFB08">
      <w:start w:val="1"/>
      <w:numFmt w:val="bullet"/>
      <w:lvlText w:val="•"/>
      <w:lvlJc w:val="left"/>
      <w:pPr>
        <w:tabs>
          <w:tab w:val="num" w:pos="720"/>
        </w:tabs>
        <w:ind w:left="720" w:hanging="360"/>
      </w:pPr>
      <w:rPr>
        <w:rFonts w:ascii="Arial" w:hAnsi="Arial" w:hint="default"/>
      </w:rPr>
    </w:lvl>
    <w:lvl w:ilvl="1" w:tplc="1DB2BE36" w:tentative="1">
      <w:start w:val="1"/>
      <w:numFmt w:val="bullet"/>
      <w:lvlText w:val="•"/>
      <w:lvlJc w:val="left"/>
      <w:pPr>
        <w:tabs>
          <w:tab w:val="num" w:pos="1440"/>
        </w:tabs>
        <w:ind w:left="1440" w:hanging="360"/>
      </w:pPr>
      <w:rPr>
        <w:rFonts w:ascii="Arial" w:hAnsi="Arial" w:hint="default"/>
      </w:rPr>
    </w:lvl>
    <w:lvl w:ilvl="2" w:tplc="8F4CBA46" w:tentative="1">
      <w:start w:val="1"/>
      <w:numFmt w:val="bullet"/>
      <w:lvlText w:val="•"/>
      <w:lvlJc w:val="left"/>
      <w:pPr>
        <w:tabs>
          <w:tab w:val="num" w:pos="2160"/>
        </w:tabs>
        <w:ind w:left="2160" w:hanging="360"/>
      </w:pPr>
      <w:rPr>
        <w:rFonts w:ascii="Arial" w:hAnsi="Arial" w:hint="default"/>
      </w:rPr>
    </w:lvl>
    <w:lvl w:ilvl="3" w:tplc="BA54D034" w:tentative="1">
      <w:start w:val="1"/>
      <w:numFmt w:val="bullet"/>
      <w:lvlText w:val="•"/>
      <w:lvlJc w:val="left"/>
      <w:pPr>
        <w:tabs>
          <w:tab w:val="num" w:pos="2880"/>
        </w:tabs>
        <w:ind w:left="2880" w:hanging="360"/>
      </w:pPr>
      <w:rPr>
        <w:rFonts w:ascii="Arial" w:hAnsi="Arial" w:hint="default"/>
      </w:rPr>
    </w:lvl>
    <w:lvl w:ilvl="4" w:tplc="081A4B78" w:tentative="1">
      <w:start w:val="1"/>
      <w:numFmt w:val="bullet"/>
      <w:lvlText w:val="•"/>
      <w:lvlJc w:val="left"/>
      <w:pPr>
        <w:tabs>
          <w:tab w:val="num" w:pos="3600"/>
        </w:tabs>
        <w:ind w:left="3600" w:hanging="360"/>
      </w:pPr>
      <w:rPr>
        <w:rFonts w:ascii="Arial" w:hAnsi="Arial" w:hint="default"/>
      </w:rPr>
    </w:lvl>
    <w:lvl w:ilvl="5" w:tplc="8B2E0D34" w:tentative="1">
      <w:start w:val="1"/>
      <w:numFmt w:val="bullet"/>
      <w:lvlText w:val="•"/>
      <w:lvlJc w:val="left"/>
      <w:pPr>
        <w:tabs>
          <w:tab w:val="num" w:pos="4320"/>
        </w:tabs>
        <w:ind w:left="4320" w:hanging="360"/>
      </w:pPr>
      <w:rPr>
        <w:rFonts w:ascii="Arial" w:hAnsi="Arial" w:hint="default"/>
      </w:rPr>
    </w:lvl>
    <w:lvl w:ilvl="6" w:tplc="E1B8FA6A" w:tentative="1">
      <w:start w:val="1"/>
      <w:numFmt w:val="bullet"/>
      <w:lvlText w:val="•"/>
      <w:lvlJc w:val="left"/>
      <w:pPr>
        <w:tabs>
          <w:tab w:val="num" w:pos="5040"/>
        </w:tabs>
        <w:ind w:left="5040" w:hanging="360"/>
      </w:pPr>
      <w:rPr>
        <w:rFonts w:ascii="Arial" w:hAnsi="Arial" w:hint="default"/>
      </w:rPr>
    </w:lvl>
    <w:lvl w:ilvl="7" w:tplc="6B9CC816" w:tentative="1">
      <w:start w:val="1"/>
      <w:numFmt w:val="bullet"/>
      <w:lvlText w:val="•"/>
      <w:lvlJc w:val="left"/>
      <w:pPr>
        <w:tabs>
          <w:tab w:val="num" w:pos="5760"/>
        </w:tabs>
        <w:ind w:left="5760" w:hanging="360"/>
      </w:pPr>
      <w:rPr>
        <w:rFonts w:ascii="Arial" w:hAnsi="Arial" w:hint="default"/>
      </w:rPr>
    </w:lvl>
    <w:lvl w:ilvl="8" w:tplc="80886A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3"/>
  </w:num>
  <w:num w:numId="4">
    <w:abstractNumId w:val="2"/>
  </w:num>
  <w:num w:numId="5">
    <w:abstractNumId w:val="11"/>
  </w:num>
  <w:num w:numId="6">
    <w:abstractNumId w:val="5"/>
  </w:num>
  <w:num w:numId="7">
    <w:abstractNumId w:val="6"/>
  </w:num>
  <w:num w:numId="8">
    <w:abstractNumId w:val="9"/>
  </w:num>
  <w:num w:numId="9">
    <w:abstractNumId w:val="7"/>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B8"/>
    <w:rsid w:val="00036B2F"/>
    <w:rsid w:val="000A0697"/>
    <w:rsid w:val="000C08CF"/>
    <w:rsid w:val="000E0F9A"/>
    <w:rsid w:val="00105392"/>
    <w:rsid w:val="001536BC"/>
    <w:rsid w:val="001C383B"/>
    <w:rsid w:val="001D7510"/>
    <w:rsid w:val="00202B86"/>
    <w:rsid w:val="003005A1"/>
    <w:rsid w:val="0036178D"/>
    <w:rsid w:val="003675C7"/>
    <w:rsid w:val="003D08F1"/>
    <w:rsid w:val="003F524A"/>
    <w:rsid w:val="00402279"/>
    <w:rsid w:val="004109D7"/>
    <w:rsid w:val="004600D9"/>
    <w:rsid w:val="005209CA"/>
    <w:rsid w:val="00531094"/>
    <w:rsid w:val="0055755C"/>
    <w:rsid w:val="005D635A"/>
    <w:rsid w:val="00654CF8"/>
    <w:rsid w:val="00691D1F"/>
    <w:rsid w:val="0069515E"/>
    <w:rsid w:val="007061C2"/>
    <w:rsid w:val="0071329E"/>
    <w:rsid w:val="00735943"/>
    <w:rsid w:val="00773140"/>
    <w:rsid w:val="00795D14"/>
    <w:rsid w:val="00802479"/>
    <w:rsid w:val="00806671"/>
    <w:rsid w:val="00836121"/>
    <w:rsid w:val="009D3CDA"/>
    <w:rsid w:val="00A85BF5"/>
    <w:rsid w:val="00AB7CB1"/>
    <w:rsid w:val="00AF7D54"/>
    <w:rsid w:val="00B127B8"/>
    <w:rsid w:val="00B62658"/>
    <w:rsid w:val="00B869A0"/>
    <w:rsid w:val="00BB69B3"/>
    <w:rsid w:val="00C1280D"/>
    <w:rsid w:val="00C53722"/>
    <w:rsid w:val="00C85786"/>
    <w:rsid w:val="00CB58F0"/>
    <w:rsid w:val="00CE5E47"/>
    <w:rsid w:val="00CE7C04"/>
    <w:rsid w:val="00D07484"/>
    <w:rsid w:val="00D96838"/>
    <w:rsid w:val="00EE0DF1"/>
    <w:rsid w:val="00EF046C"/>
    <w:rsid w:val="00F17C69"/>
    <w:rsid w:val="00F27DF3"/>
    <w:rsid w:val="00FE1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CF27"/>
  <w15:docId w15:val="{EF7B9159-2C9D-4029-BE7B-2568AB11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17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B127B8"/>
    <w:rPr>
      <w:i/>
      <w:iCs/>
    </w:rPr>
  </w:style>
  <w:style w:type="character" w:customStyle="1" w:styleId="apple-converted-space">
    <w:name w:val="apple-converted-space"/>
    <w:basedOn w:val="Standardnpsmoodstavce"/>
    <w:rsid w:val="00B127B8"/>
  </w:style>
  <w:style w:type="paragraph" w:styleId="Normlnweb">
    <w:name w:val="Normal (Web)"/>
    <w:basedOn w:val="Normln"/>
    <w:uiPriority w:val="99"/>
    <w:unhideWhenUsed/>
    <w:rsid w:val="00B127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127B8"/>
    <w:rPr>
      <w:b/>
      <w:bCs/>
    </w:rPr>
  </w:style>
  <w:style w:type="paragraph" w:styleId="Odstavecseseznamem">
    <w:name w:val="List Paragraph"/>
    <w:basedOn w:val="Normln"/>
    <w:uiPriority w:val="34"/>
    <w:qFormat/>
    <w:rsid w:val="00B127B8"/>
    <w:pPr>
      <w:ind w:left="720"/>
      <w:contextualSpacing/>
    </w:pPr>
  </w:style>
  <w:style w:type="paragraph" w:styleId="Textpoznpodarou">
    <w:name w:val="footnote text"/>
    <w:basedOn w:val="Normln"/>
    <w:link w:val="TextpoznpodarouChar"/>
    <w:uiPriority w:val="99"/>
    <w:rsid w:val="00773140"/>
    <w:pPr>
      <w:spacing w:after="0" w:line="280" w:lineRule="atLeast"/>
      <w:ind w:left="300" w:hanging="300"/>
    </w:pPr>
    <w:rPr>
      <w:rFonts w:ascii="Times New Roman" w:eastAsia="Times New Roman" w:hAnsi="Times New Roman" w:cs="Times New Roman"/>
      <w:sz w:val="20"/>
      <w:szCs w:val="20"/>
      <w:lang w:val="sk-SK" w:eastAsia="cs-CZ"/>
    </w:rPr>
  </w:style>
  <w:style w:type="character" w:customStyle="1" w:styleId="TextpoznpodarouChar">
    <w:name w:val="Text pozn. pod čarou Char"/>
    <w:basedOn w:val="Standardnpsmoodstavce"/>
    <w:link w:val="Textpoznpodarou"/>
    <w:uiPriority w:val="99"/>
    <w:rsid w:val="00773140"/>
    <w:rPr>
      <w:rFonts w:ascii="Times New Roman" w:eastAsia="Times New Roman" w:hAnsi="Times New Roman" w:cs="Times New Roman"/>
      <w:sz w:val="20"/>
      <w:szCs w:val="20"/>
      <w:lang w:val="sk-SK" w:eastAsia="cs-CZ"/>
    </w:rPr>
  </w:style>
  <w:style w:type="character" w:styleId="Znakapoznpodarou">
    <w:name w:val="footnote reference"/>
    <w:uiPriority w:val="99"/>
    <w:rsid w:val="00773140"/>
    <w:rPr>
      <w:vertAlign w:val="superscript"/>
    </w:rPr>
  </w:style>
  <w:style w:type="character" w:styleId="Hypertextovodkaz">
    <w:name w:val="Hyperlink"/>
    <w:basedOn w:val="Standardnpsmoodstavce"/>
    <w:uiPriority w:val="99"/>
    <w:unhideWhenUsed/>
    <w:rsid w:val="00773140"/>
    <w:rPr>
      <w:color w:val="0000FF" w:themeColor="hyperlink"/>
      <w:u w:val="single"/>
    </w:rPr>
  </w:style>
  <w:style w:type="paragraph" w:styleId="Citt">
    <w:name w:val="Quote"/>
    <w:basedOn w:val="Normln"/>
    <w:next w:val="Normln"/>
    <w:link w:val="CittChar"/>
    <w:uiPriority w:val="29"/>
    <w:qFormat/>
    <w:rsid w:val="00773140"/>
    <w:pPr>
      <w:spacing w:after="0" w:line="360" w:lineRule="auto"/>
      <w:ind w:firstLine="482"/>
      <w:jc w:val="both"/>
    </w:pPr>
    <w:rPr>
      <w:rFonts w:ascii="Times New Roman" w:eastAsia="Times New Roman" w:hAnsi="Times New Roman" w:cs="Times New Roman"/>
      <w:i/>
      <w:sz w:val="24"/>
      <w:szCs w:val="24"/>
    </w:rPr>
  </w:style>
  <w:style w:type="character" w:customStyle="1" w:styleId="CittChar">
    <w:name w:val="Citát Char"/>
    <w:basedOn w:val="Standardnpsmoodstavce"/>
    <w:link w:val="Citt"/>
    <w:uiPriority w:val="29"/>
    <w:rsid w:val="00773140"/>
    <w:rPr>
      <w:rFonts w:ascii="Times New Roman" w:eastAsia="Times New Roman" w:hAnsi="Times New Roman" w:cs="Times New Roman"/>
      <w:i/>
      <w:sz w:val="24"/>
      <w:szCs w:val="24"/>
    </w:rPr>
  </w:style>
  <w:style w:type="character" w:styleId="PsacstrojHTML">
    <w:name w:val="HTML Typewriter"/>
    <w:basedOn w:val="Standardnpsmoodstavce"/>
    <w:uiPriority w:val="99"/>
    <w:semiHidden/>
    <w:unhideWhenUsed/>
    <w:rsid w:val="0055755C"/>
    <w:rPr>
      <w:rFonts w:ascii="Courier New" w:eastAsia="Times New Roman" w:hAnsi="Courier New" w:cs="Courier New"/>
      <w:sz w:val="20"/>
      <w:szCs w:val="20"/>
    </w:rPr>
  </w:style>
  <w:style w:type="paragraph" w:styleId="Nzev">
    <w:name w:val="Title"/>
    <w:basedOn w:val="Normln"/>
    <w:next w:val="Normln"/>
    <w:link w:val="NzevChar"/>
    <w:uiPriority w:val="10"/>
    <w:qFormat/>
    <w:rsid w:val="005310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NzevChar">
    <w:name w:val="Název Char"/>
    <w:basedOn w:val="Standardnpsmoodstavce"/>
    <w:link w:val="Nzev"/>
    <w:uiPriority w:val="10"/>
    <w:rsid w:val="00531094"/>
    <w:rPr>
      <w:rFonts w:asciiTheme="majorHAnsi" w:eastAsiaTheme="majorEastAsia" w:hAnsiTheme="majorHAnsi" w:cstheme="majorBidi"/>
      <w:color w:val="17365D" w:themeColor="text2" w:themeShade="BF"/>
      <w:spacing w:val="5"/>
      <w:kern w:val="28"/>
      <w:sz w:val="52"/>
      <w:szCs w:val="52"/>
      <w:lang w:val="en-US"/>
    </w:rPr>
  </w:style>
  <w:style w:type="character" w:customStyle="1" w:styleId="docregistrysign">
    <w:name w:val="docregistrysign"/>
    <w:basedOn w:val="Standardnpsmoodstavce"/>
    <w:rsid w:val="001536BC"/>
  </w:style>
  <w:style w:type="character" w:customStyle="1" w:styleId="docparallelquotation">
    <w:name w:val="docparallelquotation"/>
    <w:basedOn w:val="Standardnpsmoodstavce"/>
    <w:rsid w:val="001536BC"/>
  </w:style>
  <w:style w:type="paragraph" w:styleId="Zhlav">
    <w:name w:val="header"/>
    <w:basedOn w:val="Normln"/>
    <w:link w:val="ZhlavChar"/>
    <w:uiPriority w:val="99"/>
    <w:semiHidden/>
    <w:unhideWhenUsed/>
    <w:rsid w:val="008361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36121"/>
  </w:style>
  <w:style w:type="paragraph" w:styleId="Zpat">
    <w:name w:val="footer"/>
    <w:basedOn w:val="Normln"/>
    <w:link w:val="ZpatChar"/>
    <w:uiPriority w:val="99"/>
    <w:semiHidden/>
    <w:unhideWhenUsed/>
    <w:rsid w:val="0083612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3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8009">
      <w:bodyDiv w:val="1"/>
      <w:marLeft w:val="0"/>
      <w:marRight w:val="0"/>
      <w:marTop w:val="0"/>
      <w:marBottom w:val="0"/>
      <w:divBdr>
        <w:top w:val="none" w:sz="0" w:space="0" w:color="auto"/>
        <w:left w:val="none" w:sz="0" w:space="0" w:color="auto"/>
        <w:bottom w:val="none" w:sz="0" w:space="0" w:color="auto"/>
        <w:right w:val="none" w:sz="0" w:space="0" w:color="auto"/>
      </w:divBdr>
    </w:div>
    <w:div w:id="235938337">
      <w:bodyDiv w:val="1"/>
      <w:marLeft w:val="0"/>
      <w:marRight w:val="0"/>
      <w:marTop w:val="0"/>
      <w:marBottom w:val="0"/>
      <w:divBdr>
        <w:top w:val="none" w:sz="0" w:space="0" w:color="auto"/>
        <w:left w:val="none" w:sz="0" w:space="0" w:color="auto"/>
        <w:bottom w:val="none" w:sz="0" w:space="0" w:color="auto"/>
        <w:right w:val="none" w:sz="0" w:space="0" w:color="auto"/>
      </w:divBdr>
      <w:divsChild>
        <w:div w:id="1981418654">
          <w:marLeft w:val="547"/>
          <w:marRight w:val="0"/>
          <w:marTop w:val="154"/>
          <w:marBottom w:val="0"/>
          <w:divBdr>
            <w:top w:val="none" w:sz="0" w:space="0" w:color="auto"/>
            <w:left w:val="none" w:sz="0" w:space="0" w:color="auto"/>
            <w:bottom w:val="none" w:sz="0" w:space="0" w:color="auto"/>
            <w:right w:val="none" w:sz="0" w:space="0" w:color="auto"/>
          </w:divBdr>
        </w:div>
      </w:divsChild>
    </w:div>
    <w:div w:id="822702251">
      <w:bodyDiv w:val="1"/>
      <w:marLeft w:val="0"/>
      <w:marRight w:val="0"/>
      <w:marTop w:val="0"/>
      <w:marBottom w:val="0"/>
      <w:divBdr>
        <w:top w:val="none" w:sz="0" w:space="0" w:color="auto"/>
        <w:left w:val="none" w:sz="0" w:space="0" w:color="auto"/>
        <w:bottom w:val="none" w:sz="0" w:space="0" w:color="auto"/>
        <w:right w:val="none" w:sz="0" w:space="0" w:color="auto"/>
      </w:divBdr>
    </w:div>
    <w:div w:id="952247415">
      <w:bodyDiv w:val="1"/>
      <w:marLeft w:val="0"/>
      <w:marRight w:val="0"/>
      <w:marTop w:val="0"/>
      <w:marBottom w:val="0"/>
      <w:divBdr>
        <w:top w:val="none" w:sz="0" w:space="0" w:color="auto"/>
        <w:left w:val="none" w:sz="0" w:space="0" w:color="auto"/>
        <w:bottom w:val="none" w:sz="0" w:space="0" w:color="auto"/>
        <w:right w:val="none" w:sz="0" w:space="0" w:color="auto"/>
      </w:divBdr>
    </w:div>
    <w:div w:id="1014962102">
      <w:bodyDiv w:val="1"/>
      <w:marLeft w:val="0"/>
      <w:marRight w:val="0"/>
      <w:marTop w:val="0"/>
      <w:marBottom w:val="0"/>
      <w:divBdr>
        <w:top w:val="none" w:sz="0" w:space="0" w:color="auto"/>
        <w:left w:val="none" w:sz="0" w:space="0" w:color="auto"/>
        <w:bottom w:val="none" w:sz="0" w:space="0" w:color="auto"/>
        <w:right w:val="none" w:sz="0" w:space="0" w:color="auto"/>
      </w:divBdr>
    </w:div>
    <w:div w:id="1046494297">
      <w:bodyDiv w:val="1"/>
      <w:marLeft w:val="0"/>
      <w:marRight w:val="0"/>
      <w:marTop w:val="0"/>
      <w:marBottom w:val="0"/>
      <w:divBdr>
        <w:top w:val="none" w:sz="0" w:space="0" w:color="auto"/>
        <w:left w:val="none" w:sz="0" w:space="0" w:color="auto"/>
        <w:bottom w:val="none" w:sz="0" w:space="0" w:color="auto"/>
        <w:right w:val="none" w:sz="0" w:space="0" w:color="auto"/>
      </w:divBdr>
    </w:div>
    <w:div w:id="1182669125">
      <w:bodyDiv w:val="1"/>
      <w:marLeft w:val="0"/>
      <w:marRight w:val="0"/>
      <w:marTop w:val="0"/>
      <w:marBottom w:val="0"/>
      <w:divBdr>
        <w:top w:val="none" w:sz="0" w:space="0" w:color="auto"/>
        <w:left w:val="none" w:sz="0" w:space="0" w:color="auto"/>
        <w:bottom w:val="none" w:sz="0" w:space="0" w:color="auto"/>
        <w:right w:val="none" w:sz="0" w:space="0" w:color="auto"/>
      </w:divBdr>
    </w:div>
    <w:div w:id="1328944103">
      <w:bodyDiv w:val="1"/>
      <w:marLeft w:val="0"/>
      <w:marRight w:val="0"/>
      <w:marTop w:val="0"/>
      <w:marBottom w:val="0"/>
      <w:divBdr>
        <w:top w:val="none" w:sz="0" w:space="0" w:color="auto"/>
        <w:left w:val="none" w:sz="0" w:space="0" w:color="auto"/>
        <w:bottom w:val="none" w:sz="0" w:space="0" w:color="auto"/>
        <w:right w:val="none" w:sz="0" w:space="0" w:color="auto"/>
      </w:divBdr>
    </w:div>
    <w:div w:id="1332877731">
      <w:bodyDiv w:val="1"/>
      <w:marLeft w:val="0"/>
      <w:marRight w:val="0"/>
      <w:marTop w:val="0"/>
      <w:marBottom w:val="0"/>
      <w:divBdr>
        <w:top w:val="none" w:sz="0" w:space="0" w:color="auto"/>
        <w:left w:val="none" w:sz="0" w:space="0" w:color="auto"/>
        <w:bottom w:val="none" w:sz="0" w:space="0" w:color="auto"/>
        <w:right w:val="none" w:sz="0" w:space="0" w:color="auto"/>
      </w:divBdr>
    </w:div>
    <w:div w:id="1555584885">
      <w:bodyDiv w:val="1"/>
      <w:marLeft w:val="0"/>
      <w:marRight w:val="0"/>
      <w:marTop w:val="0"/>
      <w:marBottom w:val="0"/>
      <w:divBdr>
        <w:top w:val="none" w:sz="0" w:space="0" w:color="auto"/>
        <w:left w:val="none" w:sz="0" w:space="0" w:color="auto"/>
        <w:bottom w:val="none" w:sz="0" w:space="0" w:color="auto"/>
        <w:right w:val="none" w:sz="0" w:space="0" w:color="auto"/>
      </w:divBdr>
    </w:div>
    <w:div w:id="1582909284">
      <w:bodyDiv w:val="1"/>
      <w:marLeft w:val="0"/>
      <w:marRight w:val="0"/>
      <w:marTop w:val="0"/>
      <w:marBottom w:val="0"/>
      <w:divBdr>
        <w:top w:val="none" w:sz="0" w:space="0" w:color="auto"/>
        <w:left w:val="none" w:sz="0" w:space="0" w:color="auto"/>
        <w:bottom w:val="none" w:sz="0" w:space="0" w:color="auto"/>
        <w:right w:val="none" w:sz="0" w:space="0" w:color="auto"/>
      </w:divBdr>
      <w:divsChild>
        <w:div w:id="1105736192">
          <w:marLeft w:val="547"/>
          <w:marRight w:val="0"/>
          <w:marTop w:val="115"/>
          <w:marBottom w:val="0"/>
          <w:divBdr>
            <w:top w:val="none" w:sz="0" w:space="0" w:color="auto"/>
            <w:left w:val="none" w:sz="0" w:space="0" w:color="auto"/>
            <w:bottom w:val="none" w:sz="0" w:space="0" w:color="auto"/>
            <w:right w:val="none" w:sz="0" w:space="0" w:color="auto"/>
          </w:divBdr>
        </w:div>
        <w:div w:id="1036080690">
          <w:marLeft w:val="547"/>
          <w:marRight w:val="0"/>
          <w:marTop w:val="115"/>
          <w:marBottom w:val="0"/>
          <w:divBdr>
            <w:top w:val="none" w:sz="0" w:space="0" w:color="auto"/>
            <w:left w:val="none" w:sz="0" w:space="0" w:color="auto"/>
            <w:bottom w:val="none" w:sz="0" w:space="0" w:color="auto"/>
            <w:right w:val="none" w:sz="0" w:space="0" w:color="auto"/>
          </w:divBdr>
        </w:div>
      </w:divsChild>
    </w:div>
    <w:div w:id="1694258001">
      <w:bodyDiv w:val="1"/>
      <w:marLeft w:val="0"/>
      <w:marRight w:val="0"/>
      <w:marTop w:val="0"/>
      <w:marBottom w:val="0"/>
      <w:divBdr>
        <w:top w:val="none" w:sz="0" w:space="0" w:color="auto"/>
        <w:left w:val="none" w:sz="0" w:space="0" w:color="auto"/>
        <w:bottom w:val="none" w:sz="0" w:space="0" w:color="auto"/>
        <w:right w:val="none" w:sz="0" w:space="0" w:color="auto"/>
      </w:divBdr>
    </w:div>
    <w:div w:id="1783265814">
      <w:bodyDiv w:val="1"/>
      <w:marLeft w:val="0"/>
      <w:marRight w:val="0"/>
      <w:marTop w:val="0"/>
      <w:marBottom w:val="0"/>
      <w:divBdr>
        <w:top w:val="none" w:sz="0" w:space="0" w:color="auto"/>
        <w:left w:val="none" w:sz="0" w:space="0" w:color="auto"/>
        <w:bottom w:val="none" w:sz="0" w:space="0" w:color="auto"/>
        <w:right w:val="none" w:sz="0" w:space="0" w:color="auto"/>
      </w:divBdr>
    </w:div>
    <w:div w:id="1851948498">
      <w:bodyDiv w:val="1"/>
      <w:marLeft w:val="0"/>
      <w:marRight w:val="0"/>
      <w:marTop w:val="0"/>
      <w:marBottom w:val="0"/>
      <w:divBdr>
        <w:top w:val="none" w:sz="0" w:space="0" w:color="auto"/>
        <w:left w:val="none" w:sz="0" w:space="0" w:color="auto"/>
        <w:bottom w:val="none" w:sz="0" w:space="0" w:color="auto"/>
        <w:right w:val="none" w:sz="0" w:space="0" w:color="auto"/>
      </w:divBdr>
      <w:divsChild>
        <w:div w:id="1586037820">
          <w:marLeft w:val="547"/>
          <w:marRight w:val="0"/>
          <w:marTop w:val="154"/>
          <w:marBottom w:val="0"/>
          <w:divBdr>
            <w:top w:val="none" w:sz="0" w:space="0" w:color="auto"/>
            <w:left w:val="none" w:sz="0" w:space="0" w:color="auto"/>
            <w:bottom w:val="none" w:sz="0" w:space="0" w:color="auto"/>
            <w:right w:val="none" w:sz="0" w:space="0" w:color="auto"/>
          </w:divBdr>
        </w:div>
      </w:divsChild>
    </w:div>
    <w:div w:id="1890876638">
      <w:bodyDiv w:val="1"/>
      <w:marLeft w:val="0"/>
      <w:marRight w:val="0"/>
      <w:marTop w:val="0"/>
      <w:marBottom w:val="0"/>
      <w:divBdr>
        <w:top w:val="none" w:sz="0" w:space="0" w:color="auto"/>
        <w:left w:val="none" w:sz="0" w:space="0" w:color="auto"/>
        <w:bottom w:val="none" w:sz="0" w:space="0" w:color="auto"/>
        <w:right w:val="none" w:sz="0" w:space="0" w:color="auto"/>
      </w:divBdr>
      <w:divsChild>
        <w:div w:id="459349802">
          <w:marLeft w:val="547"/>
          <w:marRight w:val="0"/>
          <w:marTop w:val="144"/>
          <w:marBottom w:val="0"/>
          <w:divBdr>
            <w:top w:val="none" w:sz="0" w:space="0" w:color="auto"/>
            <w:left w:val="none" w:sz="0" w:space="0" w:color="auto"/>
            <w:bottom w:val="none" w:sz="0" w:space="0" w:color="auto"/>
            <w:right w:val="none" w:sz="0" w:space="0" w:color="auto"/>
          </w:divBdr>
        </w:div>
        <w:div w:id="709496417">
          <w:marLeft w:val="547"/>
          <w:marRight w:val="0"/>
          <w:marTop w:val="144"/>
          <w:marBottom w:val="0"/>
          <w:divBdr>
            <w:top w:val="none" w:sz="0" w:space="0" w:color="auto"/>
            <w:left w:val="none" w:sz="0" w:space="0" w:color="auto"/>
            <w:bottom w:val="none" w:sz="0" w:space="0" w:color="auto"/>
            <w:right w:val="none" w:sz="0" w:space="0" w:color="auto"/>
          </w:divBdr>
        </w:div>
        <w:div w:id="54240705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9432E-4F6C-48B9-BC27-C1A9C24C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7075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1844</cp:lastModifiedBy>
  <cp:revision>2</cp:revision>
  <dcterms:created xsi:type="dcterms:W3CDTF">2019-03-13T17:13:00Z</dcterms:created>
  <dcterms:modified xsi:type="dcterms:W3CDTF">2019-03-13T17:13:00Z</dcterms:modified>
</cp:coreProperties>
</file>