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80" w:rsidRDefault="00A62C80">
      <w:pPr>
        <w:widowControl/>
        <w:rPr>
          <w:b/>
          <w:bCs/>
          <w:color w:val="222222"/>
          <w:lang w:val="cs-CZ"/>
        </w:rPr>
      </w:pPr>
    </w:p>
    <w:p w:rsidR="00A62C80" w:rsidRPr="00E92607" w:rsidRDefault="00671F4E">
      <w:pPr>
        <w:widowControl/>
        <w:jc w:val="right"/>
        <w:rPr>
          <w:i/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</w:t>
      </w:r>
      <w:r w:rsidRPr="00E92607">
        <w:rPr>
          <w:b/>
          <w:bCs/>
          <w:i/>
          <w:color w:val="222222"/>
          <w:sz w:val="72"/>
          <w:szCs w:val="72"/>
          <w:lang w:val="cs-CZ"/>
        </w:rPr>
        <w:t>bčanské právo III – cvičení</w:t>
      </w:r>
    </w:p>
    <w:p w:rsidR="00A62C80" w:rsidRPr="00E92607" w:rsidRDefault="00E92607">
      <w:pPr>
        <w:widowControl/>
        <w:jc w:val="right"/>
        <w:rPr>
          <w:b/>
          <w:sz w:val="120"/>
          <w:szCs w:val="120"/>
        </w:rPr>
      </w:pPr>
      <w:r w:rsidRPr="00E92607">
        <w:rPr>
          <w:b/>
          <w:bCs/>
          <w:color w:val="222222"/>
          <w:sz w:val="120"/>
          <w:szCs w:val="120"/>
          <w:lang w:val="cs-CZ"/>
        </w:rPr>
        <w:t>Harmonogram seminářů</w:t>
      </w:r>
      <w:bookmarkStart w:id="0" w:name="_GoBack"/>
      <w:bookmarkEnd w:id="0"/>
    </w:p>
    <w:p w:rsidR="00A62C80" w:rsidRPr="00E92607" w:rsidRDefault="00A62C80">
      <w:pPr>
        <w:widowControl/>
        <w:pBdr>
          <w:bottom w:val="single" w:sz="2" w:space="2" w:color="000001"/>
        </w:pBdr>
        <w:rPr>
          <w:sz w:val="28"/>
          <w:lang w:val="cs-CZ"/>
        </w:rPr>
      </w:pPr>
    </w:p>
    <w:p w:rsidR="00A62C80" w:rsidRDefault="00A62C80">
      <w:pPr>
        <w:widowControl/>
        <w:rPr>
          <w:b/>
          <w:lang w:val="cs-CZ"/>
        </w:rPr>
      </w:pP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Dědické právo I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Dědické právo II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Vznik závazků</w:t>
      </w:r>
      <w:r w:rsidR="00757DA0">
        <w:rPr>
          <w:bCs/>
          <w:color w:val="222222"/>
          <w:lang w:val="cs-CZ"/>
        </w:rPr>
        <w:t xml:space="preserve"> a jejich obsah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Změna závazků I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Změna závazků II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Zajišťovací závazky</w:t>
      </w:r>
      <w:r w:rsidR="00AD5EDF">
        <w:rPr>
          <w:bCs/>
          <w:color w:val="222222"/>
          <w:lang w:val="cs-CZ"/>
        </w:rPr>
        <w:t xml:space="preserve"> a utvrzení dluhu</w:t>
      </w:r>
    </w:p>
    <w:p w:rsidR="00E92607" w:rsidRPr="007936B4" w:rsidRDefault="007936B4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i/>
          <w:color w:val="222222"/>
          <w:u w:val="single"/>
          <w:lang w:val="cs-CZ"/>
        </w:rPr>
      </w:pPr>
      <w:r w:rsidRPr="007936B4">
        <w:rPr>
          <w:bCs/>
          <w:i/>
          <w:color w:val="222222"/>
          <w:u w:val="single"/>
          <w:lang w:val="cs-CZ"/>
        </w:rPr>
        <w:t>Návštěva soudního jednání</w:t>
      </w:r>
      <w:r>
        <w:rPr>
          <w:bCs/>
          <w:i/>
          <w:color w:val="222222"/>
          <w:u w:val="single"/>
          <w:lang w:val="cs-CZ"/>
        </w:rPr>
        <w:t xml:space="preserve"> (seminář se nekoná)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Zánik závazků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Smlouvy o převodu vlastnického práva</w:t>
      </w:r>
    </w:p>
    <w:p w:rsidR="00E92607" w:rsidRPr="009170A2" w:rsidRDefault="00E92607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Smlouvy o přenechání věci k</w:t>
      </w:r>
      <w:r w:rsidR="009170A2" w:rsidRPr="009170A2">
        <w:rPr>
          <w:bCs/>
          <w:color w:val="222222"/>
          <w:lang w:val="cs-CZ"/>
        </w:rPr>
        <w:t> </w:t>
      </w:r>
      <w:r w:rsidRPr="009170A2">
        <w:rPr>
          <w:bCs/>
          <w:color w:val="222222"/>
          <w:lang w:val="cs-CZ"/>
        </w:rPr>
        <w:t>užívání</w:t>
      </w:r>
    </w:p>
    <w:p w:rsidR="009170A2" w:rsidRPr="009170A2" w:rsidRDefault="009170A2" w:rsidP="004C7DDC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9170A2">
        <w:rPr>
          <w:bCs/>
          <w:color w:val="222222"/>
          <w:lang w:val="cs-CZ"/>
        </w:rPr>
        <w:t>Náhrada újmy</w:t>
      </w:r>
    </w:p>
    <w:p w:rsidR="00407ABB" w:rsidRDefault="009170A2" w:rsidP="00407ABB">
      <w:pPr>
        <w:pStyle w:val="Odstavecseseznamem"/>
        <w:widowControl/>
        <w:numPr>
          <w:ilvl w:val="0"/>
          <w:numId w:val="1"/>
        </w:numPr>
        <w:spacing w:line="360" w:lineRule="auto"/>
        <w:ind w:left="924" w:hanging="567"/>
        <w:rPr>
          <w:bCs/>
          <w:color w:val="222222"/>
          <w:lang w:val="cs-CZ"/>
        </w:rPr>
      </w:pPr>
      <w:r w:rsidRPr="00671F4E">
        <w:rPr>
          <w:bCs/>
          <w:color w:val="222222"/>
          <w:lang w:val="cs-CZ"/>
        </w:rPr>
        <w:t>Bezdůvodné obohacení</w:t>
      </w:r>
    </w:p>
    <w:p w:rsidR="00407ABB" w:rsidRDefault="00407ABB" w:rsidP="00407ABB">
      <w:pPr>
        <w:pStyle w:val="Odstavecseseznamem"/>
        <w:widowControl/>
        <w:spacing w:line="360" w:lineRule="auto"/>
        <w:ind w:left="924"/>
        <w:rPr>
          <w:bCs/>
          <w:color w:val="222222"/>
          <w:lang w:val="cs-CZ"/>
        </w:rPr>
      </w:pPr>
    </w:p>
    <w:p w:rsidR="00407ABB" w:rsidRPr="00407ABB" w:rsidRDefault="00407ABB" w:rsidP="00491292">
      <w:pPr>
        <w:pStyle w:val="Odstavecseseznamem"/>
        <w:widowControl/>
        <w:spacing w:line="360" w:lineRule="auto"/>
        <w:ind w:left="924"/>
        <w:jc w:val="both"/>
        <w:rPr>
          <w:bCs/>
          <w:color w:val="222222"/>
          <w:lang w:val="cs-CZ"/>
        </w:rPr>
      </w:pPr>
      <w:r w:rsidRPr="00407ABB">
        <w:rPr>
          <w:i/>
          <w:lang w:val="cs-CZ"/>
        </w:rPr>
        <w:t xml:space="preserve">(Platí pro seminární skupiny </w:t>
      </w:r>
      <w:r w:rsidR="00491292">
        <w:rPr>
          <w:i/>
          <w:lang w:val="cs-CZ"/>
        </w:rPr>
        <w:t>M.</w:t>
      </w:r>
      <w:r w:rsidRPr="00407ABB">
        <w:rPr>
          <w:i/>
          <w:lang w:val="cs-CZ"/>
        </w:rPr>
        <w:t xml:space="preserve"> Dobeše.)</w:t>
      </w:r>
    </w:p>
    <w:sectPr w:rsidR="00407ABB" w:rsidRPr="00407AB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763B"/>
    <w:multiLevelType w:val="hybridMultilevel"/>
    <w:tmpl w:val="77A0C228"/>
    <w:lvl w:ilvl="0" w:tplc="1750C6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80"/>
    <w:rsid w:val="00407ABB"/>
    <w:rsid w:val="00491292"/>
    <w:rsid w:val="004C7DDC"/>
    <w:rsid w:val="00671F4E"/>
    <w:rsid w:val="00757DA0"/>
    <w:rsid w:val="007936B4"/>
    <w:rsid w:val="008226E0"/>
    <w:rsid w:val="009170A2"/>
    <w:rsid w:val="00A62C80"/>
    <w:rsid w:val="00AD5EDF"/>
    <w:rsid w:val="00C93D28"/>
    <w:rsid w:val="00E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C9CA"/>
  <w15:docId w15:val="{5CAA188B-80D4-42B5-A757-DAC5EAE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5F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48</cp:revision>
  <dcterms:created xsi:type="dcterms:W3CDTF">2017-02-03T15:19:00Z</dcterms:created>
  <dcterms:modified xsi:type="dcterms:W3CDTF">2019-03-28T22:15:00Z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