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933" w:rsidRPr="00F90B11" w:rsidRDefault="00077933" w:rsidP="00F90B11">
      <w:pPr>
        <w:widowControl/>
        <w:jc w:val="both"/>
        <w:rPr>
          <w:b/>
          <w:bCs/>
          <w:color w:val="222222"/>
          <w:lang w:val="cs-CZ"/>
        </w:rPr>
      </w:pPr>
    </w:p>
    <w:p w:rsidR="00077933" w:rsidRPr="008846ED" w:rsidRDefault="00BB1E07" w:rsidP="00887722">
      <w:pPr>
        <w:widowControl/>
        <w:jc w:val="right"/>
        <w:rPr>
          <w:i/>
          <w:lang w:val="cs-CZ"/>
        </w:rPr>
      </w:pPr>
      <w:r w:rsidRPr="008344AB">
        <w:rPr>
          <w:b/>
          <w:bCs/>
          <w:color w:val="222222"/>
          <w:sz w:val="72"/>
          <w:szCs w:val="72"/>
          <w:lang w:val="cs-CZ"/>
        </w:rPr>
        <w:t>O</w:t>
      </w:r>
      <w:r w:rsidRPr="008846ED">
        <w:rPr>
          <w:b/>
          <w:bCs/>
          <w:i/>
          <w:color w:val="222222"/>
          <w:sz w:val="72"/>
          <w:szCs w:val="72"/>
          <w:lang w:val="cs-CZ"/>
        </w:rPr>
        <w:t xml:space="preserve">bčanské právo III – </w:t>
      </w:r>
      <w:r w:rsidR="001271EF">
        <w:rPr>
          <w:b/>
          <w:bCs/>
          <w:i/>
          <w:color w:val="222222"/>
          <w:sz w:val="72"/>
          <w:szCs w:val="72"/>
          <w:lang w:val="cs-CZ"/>
        </w:rPr>
        <w:t>cvičení</w:t>
      </w:r>
      <w:bookmarkStart w:id="0" w:name="_GoBack"/>
      <w:bookmarkEnd w:id="0"/>
    </w:p>
    <w:p w:rsidR="00077933" w:rsidRPr="00F90B11" w:rsidRDefault="00BB1E07" w:rsidP="00887722">
      <w:pPr>
        <w:widowControl/>
        <w:jc w:val="right"/>
        <w:rPr>
          <w:lang w:val="cs-CZ"/>
        </w:rPr>
      </w:pPr>
      <w:r w:rsidRPr="00F90B11">
        <w:rPr>
          <w:b/>
          <w:bCs/>
          <w:color w:val="222222"/>
          <w:sz w:val="120"/>
          <w:szCs w:val="120"/>
          <w:lang w:val="cs-CZ"/>
        </w:rPr>
        <w:t>Dědické právo I</w:t>
      </w:r>
    </w:p>
    <w:p w:rsidR="00077933" w:rsidRPr="00F90B11" w:rsidRDefault="00077933" w:rsidP="00F90B11">
      <w:pPr>
        <w:widowControl/>
        <w:pBdr>
          <w:bottom w:val="single" w:sz="2" w:space="2" w:color="000001"/>
        </w:pBdr>
        <w:jc w:val="both"/>
        <w:rPr>
          <w:lang w:val="cs-CZ"/>
        </w:rPr>
      </w:pPr>
    </w:p>
    <w:p w:rsidR="00077933" w:rsidRPr="00F90B11" w:rsidRDefault="00077933" w:rsidP="00F90B11">
      <w:pPr>
        <w:widowControl/>
        <w:jc w:val="both"/>
        <w:rPr>
          <w:lang w:val="cs-CZ"/>
        </w:rPr>
      </w:pPr>
    </w:p>
    <w:p w:rsidR="002E50BA" w:rsidRPr="0038549D" w:rsidRDefault="002E50BA" w:rsidP="00DF7E03">
      <w:pPr>
        <w:widowControl/>
        <w:jc w:val="right"/>
        <w:rPr>
          <w:sz w:val="56"/>
          <w:lang w:val="cs-CZ"/>
        </w:rPr>
      </w:pPr>
      <w:r w:rsidRPr="0038549D">
        <w:rPr>
          <w:sz w:val="56"/>
          <w:lang w:val="cs-CZ"/>
        </w:rPr>
        <w:t>Povinně k nastudování</w:t>
      </w:r>
    </w:p>
    <w:p w:rsidR="002E50BA" w:rsidRDefault="002E50BA" w:rsidP="002E50BA">
      <w:pPr>
        <w:widowControl/>
        <w:jc w:val="both"/>
        <w:rPr>
          <w:lang w:val="cs-CZ"/>
        </w:rPr>
      </w:pPr>
    </w:p>
    <w:p w:rsidR="002E50BA" w:rsidRDefault="002E50BA" w:rsidP="002E50BA">
      <w:pPr>
        <w:widowControl/>
        <w:jc w:val="both"/>
        <w:rPr>
          <w:lang w:val="cs-CZ"/>
        </w:rPr>
      </w:pPr>
      <w:r w:rsidRPr="002E50BA">
        <w:rPr>
          <w:lang w:val="cs-CZ"/>
        </w:rPr>
        <w:t>Na semináři Dědické právo I se budeme věnovat</w:t>
      </w:r>
      <w:r w:rsidR="00CD225F">
        <w:rPr>
          <w:lang w:val="cs-CZ"/>
        </w:rPr>
        <w:t xml:space="preserve"> p</w:t>
      </w:r>
      <w:r w:rsidRPr="002E50BA">
        <w:rPr>
          <w:lang w:val="cs-CZ"/>
        </w:rPr>
        <w:t>rávním následkům smrti člověka a základním v</w:t>
      </w:r>
      <w:r>
        <w:rPr>
          <w:lang w:val="cs-CZ"/>
        </w:rPr>
        <w:t>ý</w:t>
      </w:r>
      <w:r w:rsidRPr="002E50BA">
        <w:rPr>
          <w:lang w:val="cs-CZ"/>
        </w:rPr>
        <w:t>chodiskům dědického práva (v objektivním smyslu) včetně zásad dědického práva. Základními pojmy jsou dědic, dědický podíl, dědictví, dědické právo (v subjektivním smyslu) a dědický titul. Ve</w:t>
      </w:r>
      <w:r w:rsidR="008846ED">
        <w:rPr>
          <w:lang w:val="cs-CZ"/>
        </w:rPr>
        <w:t> </w:t>
      </w:r>
      <w:r w:rsidRPr="002E50BA">
        <w:rPr>
          <w:lang w:val="cs-CZ"/>
        </w:rPr>
        <w:t>vztahu k zákonné dědické posloupnosti</w:t>
      </w:r>
      <w:r w:rsidR="00146525">
        <w:rPr>
          <w:lang w:val="cs-CZ"/>
        </w:rPr>
        <w:t>:</w:t>
      </w:r>
      <w:r w:rsidRPr="002E50BA">
        <w:rPr>
          <w:lang w:val="cs-CZ"/>
        </w:rPr>
        <w:t xml:space="preserve"> příbuzenství a jednotlivé třídy dědické. Ve</w:t>
      </w:r>
      <w:r w:rsidR="008846ED">
        <w:rPr>
          <w:lang w:val="cs-CZ"/>
        </w:rPr>
        <w:t> </w:t>
      </w:r>
      <w:r w:rsidRPr="002E50BA">
        <w:rPr>
          <w:lang w:val="cs-CZ"/>
        </w:rPr>
        <w:t>vztahu k</w:t>
      </w:r>
      <w:r w:rsidR="00146525">
        <w:rPr>
          <w:lang w:val="cs-CZ"/>
        </w:rPr>
        <w:t> </w:t>
      </w:r>
      <w:r w:rsidRPr="002E50BA">
        <w:rPr>
          <w:lang w:val="cs-CZ"/>
        </w:rPr>
        <w:t>závěti</w:t>
      </w:r>
      <w:r w:rsidR="00146525">
        <w:rPr>
          <w:lang w:val="cs-CZ"/>
        </w:rPr>
        <w:t>:</w:t>
      </w:r>
      <w:r w:rsidRPr="002E50BA">
        <w:rPr>
          <w:lang w:val="cs-CZ"/>
        </w:rPr>
        <w:t xml:space="preserve"> zvláštní povah</w:t>
      </w:r>
      <w:r w:rsidR="00146525">
        <w:rPr>
          <w:lang w:val="cs-CZ"/>
        </w:rPr>
        <w:t>a</w:t>
      </w:r>
      <w:r w:rsidRPr="002E50BA">
        <w:rPr>
          <w:lang w:val="cs-CZ"/>
        </w:rPr>
        <w:t xml:space="preserve"> a náležitosti tohoto jednostranného právního jednání včetně testovací způsobilosti</w:t>
      </w:r>
      <w:r w:rsidR="00146525">
        <w:rPr>
          <w:lang w:val="cs-CZ"/>
        </w:rPr>
        <w:t>, zrušení závěti a rozlišení</w:t>
      </w:r>
      <w:r w:rsidRPr="002E50BA">
        <w:rPr>
          <w:lang w:val="cs-CZ"/>
        </w:rPr>
        <w:t xml:space="preserve"> mezi závětí a dovětkem. Nový občanský zákoník přinesl poslední dědický titul</w:t>
      </w:r>
      <w:r w:rsidR="008846ED">
        <w:rPr>
          <w:lang w:val="cs-CZ"/>
        </w:rPr>
        <w:t>,</w:t>
      </w:r>
      <w:r w:rsidRPr="002E50BA">
        <w:rPr>
          <w:lang w:val="cs-CZ"/>
        </w:rPr>
        <w:t xml:space="preserve"> v praxi dosud vzácně se vyskytující dědickou smlouvu. Dalšími základními pojmy jsou nepominutelný (nikoli neopomenutelný) dědic</w:t>
      </w:r>
      <w:r w:rsidR="00BE3A15">
        <w:rPr>
          <w:lang w:val="cs-CZ"/>
        </w:rPr>
        <w:t xml:space="preserve">, </w:t>
      </w:r>
      <w:r w:rsidRPr="002E50BA">
        <w:rPr>
          <w:lang w:val="cs-CZ"/>
        </w:rPr>
        <w:t>právo na povinný díl</w:t>
      </w:r>
      <w:r w:rsidR="00BE3A15">
        <w:rPr>
          <w:lang w:val="cs-CZ"/>
        </w:rPr>
        <w:t xml:space="preserve"> a právo některých osob na zaopatření</w:t>
      </w:r>
      <w:r w:rsidRPr="002E50BA">
        <w:rPr>
          <w:lang w:val="cs-CZ"/>
        </w:rPr>
        <w:t xml:space="preserve">. </w:t>
      </w:r>
      <w:r w:rsidR="00146525">
        <w:rPr>
          <w:lang w:val="cs-CZ"/>
        </w:rPr>
        <w:t>P</w:t>
      </w:r>
      <w:r w:rsidRPr="002E50BA">
        <w:rPr>
          <w:lang w:val="cs-CZ"/>
        </w:rPr>
        <w:t xml:space="preserve">ovinnost příbuzenské lásky a </w:t>
      </w:r>
      <w:r w:rsidR="008846ED">
        <w:rPr>
          <w:lang w:val="cs-CZ"/>
        </w:rPr>
        <w:t>vš</w:t>
      </w:r>
      <w:r w:rsidR="003505E4">
        <w:rPr>
          <w:lang w:val="cs-CZ"/>
        </w:rPr>
        <w:t>e</w:t>
      </w:r>
      <w:r w:rsidR="008846ED">
        <w:rPr>
          <w:lang w:val="cs-CZ"/>
        </w:rPr>
        <w:t xml:space="preserve">obecně </w:t>
      </w:r>
      <w:r w:rsidRPr="002E50BA">
        <w:rPr>
          <w:lang w:val="cs-CZ"/>
        </w:rPr>
        <w:t>znám</w:t>
      </w:r>
      <w:r w:rsidR="00146525">
        <w:rPr>
          <w:lang w:val="cs-CZ"/>
        </w:rPr>
        <w:t>ý</w:t>
      </w:r>
      <w:r w:rsidRPr="002E50BA">
        <w:rPr>
          <w:lang w:val="cs-CZ"/>
        </w:rPr>
        <w:t xml:space="preserve"> institut vydědění, který je potřeba odlišovat od dědické nezpůsobilosti. Ve vztahu k vydědění a dědické nezpůsobilosti</w:t>
      </w:r>
      <w:r w:rsidR="00146525">
        <w:rPr>
          <w:lang w:val="cs-CZ"/>
        </w:rPr>
        <w:t xml:space="preserve">: </w:t>
      </w:r>
      <w:r w:rsidRPr="002E50BA">
        <w:rPr>
          <w:lang w:val="cs-CZ"/>
        </w:rPr>
        <w:t xml:space="preserve">důvody a důsledky včetně otázky, </w:t>
      </w:r>
      <w:r w:rsidR="00CD225F">
        <w:rPr>
          <w:lang w:val="cs-CZ"/>
        </w:rPr>
        <w:t>kdy</w:t>
      </w:r>
      <w:r w:rsidRPr="002E50BA">
        <w:rPr>
          <w:lang w:val="cs-CZ"/>
        </w:rPr>
        <w:t xml:space="preserve"> </w:t>
      </w:r>
      <w:r w:rsidR="00146525">
        <w:rPr>
          <w:lang w:val="cs-CZ"/>
        </w:rPr>
        <w:t>dědí</w:t>
      </w:r>
      <w:r w:rsidRPr="002E50BA">
        <w:rPr>
          <w:lang w:val="cs-CZ"/>
        </w:rPr>
        <w:t xml:space="preserve"> potomek vyděděného nebo dědicky nezpůsobilého.</w:t>
      </w:r>
    </w:p>
    <w:p w:rsidR="002E50BA" w:rsidRDefault="002E50BA" w:rsidP="002E50BA">
      <w:pPr>
        <w:widowControl/>
        <w:jc w:val="both"/>
        <w:rPr>
          <w:lang w:val="cs-CZ"/>
        </w:rPr>
      </w:pPr>
    </w:p>
    <w:p w:rsidR="002E50BA" w:rsidRDefault="002E50BA" w:rsidP="002E50BA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2E50BA" w:rsidRDefault="002E50BA" w:rsidP="00873251">
      <w:pPr>
        <w:widowControl/>
        <w:jc w:val="both"/>
        <w:rPr>
          <w:lang w:val="cs-CZ"/>
        </w:rPr>
      </w:pPr>
    </w:p>
    <w:p w:rsidR="00DF7E03" w:rsidRPr="0038549D" w:rsidRDefault="00DF7E03" w:rsidP="00DF7E03">
      <w:pPr>
        <w:widowControl/>
        <w:jc w:val="right"/>
        <w:rPr>
          <w:sz w:val="56"/>
          <w:lang w:val="cs-CZ"/>
        </w:rPr>
      </w:pPr>
      <w:r w:rsidRPr="0038549D">
        <w:rPr>
          <w:sz w:val="56"/>
          <w:lang w:val="cs-CZ"/>
        </w:rPr>
        <w:t>Povinně k vyřešení</w:t>
      </w:r>
    </w:p>
    <w:p w:rsidR="00DF7E03" w:rsidRDefault="00DF7E03" w:rsidP="00DF7E03">
      <w:pPr>
        <w:widowControl/>
        <w:jc w:val="right"/>
        <w:rPr>
          <w:lang w:val="cs-CZ"/>
        </w:rPr>
      </w:pPr>
    </w:p>
    <w:p w:rsidR="00873251" w:rsidRPr="00873251" w:rsidRDefault="00873251" w:rsidP="00873251">
      <w:pPr>
        <w:widowControl/>
        <w:jc w:val="both"/>
        <w:rPr>
          <w:lang w:val="cs-CZ"/>
        </w:rPr>
      </w:pPr>
      <w:r w:rsidRPr="00873251">
        <w:rPr>
          <w:lang w:val="cs-CZ"/>
        </w:rPr>
        <w:t>1) Karel Kouba (89) a Věra Koubová (87) žili celý život v činžovním domě s tím, že nájemní smlouvu na dobu neurčitou měl na sebe napsanou pouze pan Kouba. Když zemřel, šla jeho manželka za</w:t>
      </w:r>
      <w:r w:rsidR="00390187">
        <w:rPr>
          <w:lang w:val="cs-CZ"/>
        </w:rPr>
        <w:t> </w:t>
      </w:r>
      <w:r w:rsidRPr="00873251">
        <w:rPr>
          <w:lang w:val="cs-CZ"/>
        </w:rPr>
        <w:t>pronajímatelem, aby smlouvu přepsali na ni. Pronajímatel jí ale oznámil, že se smrtí jediného nájemce nájem</w:t>
      </w:r>
      <w:r w:rsidR="00636B7D">
        <w:rPr>
          <w:lang w:val="cs-CZ"/>
        </w:rPr>
        <w:t xml:space="preserve"> zanikl</w:t>
      </w:r>
      <w:r w:rsidRPr="00873251">
        <w:rPr>
          <w:lang w:val="cs-CZ"/>
        </w:rPr>
        <w:t>, a že se má do konce měsíce odstěhovat, neboť po právní stránce už nemá v</w:t>
      </w:r>
      <w:r w:rsidR="00636B7D">
        <w:rPr>
          <w:lang w:val="cs-CZ"/>
        </w:rPr>
        <w:t> </w:t>
      </w:r>
      <w:r w:rsidRPr="00873251">
        <w:rPr>
          <w:lang w:val="cs-CZ"/>
        </w:rPr>
        <w:t>byt</w:t>
      </w:r>
      <w:r w:rsidR="008E3087">
        <w:rPr>
          <w:lang w:val="cs-CZ"/>
        </w:rPr>
        <w:t>ě</w:t>
      </w:r>
      <w:r w:rsidRPr="00873251">
        <w:rPr>
          <w:lang w:val="cs-CZ"/>
        </w:rPr>
        <w:t xml:space="preserve"> co pohledávat. Proveďte právní rozbor a posuďte argumentaci pronajímatele.</w:t>
      </w:r>
    </w:p>
    <w:p w:rsidR="00873251" w:rsidRPr="00873251" w:rsidRDefault="00873251" w:rsidP="00873251">
      <w:pPr>
        <w:widowControl/>
        <w:jc w:val="both"/>
        <w:rPr>
          <w:lang w:val="cs-CZ"/>
        </w:rPr>
      </w:pPr>
    </w:p>
    <w:p w:rsidR="00035223" w:rsidRDefault="00636B7D" w:rsidP="009A713A">
      <w:pPr>
        <w:widowControl/>
        <w:jc w:val="both"/>
        <w:rPr>
          <w:lang w:val="cs-CZ"/>
        </w:rPr>
      </w:pPr>
      <w:r>
        <w:rPr>
          <w:lang w:val="cs-CZ"/>
        </w:rPr>
        <w:t>2</w:t>
      </w:r>
      <w:r w:rsidR="000127C2">
        <w:rPr>
          <w:lang w:val="cs-CZ"/>
        </w:rPr>
        <w:t xml:space="preserve">) </w:t>
      </w:r>
      <w:r w:rsidR="0038549D">
        <w:rPr>
          <w:lang w:val="cs-CZ"/>
        </w:rPr>
        <w:t xml:space="preserve">Při střetu s osobním automobilem utrpěl chodec </w:t>
      </w:r>
      <w:r w:rsidR="00F52D7E">
        <w:rPr>
          <w:lang w:val="cs-CZ"/>
        </w:rPr>
        <w:t xml:space="preserve">vážné zranění a po několika dnech </w:t>
      </w:r>
      <w:r w:rsidR="00804A22">
        <w:rPr>
          <w:lang w:val="cs-CZ"/>
        </w:rPr>
        <w:t xml:space="preserve">na jednotce intenzivní péče </w:t>
      </w:r>
      <w:r w:rsidR="00F52D7E">
        <w:rPr>
          <w:lang w:val="cs-CZ"/>
        </w:rPr>
        <w:t xml:space="preserve">zemřel. </w:t>
      </w:r>
      <w:r w:rsidR="00D32D4D">
        <w:rPr>
          <w:lang w:val="cs-CZ"/>
        </w:rPr>
        <w:t xml:space="preserve">Posuďte, zda na dědice </w:t>
      </w:r>
      <w:r w:rsidR="00DB4056">
        <w:rPr>
          <w:lang w:val="cs-CZ"/>
        </w:rPr>
        <w:t>přechází</w:t>
      </w:r>
      <w:r w:rsidR="00D32D4D">
        <w:rPr>
          <w:lang w:val="cs-CZ"/>
        </w:rPr>
        <w:t xml:space="preserve"> právo</w:t>
      </w:r>
      <w:r w:rsidR="003126CC">
        <w:rPr>
          <w:lang w:val="cs-CZ"/>
        </w:rPr>
        <w:t xml:space="preserve"> </w:t>
      </w:r>
      <w:r w:rsidR="00370FCB">
        <w:rPr>
          <w:lang w:val="cs-CZ"/>
        </w:rPr>
        <w:t xml:space="preserve">zůstavitele </w:t>
      </w:r>
      <w:r w:rsidRPr="00636B7D">
        <w:rPr>
          <w:lang w:val="cs-CZ"/>
        </w:rPr>
        <w:t>na náhradu za bolest a</w:t>
      </w:r>
      <w:r w:rsidR="007276CE">
        <w:rPr>
          <w:lang w:val="cs-CZ"/>
        </w:rPr>
        <w:t> </w:t>
      </w:r>
      <w:r w:rsidRPr="00636B7D">
        <w:rPr>
          <w:lang w:val="cs-CZ"/>
        </w:rPr>
        <w:t>za</w:t>
      </w:r>
      <w:r w:rsidR="007276CE">
        <w:rPr>
          <w:lang w:val="cs-CZ"/>
        </w:rPr>
        <w:t> </w:t>
      </w:r>
      <w:r w:rsidRPr="00636B7D">
        <w:rPr>
          <w:lang w:val="cs-CZ"/>
        </w:rPr>
        <w:t>ztížení společenského uplatnění</w:t>
      </w:r>
      <w:r w:rsidR="003A2CAB">
        <w:rPr>
          <w:lang w:val="cs-CZ"/>
        </w:rPr>
        <w:t>.</w:t>
      </w:r>
    </w:p>
    <w:p w:rsidR="00035223" w:rsidRDefault="00035223" w:rsidP="009A713A">
      <w:pPr>
        <w:widowControl/>
        <w:jc w:val="both"/>
        <w:rPr>
          <w:lang w:val="cs-CZ"/>
        </w:rPr>
      </w:pPr>
    </w:p>
    <w:p w:rsidR="009A713A" w:rsidRDefault="00636B7D" w:rsidP="009A713A">
      <w:pPr>
        <w:widowControl/>
        <w:jc w:val="both"/>
        <w:rPr>
          <w:iCs/>
          <w:lang w:val="cs-CZ"/>
        </w:rPr>
      </w:pPr>
      <w:r>
        <w:rPr>
          <w:lang w:val="cs-CZ"/>
        </w:rPr>
        <w:t>3</w:t>
      </w:r>
      <w:r w:rsidR="009A713A">
        <w:rPr>
          <w:lang w:val="cs-CZ"/>
        </w:rPr>
        <w:t xml:space="preserve">) </w:t>
      </w:r>
      <w:r w:rsidR="009A713A" w:rsidRPr="00D1140E">
        <w:rPr>
          <w:bCs/>
          <w:lang w:val="cs-CZ"/>
        </w:rPr>
        <w:t xml:space="preserve">Člověk vážně zraněný při autonehodě projevil svou poslední vůli ústně před záchranářem, lékařem, policistou a hasičem. </w:t>
      </w:r>
      <w:r w:rsidR="009A713A">
        <w:rPr>
          <w:iCs/>
          <w:lang w:val="cs-CZ"/>
        </w:rPr>
        <w:t>Jde</w:t>
      </w:r>
      <w:r w:rsidR="009A713A" w:rsidRPr="00D1140E">
        <w:rPr>
          <w:iCs/>
          <w:lang w:val="cs-CZ"/>
        </w:rPr>
        <w:t xml:space="preserve"> o platnou závěť?</w:t>
      </w:r>
    </w:p>
    <w:p w:rsidR="009A713A" w:rsidRDefault="009A713A" w:rsidP="00873251">
      <w:pPr>
        <w:widowControl/>
        <w:jc w:val="both"/>
        <w:rPr>
          <w:lang w:val="cs-CZ"/>
        </w:rPr>
      </w:pPr>
    </w:p>
    <w:p w:rsidR="00873251" w:rsidRPr="00873251" w:rsidRDefault="00636B7D" w:rsidP="00873251">
      <w:pPr>
        <w:widowControl/>
        <w:jc w:val="both"/>
        <w:rPr>
          <w:lang w:val="cs-CZ"/>
        </w:rPr>
      </w:pPr>
      <w:r>
        <w:rPr>
          <w:lang w:val="cs-CZ"/>
        </w:rPr>
        <w:t>4</w:t>
      </w:r>
      <w:r w:rsidR="00873251" w:rsidRPr="00873251">
        <w:rPr>
          <w:lang w:val="cs-CZ"/>
        </w:rPr>
        <w:t>) Otec Stanislav se rozhodl pořídit závětí. Protože trpěl revmatoidní artritidou, nadiktoval závěť svému staršímu synu Liborovi (18 let), který ji napsal svojí rukou, a otec následně tuto závěť podepsal. Jako svědek podepsal závěť Libor společně s Jaromírem (14 let), který byl mladším z obou synů, a soupisu závěti byl celou dobu přítomen. V závěti zůstavitel rozdělil celou pozůstalost mezi Libora a Jaromíra rovným dílem. Jde o platnou závěť?</w:t>
      </w:r>
    </w:p>
    <w:p w:rsidR="00A13858" w:rsidRDefault="00A13858" w:rsidP="00A13858">
      <w:pPr>
        <w:widowControl/>
        <w:jc w:val="both"/>
        <w:rPr>
          <w:lang w:val="cs-CZ"/>
        </w:rPr>
      </w:pPr>
    </w:p>
    <w:p w:rsidR="00A13858" w:rsidRPr="00873251" w:rsidRDefault="00636B7D" w:rsidP="00A13858">
      <w:pPr>
        <w:widowControl/>
        <w:jc w:val="both"/>
        <w:rPr>
          <w:lang w:val="cs-CZ"/>
        </w:rPr>
      </w:pPr>
      <w:r>
        <w:rPr>
          <w:lang w:val="cs-CZ"/>
        </w:rPr>
        <w:lastRenderedPageBreak/>
        <w:t>5</w:t>
      </w:r>
      <w:r w:rsidR="00A13858" w:rsidRPr="00873251">
        <w:rPr>
          <w:lang w:val="cs-CZ"/>
        </w:rPr>
        <w:t>) Paní Marie pořídila závětí ve formě notářského zápisu, kterou povolala za dědice k celé pozůstalosti svého prvního syna Jana, a nechala si ji uložit do notářské úschovy. Po čase vyjmula závěť z úschovy a pořídila rukopisnou závětí, ve které povolala za dědice k celé pozůstalosti svého druhého syna Michala. Po její smrti se našly obě závěti. Posuďte, který ze synů bude dědit.</w:t>
      </w:r>
    </w:p>
    <w:p w:rsidR="00A13858" w:rsidRPr="00873251" w:rsidRDefault="00A13858" w:rsidP="00873251">
      <w:pPr>
        <w:widowControl/>
        <w:jc w:val="both"/>
        <w:rPr>
          <w:lang w:val="cs-CZ"/>
        </w:rPr>
      </w:pPr>
    </w:p>
    <w:p w:rsidR="00390187" w:rsidRPr="00F90B11" w:rsidRDefault="00636B7D" w:rsidP="00390187">
      <w:pPr>
        <w:widowControl/>
        <w:jc w:val="both"/>
        <w:rPr>
          <w:lang w:val="cs-CZ"/>
        </w:rPr>
      </w:pPr>
      <w:r>
        <w:rPr>
          <w:lang w:val="cs-CZ"/>
        </w:rPr>
        <w:t>6</w:t>
      </w:r>
      <w:r w:rsidR="00390187" w:rsidRPr="00F90B11">
        <w:rPr>
          <w:lang w:val="cs-CZ"/>
        </w:rPr>
        <w:t>) Zůstavitel povolal jako dědice k celé pozůstalosti svého syna, ale nic nezanechal sv</w:t>
      </w:r>
      <w:r w:rsidR="00D6785E">
        <w:rPr>
          <w:lang w:val="cs-CZ"/>
        </w:rPr>
        <w:t>ojí</w:t>
      </w:r>
      <w:r w:rsidR="00390187" w:rsidRPr="00F90B11">
        <w:rPr>
          <w:lang w:val="cs-CZ"/>
        </w:rPr>
        <w:t xml:space="preserve"> staré a na</w:t>
      </w:r>
      <w:r w:rsidR="002835F4">
        <w:rPr>
          <w:lang w:val="cs-CZ"/>
        </w:rPr>
        <w:t> </w:t>
      </w:r>
      <w:r w:rsidR="00390187" w:rsidRPr="00F90B11">
        <w:rPr>
          <w:lang w:val="cs-CZ"/>
        </w:rPr>
        <w:t>smrt nemocné matce, která o zůstavitele celý život pečovala. Ta je zklamaná, neboť se domnívala, že</w:t>
      </w:r>
      <w:r w:rsidR="00390187">
        <w:rPr>
          <w:lang w:val="cs-CZ"/>
        </w:rPr>
        <w:t> </w:t>
      </w:r>
      <w:r w:rsidR="00390187" w:rsidRPr="00F90B11">
        <w:rPr>
          <w:lang w:val="cs-CZ"/>
        </w:rPr>
        <w:t>patří mezi nepominutelné dědice, a tedy že jí alespoň něco připadnout musí. Zabývejte se</w:t>
      </w:r>
      <w:r w:rsidR="003A38E4">
        <w:rPr>
          <w:lang w:val="cs-CZ"/>
        </w:rPr>
        <w:t> </w:t>
      </w:r>
      <w:r w:rsidR="00390187" w:rsidRPr="00F90B11">
        <w:rPr>
          <w:lang w:val="cs-CZ"/>
        </w:rPr>
        <w:t xml:space="preserve">právním postavením nemocné matky; posuďte podle starého i nového občanského zákoníku. </w:t>
      </w:r>
    </w:p>
    <w:p w:rsidR="00873251" w:rsidRPr="00873251" w:rsidRDefault="00873251" w:rsidP="00873251">
      <w:pPr>
        <w:widowControl/>
        <w:jc w:val="both"/>
        <w:rPr>
          <w:lang w:val="cs-CZ"/>
        </w:rPr>
      </w:pPr>
    </w:p>
    <w:p w:rsidR="00390187" w:rsidRDefault="00636B7D" w:rsidP="00390187">
      <w:pPr>
        <w:widowControl/>
        <w:jc w:val="both"/>
        <w:rPr>
          <w:bCs/>
          <w:lang w:val="cs-CZ"/>
        </w:rPr>
      </w:pPr>
      <w:r>
        <w:rPr>
          <w:bCs/>
          <w:lang w:val="cs-CZ"/>
        </w:rPr>
        <w:t>7</w:t>
      </w:r>
      <w:r w:rsidR="00390187">
        <w:rPr>
          <w:bCs/>
          <w:lang w:val="cs-CZ"/>
        </w:rPr>
        <w:t xml:space="preserve">) </w:t>
      </w:r>
      <w:r w:rsidR="00390187" w:rsidRPr="00C411A9">
        <w:rPr>
          <w:bCs/>
          <w:lang w:val="cs-CZ"/>
        </w:rPr>
        <w:t>Zůstavitel pořídil závěť, do které zařadil i prohlášení o vydědění svého syna. Toto své vydědění nijak neodůvodnil. Vyděděný syn namítá, že k platnému vydědění může dojít pouze z určitého (zákonem stanoveného) důvodu, a jestliže zůstavitel tento důvod neuvedl, je vydědění neplatné.</w:t>
      </w:r>
      <w:r w:rsidR="00390187">
        <w:rPr>
          <w:bCs/>
          <w:lang w:val="cs-CZ"/>
        </w:rPr>
        <w:t xml:space="preserve"> Proveďte právní rozbor.</w:t>
      </w:r>
      <w:bookmarkStart w:id="1" w:name="_Hlk1813991"/>
    </w:p>
    <w:p w:rsidR="00565C9E" w:rsidRDefault="00565C9E" w:rsidP="00390187">
      <w:pPr>
        <w:widowControl/>
        <w:jc w:val="both"/>
        <w:rPr>
          <w:bCs/>
          <w:lang w:val="cs-CZ"/>
        </w:rPr>
      </w:pPr>
    </w:p>
    <w:p w:rsidR="00636B7D" w:rsidRDefault="00636B7D" w:rsidP="00565C9E">
      <w:pPr>
        <w:widowControl/>
        <w:jc w:val="both"/>
        <w:rPr>
          <w:lang w:val="cs-CZ"/>
        </w:rPr>
      </w:pPr>
      <w:r>
        <w:rPr>
          <w:lang w:val="cs-CZ"/>
        </w:rPr>
        <w:t>8</w:t>
      </w:r>
      <w:r w:rsidR="00565C9E" w:rsidRPr="00F90B11">
        <w:rPr>
          <w:lang w:val="cs-CZ"/>
        </w:rPr>
        <w:t>) Otec Ratmír sepsal závěť, ve které povolal jako dědice k celé pozůstalosti pouze jednoho ze dvou synů, Davida</w:t>
      </w:r>
      <w:r w:rsidR="00D6785E">
        <w:rPr>
          <w:lang w:val="cs-CZ"/>
        </w:rPr>
        <w:t xml:space="preserve"> (51)</w:t>
      </w:r>
      <w:r w:rsidR="00565C9E" w:rsidRPr="00F90B11">
        <w:rPr>
          <w:lang w:val="cs-CZ"/>
        </w:rPr>
        <w:t>, pravomocně odsouzeného za korupci a manipulaci s veřejnými zakázkami. Druhý z</w:t>
      </w:r>
      <w:r w:rsidR="00565C9E">
        <w:rPr>
          <w:lang w:val="cs-CZ"/>
        </w:rPr>
        <w:t> </w:t>
      </w:r>
      <w:r w:rsidR="00565C9E" w:rsidRPr="00F90B11">
        <w:rPr>
          <w:lang w:val="cs-CZ"/>
        </w:rPr>
        <w:t>bratrů, Marek</w:t>
      </w:r>
      <w:r w:rsidR="00D6785E">
        <w:rPr>
          <w:lang w:val="cs-CZ"/>
        </w:rPr>
        <w:t xml:space="preserve"> (52)</w:t>
      </w:r>
      <w:r w:rsidR="00565C9E" w:rsidRPr="00F90B11">
        <w:rPr>
          <w:lang w:val="cs-CZ"/>
        </w:rPr>
        <w:t>, s tímto podělením nesouhlasí, neboť se domnívá, že je nepominutelným dědicem. Zabývejte se otázkou, zda je Marek nepominutelným dědicem, případně otázkou, co mu z</w:t>
      </w:r>
      <w:r w:rsidR="00D6785E">
        <w:rPr>
          <w:lang w:val="cs-CZ"/>
        </w:rPr>
        <w:t> </w:t>
      </w:r>
      <w:r w:rsidR="00565C9E" w:rsidRPr="00F90B11">
        <w:rPr>
          <w:lang w:val="cs-CZ"/>
        </w:rPr>
        <w:t>tohoto titulu náleží, jakož i otázkou, zda David může po otci dědit, když byl pravomocně odsouzený?</w:t>
      </w:r>
    </w:p>
    <w:p w:rsidR="00636B7D" w:rsidRDefault="00636B7D" w:rsidP="00565C9E">
      <w:pPr>
        <w:widowControl/>
        <w:jc w:val="both"/>
        <w:rPr>
          <w:lang w:val="cs-CZ"/>
        </w:rPr>
      </w:pPr>
    </w:p>
    <w:p w:rsidR="00636B7D" w:rsidRPr="00873251" w:rsidRDefault="00636B7D" w:rsidP="00636B7D">
      <w:pPr>
        <w:widowControl/>
        <w:jc w:val="both"/>
        <w:rPr>
          <w:lang w:val="cs-CZ"/>
        </w:rPr>
      </w:pPr>
      <w:r>
        <w:rPr>
          <w:lang w:val="cs-CZ"/>
        </w:rPr>
        <w:t>9</w:t>
      </w:r>
      <w:r w:rsidRPr="00873251">
        <w:rPr>
          <w:lang w:val="cs-CZ"/>
        </w:rPr>
        <w:t xml:space="preserve">) </w:t>
      </w:r>
      <w:r>
        <w:rPr>
          <w:lang w:val="cs-CZ"/>
        </w:rPr>
        <w:t>P</w:t>
      </w:r>
      <w:r w:rsidRPr="00873251">
        <w:rPr>
          <w:lang w:val="cs-CZ"/>
        </w:rPr>
        <w:t>osuďte</w:t>
      </w:r>
      <w:r>
        <w:rPr>
          <w:lang w:val="cs-CZ"/>
        </w:rPr>
        <w:t xml:space="preserve"> platnost rukopisné závěti</w:t>
      </w:r>
      <w:r w:rsidRPr="00873251">
        <w:rPr>
          <w:lang w:val="cs-CZ"/>
        </w:rPr>
        <w:t>,</w:t>
      </w:r>
      <w:r>
        <w:rPr>
          <w:lang w:val="cs-CZ"/>
        </w:rPr>
        <w:t xml:space="preserve"> kterou matka ustanovuje dědicem k celé pozůstalosti svého syna,</w:t>
      </w:r>
      <w:r w:rsidRPr="00873251">
        <w:rPr>
          <w:lang w:val="cs-CZ"/>
        </w:rPr>
        <w:t xml:space="preserve"> když namísto jména a příjmení zůstavitelky ukončují závěť </w:t>
      </w:r>
      <w:r>
        <w:rPr>
          <w:lang w:val="cs-CZ"/>
        </w:rPr>
        <w:t xml:space="preserve">pouze </w:t>
      </w:r>
      <w:r w:rsidRPr="00873251">
        <w:rPr>
          <w:lang w:val="cs-CZ"/>
        </w:rPr>
        <w:t>slova “tvá matka”.</w:t>
      </w:r>
    </w:p>
    <w:p w:rsidR="00565C9E" w:rsidRPr="00F90B11" w:rsidRDefault="00565C9E" w:rsidP="00565C9E">
      <w:pPr>
        <w:widowControl/>
        <w:jc w:val="both"/>
        <w:rPr>
          <w:lang w:val="cs-CZ"/>
        </w:rPr>
      </w:pPr>
    </w:p>
    <w:p w:rsidR="00565C9E" w:rsidRPr="00F90B11" w:rsidRDefault="00050D60" w:rsidP="00565C9E">
      <w:pPr>
        <w:widowControl/>
        <w:jc w:val="both"/>
        <w:rPr>
          <w:lang w:val="cs-CZ"/>
        </w:rPr>
      </w:pPr>
      <w:r>
        <w:rPr>
          <w:lang w:val="cs-CZ"/>
        </w:rPr>
        <w:t>10</w:t>
      </w:r>
      <w:r w:rsidR="00565C9E" w:rsidRPr="00F90B11">
        <w:rPr>
          <w:lang w:val="cs-CZ"/>
        </w:rPr>
        <w:t xml:space="preserve">) Rodiče zůstavitele byli zbaveni rodičovské odpovědnosti, neboť její výkon zneužívali (otec) a zanedbávali (matka). Zůstavitel na ně přesto myslel při svém pořízení pro případ smrti, když je povolal jako dědice k části pozůstalosti. Zabývejte se otázkou, zda mohou po synovi za těchto okolností dědit. </w:t>
      </w:r>
    </w:p>
    <w:p w:rsidR="008846ED" w:rsidRDefault="008846ED" w:rsidP="00873251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8846ED" w:rsidRDefault="008846ED" w:rsidP="00873251">
      <w:pPr>
        <w:widowControl/>
        <w:jc w:val="both"/>
        <w:rPr>
          <w:lang w:val="cs-CZ"/>
        </w:rPr>
      </w:pPr>
    </w:p>
    <w:p w:rsidR="008846ED" w:rsidRPr="00563079" w:rsidRDefault="008846ED" w:rsidP="008846ED">
      <w:pPr>
        <w:widowControl/>
        <w:jc w:val="right"/>
        <w:rPr>
          <w:sz w:val="56"/>
          <w:lang w:val="cs-CZ"/>
        </w:rPr>
      </w:pPr>
      <w:r w:rsidRPr="00563079">
        <w:rPr>
          <w:sz w:val="56"/>
          <w:lang w:val="cs-CZ"/>
        </w:rPr>
        <w:t>Doporučená literatura</w:t>
      </w:r>
    </w:p>
    <w:p w:rsidR="008846ED" w:rsidRDefault="008846ED" w:rsidP="008846ED">
      <w:pPr>
        <w:widowControl/>
        <w:jc w:val="right"/>
        <w:rPr>
          <w:b/>
          <w:lang w:val="cs-CZ"/>
        </w:rPr>
      </w:pPr>
    </w:p>
    <w:p w:rsidR="008846ED" w:rsidRPr="00900D47" w:rsidRDefault="00B80669" w:rsidP="00900D47">
      <w:pPr>
        <w:pStyle w:val="Odstavecseseznamem"/>
        <w:widowControl/>
        <w:numPr>
          <w:ilvl w:val="0"/>
          <w:numId w:val="1"/>
        </w:numPr>
        <w:jc w:val="both"/>
        <w:rPr>
          <w:lang w:val="cs-CZ"/>
        </w:rPr>
      </w:pPr>
      <w:r w:rsidRPr="00900D47">
        <w:rPr>
          <w:lang w:val="cs-CZ"/>
        </w:rPr>
        <w:t>Bylo otisknuto několik praktických příruček k dědickému právu podle nového občanského zákoníku (</w:t>
      </w:r>
      <w:r w:rsidR="00185B0A" w:rsidRPr="00900D47">
        <w:rPr>
          <w:lang w:val="cs-CZ"/>
        </w:rPr>
        <w:t xml:space="preserve">např. v </w:t>
      </w:r>
      <w:r w:rsidRPr="00900D47">
        <w:rPr>
          <w:lang w:val="cs-CZ"/>
        </w:rPr>
        <w:t>edic</w:t>
      </w:r>
      <w:r w:rsidR="00185B0A" w:rsidRPr="00900D47">
        <w:rPr>
          <w:lang w:val="cs-CZ"/>
        </w:rPr>
        <w:t>i</w:t>
      </w:r>
      <w:r w:rsidRPr="00900D47">
        <w:rPr>
          <w:lang w:val="cs-CZ"/>
        </w:rPr>
        <w:t xml:space="preserve"> Právní praxe od C. H. Beck</w:t>
      </w:r>
      <w:r w:rsidR="00185B0A" w:rsidRPr="00900D47">
        <w:rPr>
          <w:lang w:val="cs-CZ"/>
        </w:rPr>
        <w:t xml:space="preserve"> nebo</w:t>
      </w:r>
      <w:r w:rsidRPr="00900D47">
        <w:rPr>
          <w:lang w:val="cs-CZ"/>
        </w:rPr>
        <w:t xml:space="preserve"> </w:t>
      </w:r>
      <w:r w:rsidR="00185B0A" w:rsidRPr="00900D47">
        <w:rPr>
          <w:lang w:val="cs-CZ"/>
        </w:rPr>
        <w:t xml:space="preserve">v </w:t>
      </w:r>
      <w:r w:rsidRPr="00900D47">
        <w:rPr>
          <w:lang w:val="cs-CZ"/>
        </w:rPr>
        <w:t>edic</w:t>
      </w:r>
      <w:r w:rsidR="00185B0A" w:rsidRPr="00900D47">
        <w:rPr>
          <w:lang w:val="cs-CZ"/>
        </w:rPr>
        <w:t>i</w:t>
      </w:r>
      <w:r w:rsidRPr="00900D47">
        <w:rPr>
          <w:lang w:val="cs-CZ"/>
        </w:rPr>
        <w:t xml:space="preserve"> Beckova skripta od C. H. Beck</w:t>
      </w:r>
      <w:r w:rsidR="00185B0A" w:rsidRPr="00900D47">
        <w:rPr>
          <w:lang w:val="cs-CZ"/>
        </w:rPr>
        <w:t>).</w:t>
      </w:r>
      <w:bookmarkEnd w:id="1"/>
    </w:p>
    <w:p w:rsidR="00E7299B" w:rsidRDefault="00E7299B" w:rsidP="008846ED">
      <w:pPr>
        <w:widowControl/>
        <w:jc w:val="both"/>
        <w:rPr>
          <w:lang w:val="cs-CZ"/>
        </w:rPr>
      </w:pPr>
    </w:p>
    <w:p w:rsidR="00CD6D82" w:rsidRPr="00900D47" w:rsidRDefault="00CD6D82" w:rsidP="00900D47">
      <w:pPr>
        <w:pStyle w:val="Odstavecseseznamem"/>
        <w:widowControl/>
        <w:numPr>
          <w:ilvl w:val="0"/>
          <w:numId w:val="1"/>
        </w:numPr>
        <w:jc w:val="both"/>
        <w:rPr>
          <w:lang w:val="cs-CZ"/>
        </w:rPr>
      </w:pPr>
      <w:r w:rsidRPr="00900D47">
        <w:rPr>
          <w:lang w:val="cs-CZ"/>
        </w:rPr>
        <w:t xml:space="preserve">Brejlová, K., Holíková, L. Zamyšlení nad dědickým právem polorodých a plnorodých sourozenců. </w:t>
      </w:r>
      <w:r w:rsidRPr="00900D47">
        <w:rPr>
          <w:i/>
          <w:lang w:val="cs-CZ"/>
        </w:rPr>
        <w:t xml:space="preserve">Ad </w:t>
      </w:r>
      <w:proofErr w:type="spellStart"/>
      <w:r w:rsidRPr="00900D47">
        <w:rPr>
          <w:i/>
          <w:lang w:val="cs-CZ"/>
        </w:rPr>
        <w:t>Notam</w:t>
      </w:r>
      <w:proofErr w:type="spellEnd"/>
      <w:r w:rsidRPr="00900D47">
        <w:rPr>
          <w:i/>
          <w:lang w:val="cs-CZ"/>
        </w:rPr>
        <w:t>.</w:t>
      </w:r>
      <w:r w:rsidRPr="00900D47">
        <w:rPr>
          <w:lang w:val="cs-CZ"/>
        </w:rPr>
        <w:t xml:space="preserve"> 2018, č. 2, s. 15–18.</w:t>
      </w:r>
    </w:p>
    <w:p w:rsidR="00CD6D82" w:rsidRDefault="00CD6D82" w:rsidP="008846ED">
      <w:pPr>
        <w:widowControl/>
        <w:jc w:val="both"/>
        <w:rPr>
          <w:lang w:val="cs-CZ"/>
        </w:rPr>
      </w:pPr>
    </w:p>
    <w:p w:rsidR="00636B7D" w:rsidRDefault="00D15647" w:rsidP="00636B7D">
      <w:pPr>
        <w:pStyle w:val="Odstavecseseznamem"/>
        <w:widowControl/>
        <w:numPr>
          <w:ilvl w:val="0"/>
          <w:numId w:val="1"/>
        </w:numPr>
        <w:jc w:val="both"/>
        <w:rPr>
          <w:lang w:val="cs-CZ"/>
        </w:rPr>
      </w:pPr>
      <w:proofErr w:type="spellStart"/>
      <w:r w:rsidRPr="00900D47">
        <w:rPr>
          <w:lang w:val="cs-CZ"/>
        </w:rPr>
        <w:t>Cellar</w:t>
      </w:r>
      <w:proofErr w:type="spellEnd"/>
      <w:r w:rsidRPr="00900D47">
        <w:rPr>
          <w:lang w:val="cs-CZ"/>
        </w:rPr>
        <w:t xml:space="preserve">, M. Důsledky osvojení pro dědické právo. </w:t>
      </w:r>
      <w:r w:rsidRPr="00900D47">
        <w:rPr>
          <w:i/>
          <w:lang w:val="cs-CZ"/>
        </w:rPr>
        <w:t xml:space="preserve">Ad </w:t>
      </w:r>
      <w:proofErr w:type="spellStart"/>
      <w:r w:rsidRPr="00900D47">
        <w:rPr>
          <w:i/>
          <w:lang w:val="cs-CZ"/>
        </w:rPr>
        <w:t>Notam</w:t>
      </w:r>
      <w:proofErr w:type="spellEnd"/>
      <w:r w:rsidRPr="00900D47">
        <w:rPr>
          <w:i/>
          <w:lang w:val="cs-CZ"/>
        </w:rPr>
        <w:t>.</w:t>
      </w:r>
      <w:r w:rsidRPr="00900D47">
        <w:rPr>
          <w:lang w:val="cs-CZ"/>
        </w:rPr>
        <w:t xml:space="preserve"> 2015, č. 5, s. 7-9</w:t>
      </w:r>
      <w:r w:rsidR="00D8290A">
        <w:rPr>
          <w:lang w:val="cs-CZ"/>
        </w:rPr>
        <w:t>.</w:t>
      </w:r>
    </w:p>
    <w:p w:rsidR="00636B7D" w:rsidRPr="00636B7D" w:rsidRDefault="00636B7D" w:rsidP="00636B7D">
      <w:pPr>
        <w:pStyle w:val="Odstavecseseznamem"/>
        <w:rPr>
          <w:lang w:val="cs-CZ"/>
        </w:rPr>
      </w:pPr>
    </w:p>
    <w:p w:rsidR="00636B7D" w:rsidRPr="00636B7D" w:rsidRDefault="007276CE" w:rsidP="00636B7D">
      <w:pPr>
        <w:pStyle w:val="Odstavecseseznamem"/>
        <w:widowControl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U</w:t>
      </w:r>
      <w:r w:rsidRPr="007276CE">
        <w:rPr>
          <w:lang w:val="cs-CZ"/>
        </w:rPr>
        <w:t xml:space="preserve">snesení Nejvyššího soudu ze dne 27. 4. 2017, </w:t>
      </w:r>
      <w:proofErr w:type="spellStart"/>
      <w:r w:rsidRPr="007276CE">
        <w:rPr>
          <w:lang w:val="cs-CZ"/>
        </w:rPr>
        <w:t>sp</w:t>
      </w:r>
      <w:proofErr w:type="spellEnd"/>
      <w:r w:rsidRPr="007276CE">
        <w:rPr>
          <w:lang w:val="cs-CZ"/>
        </w:rPr>
        <w:t>. zn. 25 Cdo 3556/2016</w:t>
      </w:r>
      <w:r>
        <w:rPr>
          <w:lang w:val="cs-CZ"/>
        </w:rPr>
        <w:t>.</w:t>
      </w:r>
    </w:p>
    <w:p w:rsidR="008C4FA7" w:rsidRDefault="008C4FA7" w:rsidP="00D15647">
      <w:pPr>
        <w:widowControl/>
        <w:jc w:val="both"/>
        <w:rPr>
          <w:lang w:val="cs-CZ"/>
        </w:rPr>
      </w:pPr>
    </w:p>
    <w:sectPr w:rsidR="008C4FA7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23ECE"/>
    <w:multiLevelType w:val="hybridMultilevel"/>
    <w:tmpl w:val="65B692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33"/>
    <w:rsid w:val="00001EC3"/>
    <w:rsid w:val="000127C2"/>
    <w:rsid w:val="00020D83"/>
    <w:rsid w:val="00033909"/>
    <w:rsid w:val="00035223"/>
    <w:rsid w:val="00041B89"/>
    <w:rsid w:val="000474B4"/>
    <w:rsid w:val="00050D60"/>
    <w:rsid w:val="00077470"/>
    <w:rsid w:val="00077933"/>
    <w:rsid w:val="00086FF6"/>
    <w:rsid w:val="00095934"/>
    <w:rsid w:val="000E28EF"/>
    <w:rsid w:val="000F1A90"/>
    <w:rsid w:val="000F4234"/>
    <w:rsid w:val="00110EE1"/>
    <w:rsid w:val="001163DC"/>
    <w:rsid w:val="001271EF"/>
    <w:rsid w:val="00146525"/>
    <w:rsid w:val="00174E0B"/>
    <w:rsid w:val="00185B0A"/>
    <w:rsid w:val="00192F9F"/>
    <w:rsid w:val="001B28C5"/>
    <w:rsid w:val="001D7938"/>
    <w:rsid w:val="001F737D"/>
    <w:rsid w:val="00200EF6"/>
    <w:rsid w:val="0020165D"/>
    <w:rsid w:val="00212642"/>
    <w:rsid w:val="00222A87"/>
    <w:rsid w:val="00253A2E"/>
    <w:rsid w:val="002743CE"/>
    <w:rsid w:val="00274A8F"/>
    <w:rsid w:val="002758C0"/>
    <w:rsid w:val="002835F4"/>
    <w:rsid w:val="00287AD5"/>
    <w:rsid w:val="002D5E7D"/>
    <w:rsid w:val="002E50BA"/>
    <w:rsid w:val="003126CC"/>
    <w:rsid w:val="00316225"/>
    <w:rsid w:val="00320883"/>
    <w:rsid w:val="003425ED"/>
    <w:rsid w:val="003505E4"/>
    <w:rsid w:val="00370FCB"/>
    <w:rsid w:val="00371B93"/>
    <w:rsid w:val="0038549D"/>
    <w:rsid w:val="00390187"/>
    <w:rsid w:val="003A2CAB"/>
    <w:rsid w:val="003A38E4"/>
    <w:rsid w:val="003B09B3"/>
    <w:rsid w:val="003C72BB"/>
    <w:rsid w:val="003F5F6E"/>
    <w:rsid w:val="00434265"/>
    <w:rsid w:val="00455880"/>
    <w:rsid w:val="00480423"/>
    <w:rsid w:val="0048384B"/>
    <w:rsid w:val="004B1A2F"/>
    <w:rsid w:val="004E6608"/>
    <w:rsid w:val="004F0E1B"/>
    <w:rsid w:val="0052324E"/>
    <w:rsid w:val="00527B01"/>
    <w:rsid w:val="00543AE5"/>
    <w:rsid w:val="00563079"/>
    <w:rsid w:val="00565C9E"/>
    <w:rsid w:val="006353AA"/>
    <w:rsid w:val="00636B7D"/>
    <w:rsid w:val="00645552"/>
    <w:rsid w:val="006525A4"/>
    <w:rsid w:val="00665BC1"/>
    <w:rsid w:val="00666948"/>
    <w:rsid w:val="006725D6"/>
    <w:rsid w:val="00684486"/>
    <w:rsid w:val="00687D07"/>
    <w:rsid w:val="006938ED"/>
    <w:rsid w:val="006B08E3"/>
    <w:rsid w:val="006C3B62"/>
    <w:rsid w:val="006E1125"/>
    <w:rsid w:val="00721732"/>
    <w:rsid w:val="00726664"/>
    <w:rsid w:val="007276CE"/>
    <w:rsid w:val="007528E9"/>
    <w:rsid w:val="007A4B5B"/>
    <w:rsid w:val="007B1AB9"/>
    <w:rsid w:val="007C6D8A"/>
    <w:rsid w:val="007D0BB3"/>
    <w:rsid w:val="007F7F16"/>
    <w:rsid w:val="008021A4"/>
    <w:rsid w:val="00804A22"/>
    <w:rsid w:val="00807FCC"/>
    <w:rsid w:val="00814C48"/>
    <w:rsid w:val="008344AB"/>
    <w:rsid w:val="00857061"/>
    <w:rsid w:val="00873251"/>
    <w:rsid w:val="008846ED"/>
    <w:rsid w:val="00887722"/>
    <w:rsid w:val="00891F50"/>
    <w:rsid w:val="008948E4"/>
    <w:rsid w:val="008B0C6C"/>
    <w:rsid w:val="008C0450"/>
    <w:rsid w:val="008C2B22"/>
    <w:rsid w:val="008C4F14"/>
    <w:rsid w:val="008C4FA7"/>
    <w:rsid w:val="008C783D"/>
    <w:rsid w:val="008E3087"/>
    <w:rsid w:val="008E527E"/>
    <w:rsid w:val="00900D47"/>
    <w:rsid w:val="00902501"/>
    <w:rsid w:val="009466BA"/>
    <w:rsid w:val="009545D1"/>
    <w:rsid w:val="009737EB"/>
    <w:rsid w:val="0099441B"/>
    <w:rsid w:val="00996313"/>
    <w:rsid w:val="009A713A"/>
    <w:rsid w:val="009B7625"/>
    <w:rsid w:val="009D2E32"/>
    <w:rsid w:val="009E5D49"/>
    <w:rsid w:val="009F2754"/>
    <w:rsid w:val="009F61C5"/>
    <w:rsid w:val="00A015D8"/>
    <w:rsid w:val="00A019F7"/>
    <w:rsid w:val="00A13858"/>
    <w:rsid w:val="00A608DE"/>
    <w:rsid w:val="00AA1B9B"/>
    <w:rsid w:val="00AC79E1"/>
    <w:rsid w:val="00AC7BDC"/>
    <w:rsid w:val="00AD6676"/>
    <w:rsid w:val="00AE37F5"/>
    <w:rsid w:val="00AF5F66"/>
    <w:rsid w:val="00AF6EB2"/>
    <w:rsid w:val="00B0566E"/>
    <w:rsid w:val="00B176ED"/>
    <w:rsid w:val="00B257ED"/>
    <w:rsid w:val="00B776A2"/>
    <w:rsid w:val="00B80669"/>
    <w:rsid w:val="00B84E54"/>
    <w:rsid w:val="00B93BCD"/>
    <w:rsid w:val="00BA7C12"/>
    <w:rsid w:val="00BB0F0F"/>
    <w:rsid w:val="00BB1E07"/>
    <w:rsid w:val="00BC4A6E"/>
    <w:rsid w:val="00BD1457"/>
    <w:rsid w:val="00BD38DC"/>
    <w:rsid w:val="00BD520C"/>
    <w:rsid w:val="00BD6959"/>
    <w:rsid w:val="00BE3A15"/>
    <w:rsid w:val="00BF117F"/>
    <w:rsid w:val="00BF3009"/>
    <w:rsid w:val="00BF606D"/>
    <w:rsid w:val="00BF7DF5"/>
    <w:rsid w:val="00C21D3E"/>
    <w:rsid w:val="00C21F26"/>
    <w:rsid w:val="00C45006"/>
    <w:rsid w:val="00C47C48"/>
    <w:rsid w:val="00C72CAA"/>
    <w:rsid w:val="00C90CFC"/>
    <w:rsid w:val="00C958A7"/>
    <w:rsid w:val="00C97723"/>
    <w:rsid w:val="00CA1AFE"/>
    <w:rsid w:val="00CC238B"/>
    <w:rsid w:val="00CC4459"/>
    <w:rsid w:val="00CC5B5C"/>
    <w:rsid w:val="00CC7CC1"/>
    <w:rsid w:val="00CD225F"/>
    <w:rsid w:val="00CD6D82"/>
    <w:rsid w:val="00D1444D"/>
    <w:rsid w:val="00D15647"/>
    <w:rsid w:val="00D17069"/>
    <w:rsid w:val="00D31747"/>
    <w:rsid w:val="00D32D4D"/>
    <w:rsid w:val="00D63078"/>
    <w:rsid w:val="00D65D59"/>
    <w:rsid w:val="00D6785E"/>
    <w:rsid w:val="00D81EEB"/>
    <w:rsid w:val="00D8290A"/>
    <w:rsid w:val="00DB4056"/>
    <w:rsid w:val="00DC3157"/>
    <w:rsid w:val="00DD0E22"/>
    <w:rsid w:val="00DD2155"/>
    <w:rsid w:val="00DF7E03"/>
    <w:rsid w:val="00E112B0"/>
    <w:rsid w:val="00E1180A"/>
    <w:rsid w:val="00E3470F"/>
    <w:rsid w:val="00E403FA"/>
    <w:rsid w:val="00E7299B"/>
    <w:rsid w:val="00ED0D58"/>
    <w:rsid w:val="00F31A31"/>
    <w:rsid w:val="00F33C16"/>
    <w:rsid w:val="00F43870"/>
    <w:rsid w:val="00F52D7E"/>
    <w:rsid w:val="00F57AC7"/>
    <w:rsid w:val="00F6435F"/>
    <w:rsid w:val="00F742C3"/>
    <w:rsid w:val="00F90B11"/>
    <w:rsid w:val="00F967CA"/>
    <w:rsid w:val="00FC2364"/>
    <w:rsid w:val="00FD442E"/>
    <w:rsid w:val="00FD5EE3"/>
    <w:rsid w:val="00FF19CA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AD9F"/>
  <w15:docId w15:val="{B989C469-DAC4-4337-AC4E-C1631568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291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715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Dobeš</dc:creator>
  <cp:lastModifiedBy>Matěj Dobeš</cp:lastModifiedBy>
  <cp:revision>64</cp:revision>
  <dcterms:created xsi:type="dcterms:W3CDTF">2019-02-19T22:23:00Z</dcterms:created>
  <dcterms:modified xsi:type="dcterms:W3CDTF">2019-02-24T16:06:00Z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