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50" w:rsidRDefault="00FF3B50" w:rsidP="00A063EF">
      <w:pPr>
        <w:pStyle w:val="Title"/>
        <w:jc w:val="left"/>
        <w:rPr>
          <w:lang w:val="cs-CZ"/>
        </w:rPr>
      </w:pPr>
      <w:r>
        <w:rPr>
          <w:lang w:val="cs-CZ"/>
        </w:rPr>
        <w:t>Účastníci řízení a jejich zastoupení</w:t>
      </w:r>
    </w:p>
    <w:p w:rsidR="00FF3B50" w:rsidRDefault="00FF3B50" w:rsidP="00A063EF">
      <w:pPr>
        <w:pStyle w:val="Subtitle"/>
        <w:rPr>
          <w:lang w:val="cs-CZ"/>
        </w:rPr>
      </w:pPr>
      <w:r>
        <w:rPr>
          <w:lang w:val="cs-CZ"/>
        </w:rPr>
        <w:t>Příklady na seminář z civilního práva procesního</w:t>
      </w:r>
    </w:p>
    <w:p w:rsidR="00FF3B50" w:rsidRPr="00E705BC" w:rsidRDefault="00FF3B50" w:rsidP="00E705BC">
      <w:pPr>
        <w:rPr>
          <w:lang w:val="cs-CZ"/>
        </w:rPr>
      </w:pPr>
      <w:r>
        <w:rPr>
          <w:lang w:val="cs-CZ"/>
        </w:rPr>
        <w:t>Sudý týden</w:t>
      </w:r>
    </w:p>
    <w:p w:rsidR="00FF3B50" w:rsidRPr="00A063EF" w:rsidRDefault="00FF3B50" w:rsidP="00A063EF">
      <w:pPr>
        <w:rPr>
          <w:lang w:val="cs-CZ"/>
        </w:rPr>
      </w:pPr>
    </w:p>
    <w:p w:rsidR="00FF3B50" w:rsidRPr="008C4919" w:rsidRDefault="00FF3B50" w:rsidP="00BA3592">
      <w:pPr>
        <w:pStyle w:val="ListParagraph"/>
        <w:numPr>
          <w:ilvl w:val="0"/>
          <w:numId w:val="4"/>
        </w:numPr>
        <w:rPr>
          <w:lang w:val="cs-CZ"/>
        </w:rPr>
      </w:pPr>
      <w:r w:rsidRPr="00BA3592">
        <w:rPr>
          <w:lang w:val="cs-CZ"/>
        </w:rPr>
        <w:t xml:space="preserve">Žalující finanční úřad se dle § </w:t>
      </w:r>
      <w:r>
        <w:rPr>
          <w:lang w:val="cs-CZ"/>
        </w:rPr>
        <w:t>589 OZ</w:t>
      </w:r>
      <w:r w:rsidRPr="00BA3592">
        <w:rPr>
          <w:lang w:val="cs-CZ"/>
        </w:rPr>
        <w:t xml:space="preserve"> domáhal, aby bylo určeno, že dohoda o vypořádání SJM je vůči němu neúčinná, neboť podle ní připadl veškerý nemovitý majetek </w:t>
      </w:r>
      <w:r>
        <w:rPr>
          <w:lang w:val="cs-CZ"/>
        </w:rPr>
        <w:t xml:space="preserve">žalovaného </w:t>
      </w:r>
      <w:r w:rsidRPr="00BA3592">
        <w:rPr>
          <w:lang w:val="cs-CZ"/>
        </w:rPr>
        <w:t>rozvedené manželce, zatímco bývalý manžel, který dlužil značné částky na dani z příjmu, žádné nemovitosti neobdržel; tím se dle žalobce evidentně zbavil vlastnictví k cenným nemovitostem, z nichž by se žalobce mohl ohledně dluhu uspokojit. Žalovaná namítla, že finanční úřad nemá hmotněprávní subjektivitu, a proto nemá ani způsobilost být účastníkem řízení</w:t>
      </w:r>
      <w:r>
        <w:rPr>
          <w:lang w:val="cs-CZ"/>
        </w:rPr>
        <w:t>. Je tato námitka důvodná?</w:t>
      </w:r>
    </w:p>
    <w:p w:rsidR="00FF3B50" w:rsidRPr="008C4919" w:rsidRDefault="00FF3B50" w:rsidP="006E64E9">
      <w:pPr>
        <w:pStyle w:val="ListParagraph"/>
        <w:numPr>
          <w:ilvl w:val="0"/>
          <w:numId w:val="4"/>
        </w:numPr>
        <w:rPr>
          <w:lang w:val="cs-CZ"/>
        </w:rPr>
      </w:pPr>
      <w:r w:rsidRPr="008C4919">
        <w:rPr>
          <w:lang w:val="cs-CZ"/>
        </w:rPr>
        <w:t xml:space="preserve">Pavla Polníčková se žalobou podanou proti Právnické fakultě Masarykovy univerzity domáhala určení, že skončení jejího pracovního poměru uklízečky výpovědí pro nadbytečnost podle § 52 zákoníku práce je neplatné. </w:t>
      </w:r>
      <w:r>
        <w:rPr>
          <w:lang w:val="cs-CZ"/>
        </w:rPr>
        <w:t>Městský soud v Brně žalobě vyhověl; za důvodnou nepovažoval mj. argumentaci žalované poukazující na nedostatek způsobilosti být účastníkem řízení. Zvažte, zda projednání věci skutečně bránil nedostatek této procesní podmínky, a pokud ano, jak si měl počínat soud I. stupně.</w:t>
      </w:r>
    </w:p>
    <w:p w:rsidR="00FF3B50" w:rsidRDefault="00FF3B50" w:rsidP="0037658B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Šestnáctiletý Matěj Kuba si ze svých úspor zakoupil v obchodě novou koloběžku. Po týdenním používání se však koloběžce polámalo zadní kolečko. Vzhledem k tomu, že s reklamací u prodejce Matěj Kuba neuspěl, uplatnil nárok z odpovědnosti za vady žalobou u soudu. Soud I. stupně však řízení zastavil z toho důvodu, že žalobce nemá procesní způsobilost, tj. je pro nedostatek procesní podmínky bránící projednání a rozhodnutí ve věci samé. Zvažte, zda je závěr a postup soudu I. stupně správný.</w:t>
      </w:r>
    </w:p>
    <w:p w:rsidR="00FF3B50" w:rsidRPr="00A063EF" w:rsidRDefault="00FF3B50" w:rsidP="0037658B">
      <w:pPr>
        <w:pStyle w:val="ListParagraph"/>
        <w:ind w:left="360"/>
        <w:rPr>
          <w:lang w:val="cs-CZ"/>
        </w:rPr>
      </w:pPr>
    </w:p>
    <w:p w:rsidR="00FF3B50" w:rsidRDefault="00FF3B50" w:rsidP="009059E5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Pavel Hora podal podle § 620 odst. 1 ZOK ke krajskému soudu návrh, aby bylo za neplatné prohlášeno rozhodnutí družstva, kterým byli on a jeho manželka Žaneta – coby společní členové – vyloučeni</w:t>
      </w:r>
      <w:r w:rsidRPr="009059E5">
        <w:rPr>
          <w:lang w:val="cs-CZ"/>
        </w:rPr>
        <w:t xml:space="preserve"> z</w:t>
      </w:r>
      <w:r>
        <w:rPr>
          <w:lang w:val="cs-CZ"/>
        </w:rPr>
        <w:t> </w:t>
      </w:r>
      <w:r w:rsidRPr="009059E5">
        <w:rPr>
          <w:lang w:val="cs-CZ"/>
        </w:rPr>
        <w:t>družstva</w:t>
      </w:r>
      <w:r>
        <w:rPr>
          <w:lang w:val="cs-CZ"/>
        </w:rPr>
        <w:t xml:space="preserve"> dle § 734 odst. 1 písm. a) ZOK. V návrhu však družstvo za účastníka řízení neoznačil. Jak za této situace bude postupovat krajský soud?</w:t>
      </w:r>
    </w:p>
    <w:p w:rsidR="00FF3B50" w:rsidRPr="001671FC" w:rsidRDefault="00FF3B50" w:rsidP="006E64E9">
      <w:pPr>
        <w:pStyle w:val="ListParagraph"/>
        <w:numPr>
          <w:ilvl w:val="0"/>
          <w:numId w:val="4"/>
        </w:numPr>
        <w:rPr>
          <w:lang w:val="cs-CZ"/>
        </w:rPr>
      </w:pPr>
      <w:r>
        <w:rPr>
          <w:lang w:val="cs-CZ"/>
        </w:rPr>
        <w:t>Soud I. stupně uložil žalovaným, aby rukou společnou a nerozdílnou zaplatili žalobci částku 17 500 Kč, kterou mu dlužili ze smlouvy o zápůjčce. Proti tomuto rozsudku se odvolal jenom jeden ze žalovaných, druhý nikoliv. Odvolací soud odvolání odmítl jako nepřípustné, neboť žalovaní jsou nerozlučnými společníky, a odvolání by proto bylo přípustné pouze tehdy, pokud by jej podali oba dva (§ 91 odst. 1 OSŘ per analogiam). Posuďte, zda je rozhodnutí odvolacího soudu správné.</w:t>
      </w:r>
    </w:p>
    <w:p w:rsidR="00FF3B50" w:rsidRDefault="00FF3B50" w:rsidP="007B13D3">
      <w:pPr>
        <w:pStyle w:val="ListParagraph"/>
        <w:numPr>
          <w:ilvl w:val="0"/>
          <w:numId w:val="4"/>
        </w:numPr>
        <w:rPr>
          <w:lang w:val="cs-CZ"/>
        </w:rPr>
      </w:pPr>
      <w:r w:rsidRPr="007B13D3">
        <w:rPr>
          <w:lang w:val="cs-CZ"/>
        </w:rPr>
        <w:t xml:space="preserve">Žalobce se domáhal, aby soud uložil žalovanému povinnost uhradit určitou částku jako přiměřené zadostiučinění za poškození dobré pověsti. K tomu mělo dojít tak, že bulvární deník, u jehož vydavatele je žalovaný zaměstnán, vydal článek, sepsaný žalovaným novinářem, obsahující podle žalobce nepravdivé a pomlouvačné údaje. </w:t>
      </w:r>
      <w:r>
        <w:rPr>
          <w:lang w:val="cs-CZ"/>
        </w:rPr>
        <w:t xml:space="preserve">Soud I. stupně žalobu zamítl, neboť </w:t>
      </w:r>
      <w:r w:rsidRPr="007B13D3">
        <w:rPr>
          <w:lang w:val="cs-CZ"/>
        </w:rPr>
        <w:t>dospěl k závěru, že odpovědnost za zásah do dobré pověsti nenese žalovaný, ale vydavatel deníku.</w:t>
      </w:r>
      <w:r>
        <w:rPr>
          <w:lang w:val="cs-CZ"/>
        </w:rPr>
        <w:t xml:space="preserve"> Žalobce v odvolání namítá, že soudu I. stupně nic nebránilo v tom, aby vydavatele deníku jako účastníka sám do řízení přibral, popř. aby o tom žalobce alespoň poučil. Zvažte, zda jsou tyto odvolací námitky důvodné.</w:t>
      </w:r>
    </w:p>
    <w:p w:rsidR="00FF3B50" w:rsidRDefault="00FF3B50" w:rsidP="000C5DE0">
      <w:pPr>
        <w:pStyle w:val="ListParagraph"/>
        <w:numPr>
          <w:ilvl w:val="0"/>
          <w:numId w:val="4"/>
        </w:numPr>
        <w:rPr>
          <w:lang w:val="cs-CZ"/>
        </w:rPr>
      </w:pPr>
      <w:r w:rsidRPr="000C5DE0">
        <w:rPr>
          <w:lang w:val="cs-CZ"/>
        </w:rPr>
        <w:t>Okresní soud ustanovil žalovanému, jenž byl neznámého pobytu, opatrovníka podle § 29 odst. 3 OSŘ. Proti tomuto usnesení se odvolal žalobce a namítal, že účastníkům neznámého pobytu opatrovník ustanovován být nemá, neboť podle § 46b písm. a) a § 49 OSŘ jim lze doručovat fikcí na adresu pro doručování; OSŘ již pro účinnost doručení nepožaduje, aby se adresát v místě doručení zdržoval (v</w:t>
      </w:r>
      <w:r>
        <w:rPr>
          <w:lang w:val="cs-CZ"/>
        </w:rPr>
        <w:t>iz § 50d OSŘ). Zvažte, zda soud I. stupně postupoval správně, když žalovanému ustanovil opatrovníka</w:t>
      </w:r>
      <w:bookmarkStart w:id="0" w:name="_GoBack"/>
      <w:bookmarkEnd w:id="0"/>
      <w:r>
        <w:rPr>
          <w:lang w:val="cs-CZ"/>
        </w:rPr>
        <w:t>.</w:t>
      </w:r>
    </w:p>
    <w:p w:rsidR="00FF3B50" w:rsidRDefault="00FF3B50" w:rsidP="006E64E9">
      <w:pPr>
        <w:pStyle w:val="ListParagraph"/>
        <w:ind w:left="0"/>
        <w:rPr>
          <w:lang w:val="cs-CZ"/>
        </w:rPr>
      </w:pPr>
    </w:p>
    <w:p w:rsidR="00FF3B50" w:rsidRDefault="00FF3B50" w:rsidP="006E64E9">
      <w:pPr>
        <w:pStyle w:val="ListParagraph"/>
        <w:rPr>
          <w:lang w:val="cs-CZ"/>
        </w:rPr>
      </w:pPr>
    </w:p>
    <w:p w:rsidR="00FF3B50" w:rsidRDefault="00FF3B50" w:rsidP="006E64E9">
      <w:pPr>
        <w:pStyle w:val="ListParagraph"/>
        <w:rPr>
          <w:lang w:val="cs-CZ"/>
        </w:rPr>
      </w:pPr>
    </w:p>
    <w:p w:rsidR="00FF3B50" w:rsidRDefault="00FF3B50" w:rsidP="006E64E9">
      <w:pPr>
        <w:pStyle w:val="ListParagraph"/>
        <w:rPr>
          <w:lang w:val="cs-CZ"/>
        </w:rPr>
      </w:pPr>
    </w:p>
    <w:p w:rsidR="00FF3B50" w:rsidRDefault="00FF3B50" w:rsidP="006E64E9">
      <w:pPr>
        <w:pStyle w:val="ListParagraph"/>
        <w:rPr>
          <w:lang w:val="cs-CZ"/>
        </w:rPr>
      </w:pPr>
    </w:p>
    <w:p w:rsidR="00FF3B50" w:rsidRDefault="00FF3B50" w:rsidP="006E64E9">
      <w:pPr>
        <w:pStyle w:val="ListParagraph"/>
        <w:rPr>
          <w:lang w:val="cs-CZ"/>
        </w:rPr>
      </w:pPr>
    </w:p>
    <w:p w:rsidR="00FF3B50" w:rsidRDefault="00FF3B50" w:rsidP="006E64E9">
      <w:pPr>
        <w:pStyle w:val="ListParagraph"/>
        <w:rPr>
          <w:lang w:val="cs-CZ"/>
        </w:rPr>
      </w:pPr>
    </w:p>
    <w:p w:rsidR="00FF3B50" w:rsidRDefault="00FF3B50" w:rsidP="006E64E9">
      <w:pPr>
        <w:pStyle w:val="ListParagraph"/>
        <w:rPr>
          <w:lang w:val="cs-CZ"/>
        </w:rPr>
      </w:pPr>
    </w:p>
    <w:p w:rsidR="00FF3B50" w:rsidRDefault="00FF3B50" w:rsidP="006E64E9">
      <w:pPr>
        <w:pStyle w:val="ListParagraph"/>
        <w:rPr>
          <w:lang w:val="cs-CZ"/>
        </w:rPr>
      </w:pPr>
      <w:r>
        <w:rPr>
          <w:noProof/>
          <w:lang w:val="cs-CZ" w:eastAsia="cs-CZ"/>
        </w:rPr>
        <w:pict>
          <v:roundrect id="Automatický obrazec 2" o:spid="_x0000_s1032" style="position:absolute;left:0;text-align:left;margin-left:75.3pt;margin-top:95.7pt;width:318.9pt;height:451.45pt;rotation:90;z-index:251658240;visibility:visible;mso-wrap-distance-left:10.8pt;mso-wrap-distance-top:7.2pt;mso-wrap-distance-right:10.8pt;mso-wrap-distance-bottom:7.2pt;mso-position-horizontal-relative:margin;mso-position-vertical-relative:margin;v-text-anchor:middle" arcsize="8541f" fillcolor="#002060" stroked="f">
            <v:shadow on="t" color="black" opacity="20971f" offset="0,2.2pt"/>
            <v:textbox>
              <w:txbxContent>
                <w:p w:rsidR="00FF3B50" w:rsidRPr="00406646" w:rsidRDefault="00FF3B50" w:rsidP="00A15C20">
                  <w:pPr>
                    <w:jc w:val="center"/>
                    <w:rPr>
                      <w:b/>
                      <w:i/>
                      <w:iCs/>
                      <w:color w:val="27CED7"/>
                      <w:sz w:val="28"/>
                      <w:szCs w:val="28"/>
                      <w:u w:val="single"/>
                      <w:lang w:val="cs-CZ"/>
                    </w:rPr>
                  </w:pPr>
                  <w:r w:rsidRPr="00406646">
                    <w:rPr>
                      <w:b/>
                      <w:i/>
                      <w:iCs/>
                      <w:color w:val="27CED7"/>
                      <w:sz w:val="28"/>
                      <w:szCs w:val="28"/>
                      <w:u w:val="single"/>
                      <w:lang w:val="cs-CZ"/>
                    </w:rPr>
                    <w:t>Poznámka ke zpracování:</w:t>
                  </w:r>
                </w:p>
                <w:p w:rsidR="00FF3B50" w:rsidRPr="00406646" w:rsidRDefault="00FF3B50" w:rsidP="00A15C20">
                  <w:pPr>
                    <w:rPr>
                      <w:b/>
                      <w:i/>
                      <w:iCs/>
                      <w:color w:val="27CED7"/>
                      <w:sz w:val="28"/>
                      <w:szCs w:val="28"/>
                      <w:lang w:val="cs-CZ"/>
                    </w:rPr>
                  </w:pPr>
                  <w:r w:rsidRPr="00406646">
                    <w:rPr>
                      <w:b/>
                      <w:i/>
                      <w:iCs/>
                      <w:color w:val="27CED7"/>
                      <w:sz w:val="28"/>
                      <w:szCs w:val="28"/>
                      <w:lang w:val="cs-CZ"/>
                    </w:rPr>
                    <w:t>Odpověď na každou otázku [tj. jak pod písmenem a), tak pod písmenem b) u všech tří příkladů] strukturujte do tří částí, označených pomocí římských číslic:</w:t>
                  </w:r>
                </w:p>
                <w:p w:rsidR="00FF3B50" w:rsidRPr="00406646" w:rsidRDefault="00FF3B50" w:rsidP="00A15C20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i/>
                      <w:iCs/>
                      <w:color w:val="27CED7"/>
                      <w:sz w:val="28"/>
                      <w:szCs w:val="28"/>
                      <w:lang w:val="cs-CZ"/>
                    </w:rPr>
                  </w:pPr>
                  <w:r w:rsidRPr="00406646">
                    <w:rPr>
                      <w:b/>
                      <w:i/>
                      <w:iCs/>
                      <w:color w:val="27CED7"/>
                      <w:sz w:val="28"/>
                      <w:szCs w:val="28"/>
                      <w:lang w:val="cs-CZ"/>
                    </w:rPr>
                    <w:t>Formulace obecného právního pravidla, včetně vymezení základních pojmů a odkazů na prameny</w:t>
                  </w:r>
                </w:p>
                <w:p w:rsidR="00FF3B50" w:rsidRPr="00406646" w:rsidRDefault="00FF3B50" w:rsidP="00A15C20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i/>
                      <w:iCs/>
                      <w:color w:val="27CED7"/>
                      <w:sz w:val="28"/>
                      <w:szCs w:val="28"/>
                      <w:lang w:val="cs-CZ"/>
                    </w:rPr>
                  </w:pPr>
                  <w:r w:rsidRPr="00406646">
                    <w:rPr>
                      <w:b/>
                      <w:i/>
                      <w:iCs/>
                      <w:color w:val="27CED7"/>
                      <w:sz w:val="28"/>
                      <w:szCs w:val="28"/>
                      <w:lang w:val="cs-CZ"/>
                    </w:rPr>
                    <w:t>Subsumpce</w:t>
                  </w:r>
                </w:p>
                <w:p w:rsidR="00FF3B50" w:rsidRPr="00406646" w:rsidRDefault="00FF3B50" w:rsidP="00A15C20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i/>
                      <w:iCs/>
                      <w:color w:val="27CED7"/>
                      <w:sz w:val="28"/>
                      <w:szCs w:val="28"/>
                      <w:lang w:val="cs-CZ"/>
                    </w:rPr>
                  </w:pPr>
                  <w:r w:rsidRPr="00406646">
                    <w:rPr>
                      <w:b/>
                      <w:i/>
                      <w:iCs/>
                      <w:color w:val="27CED7"/>
                      <w:sz w:val="28"/>
                      <w:szCs w:val="28"/>
                      <w:lang w:val="cs-CZ"/>
                    </w:rPr>
                    <w:t>Závěry</w:t>
                  </w:r>
                </w:p>
              </w:txbxContent>
            </v:textbox>
            <w10:wrap type="square" anchorx="margin" anchory="margin"/>
          </v:roundrect>
        </w:pict>
      </w:r>
    </w:p>
    <w:p w:rsidR="00FF3B50" w:rsidRDefault="00FF3B50" w:rsidP="006E64E9">
      <w:pPr>
        <w:pStyle w:val="ListParagraph"/>
        <w:rPr>
          <w:lang w:val="cs-CZ"/>
        </w:rPr>
      </w:pPr>
    </w:p>
    <w:p w:rsidR="00FF3B50" w:rsidRDefault="00FF3B50" w:rsidP="006E64E9">
      <w:pPr>
        <w:pStyle w:val="ListParagraph"/>
        <w:rPr>
          <w:lang w:val="cs-CZ"/>
        </w:rPr>
      </w:pPr>
    </w:p>
    <w:p w:rsidR="00FF3B50" w:rsidRDefault="00FF3B50" w:rsidP="006E64E9">
      <w:pPr>
        <w:pStyle w:val="ListParagraph"/>
        <w:rPr>
          <w:lang w:val="cs-CZ"/>
        </w:rPr>
      </w:pPr>
    </w:p>
    <w:sectPr w:rsidR="00FF3B50" w:rsidSect="008A5B68">
      <w:headerReference w:type="default" r:id="rId7"/>
      <w:pgSz w:w="12240" w:h="15840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50" w:rsidRDefault="00FF3B50" w:rsidP="005D6A2D">
      <w:pPr>
        <w:spacing w:before="0" w:after="0" w:line="240" w:lineRule="auto"/>
      </w:pPr>
      <w:r>
        <w:separator/>
      </w:r>
    </w:p>
  </w:endnote>
  <w:endnote w:type="continuationSeparator" w:id="0">
    <w:p w:rsidR="00FF3B50" w:rsidRDefault="00FF3B50" w:rsidP="005D6A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メイリオ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50" w:rsidRDefault="00FF3B50" w:rsidP="005D6A2D">
      <w:pPr>
        <w:spacing w:before="0" w:after="0" w:line="240" w:lineRule="auto"/>
      </w:pPr>
      <w:r>
        <w:separator/>
      </w:r>
    </w:p>
  </w:footnote>
  <w:footnote w:type="continuationSeparator" w:id="0">
    <w:p w:rsidR="00FF3B50" w:rsidRDefault="00FF3B50" w:rsidP="005D6A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50" w:rsidRDefault="00FF3B50">
    <w:pPr>
      <w:pStyle w:val="Header"/>
    </w:pPr>
    <w:r>
      <w:rPr>
        <w:noProof/>
        <w:lang w:val="cs-CZ" w:eastAsia="cs-CZ"/>
      </w:rPr>
      <w:pict>
        <v:group id="Skupina 167" o:spid="_x0000_s2049" style="position:absolute;left:0;text-align:left;margin-left:177.55pt;margin-top:18.95pt;width:133.9pt;height:80.65pt;z-index:251660288;mso-position-horizontal:right;mso-position-horizontal-relative:page;mso-position-vertical-relative:page" coordsize="17007,10241">
          <v:group id="Skupina 168" o:spid="_x0000_s2050" style="position:absolute;width:17007;height:10241" coordsize="17007,10241">
            <v:rect id="Obdélník 169" o:spid="_x0000_s2051" style="position:absolute;width:17007;height:10241;visibility:visible;v-text-anchor:middle" stroked="f" strokeweight="1.5pt">
              <v:fill opacity="0"/>
              <v:stroke endcap="round"/>
            </v:rect>
            <v:shape id="Obdélník 12" o:spid="_x0000_s2052" style="position:absolute;width:14630;height:10149;visibility:visible;mso-wrap-style:square;v-text-anchor:middle" coordsize="1462822,1014481" path="m,l1462822,r,1014481l638269,407899,,xe" fillcolor="#1cade4" stroked="f" strokeweight="1.5pt">
              <v:stroke endcap="round"/>
              <v:path arrowok="t" o:connecttype="custom" o:connectlocs="0,0;1463040,0;1463040,1014984;638364,408101;0,0" o:connectangles="0,0,0,0,0"/>
            </v:shape>
            <v:rect id="Obdélník 171" o:spid="_x0000_s2053" style="position:absolute;width:14721;height:10241;visibility:visible;v-text-anchor:middle" strokecolor="white" strokeweight="1.5pt">
              <v:fill r:id="rId1" o:title="" recolor="t" rotate="t" type="frame"/>
              <v:stroke endcap="round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72" o:spid="_x0000_s2054" type="#_x0000_t202" style="position:absolute;left:10326;top:95;width:4381;height:3752;visibility:visible;v-text-anchor:middle" filled="f" stroked="f" strokeweight=".5pt">
            <v:textbox inset=",7.2pt,,7.2pt">
              <w:txbxContent>
                <w:p w:rsidR="00FF3B50" w:rsidRPr="00406646" w:rsidRDefault="00FF3B50">
                  <w:pPr>
                    <w:pStyle w:val="Header"/>
                    <w:rPr>
                      <w:color w:val="FFFFFF"/>
                      <w:szCs w:val="24"/>
                    </w:rPr>
                  </w:pPr>
                  <w:r w:rsidRPr="00406646">
                    <w:rPr>
                      <w:color w:val="FFFFFF"/>
                      <w:szCs w:val="24"/>
                    </w:rPr>
                    <w:fldChar w:fldCharType="begin"/>
                  </w:r>
                  <w:r w:rsidRPr="00406646">
                    <w:rPr>
                      <w:color w:val="FFFFFF"/>
                      <w:szCs w:val="24"/>
                    </w:rPr>
                    <w:instrText>PAGE   \* MERGEFORMAT</w:instrText>
                  </w:r>
                  <w:r w:rsidRPr="00406646">
                    <w:rPr>
                      <w:color w:val="FFFFFF"/>
                      <w:szCs w:val="24"/>
                    </w:rPr>
                    <w:fldChar w:fldCharType="separate"/>
                  </w:r>
                  <w:r w:rsidRPr="00683C37">
                    <w:rPr>
                      <w:noProof/>
                      <w:color w:val="FFFFFF"/>
                      <w:szCs w:val="24"/>
                      <w:lang w:val="cs-CZ"/>
                    </w:rPr>
                    <w:t>1</w:t>
                  </w:r>
                  <w:r w:rsidRPr="00406646">
                    <w:rPr>
                      <w:color w:val="FFFFFF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D79"/>
    <w:multiLevelType w:val="hybridMultilevel"/>
    <w:tmpl w:val="D2128E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695C5F"/>
    <w:multiLevelType w:val="hybridMultilevel"/>
    <w:tmpl w:val="F15AC1C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660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5A427259"/>
    <w:multiLevelType w:val="hybridMultilevel"/>
    <w:tmpl w:val="0748D4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72709D"/>
    <w:multiLevelType w:val="hybridMultilevel"/>
    <w:tmpl w:val="6CE8766C"/>
    <w:lvl w:ilvl="0" w:tplc="214E37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="メイリオ" w:hAnsi="Century Gothic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="メイリオ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3EF"/>
    <w:rsid w:val="00002C43"/>
    <w:rsid w:val="000A0E01"/>
    <w:rsid w:val="000B3657"/>
    <w:rsid w:val="000C5DE0"/>
    <w:rsid w:val="0011117E"/>
    <w:rsid w:val="001351BF"/>
    <w:rsid w:val="001671FC"/>
    <w:rsid w:val="00173F77"/>
    <w:rsid w:val="0037658B"/>
    <w:rsid w:val="00406646"/>
    <w:rsid w:val="005D6A2D"/>
    <w:rsid w:val="0067617C"/>
    <w:rsid w:val="00683C37"/>
    <w:rsid w:val="006C7742"/>
    <w:rsid w:val="006E64E9"/>
    <w:rsid w:val="00767BAC"/>
    <w:rsid w:val="00770D08"/>
    <w:rsid w:val="007B13D3"/>
    <w:rsid w:val="008A5B68"/>
    <w:rsid w:val="008C4919"/>
    <w:rsid w:val="009059E5"/>
    <w:rsid w:val="00A063EF"/>
    <w:rsid w:val="00A15C20"/>
    <w:rsid w:val="00AC24B6"/>
    <w:rsid w:val="00B36A69"/>
    <w:rsid w:val="00BA3592"/>
    <w:rsid w:val="00BC478C"/>
    <w:rsid w:val="00C01236"/>
    <w:rsid w:val="00CD1145"/>
    <w:rsid w:val="00D22BAF"/>
    <w:rsid w:val="00E03F83"/>
    <w:rsid w:val="00E705BC"/>
    <w:rsid w:val="00F671BD"/>
    <w:rsid w:val="00FF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メイリオ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20"/>
    <w:pPr>
      <w:spacing w:before="240" w:after="240" w:line="300" w:lineRule="auto"/>
      <w:jc w:val="both"/>
    </w:pPr>
    <w:rPr>
      <w:szCs w:val="17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5B68"/>
    <w:pPr>
      <w:keepNext/>
      <w:keepLines/>
      <w:spacing w:before="400" w:after="40" w:line="240" w:lineRule="auto"/>
      <w:outlineLvl w:val="0"/>
    </w:pPr>
    <w:rPr>
      <w:color w:val="1CADE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5B68"/>
    <w:pPr>
      <w:keepNext/>
      <w:keepLines/>
      <w:spacing w:before="160" w:after="0" w:line="240" w:lineRule="auto"/>
      <w:outlineLvl w:val="1"/>
    </w:pPr>
    <w:rPr>
      <w:color w:val="404040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5B68"/>
    <w:pPr>
      <w:keepNext/>
      <w:keepLines/>
      <w:spacing w:before="40" w:after="0" w:line="240" w:lineRule="auto"/>
      <w:outlineLvl w:val="2"/>
    </w:pPr>
    <w:rPr>
      <w:color w:val="1CADE4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5B68"/>
    <w:pPr>
      <w:keepNext/>
      <w:keepLines/>
      <w:spacing w:before="160" w:after="0"/>
      <w:outlineLvl w:val="3"/>
    </w:pPr>
    <w:rPr>
      <w:b/>
      <w:bCs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5B68"/>
    <w:pPr>
      <w:keepNext/>
      <w:keepLines/>
      <w:spacing w:before="40" w:after="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5B68"/>
    <w:pPr>
      <w:keepNext/>
      <w:keepLines/>
      <w:spacing w:before="160" w:after="0"/>
      <w:outlineLvl w:val="5"/>
    </w:pPr>
    <w:rPr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5B68"/>
    <w:pPr>
      <w:keepNext/>
      <w:keepLines/>
      <w:spacing w:before="40" w:after="0"/>
      <w:outlineLvl w:val="6"/>
    </w:pPr>
    <w:rPr>
      <w:i/>
      <w:iCs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A5B68"/>
    <w:pPr>
      <w:keepNext/>
      <w:keepLines/>
      <w:spacing w:before="120" w:after="0"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5B68"/>
    <w:pPr>
      <w:keepNext/>
      <w:keepLines/>
      <w:spacing w:before="40" w:after="0"/>
      <w:outlineLvl w:val="8"/>
    </w:pPr>
    <w:rPr>
      <w:b/>
      <w:bCs/>
      <w:i/>
      <w:i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5B68"/>
    <w:rPr>
      <w:rFonts w:ascii="Century Gothic" w:eastAsia="メイリオ" w:hAnsi="Century Gothic" w:cs="Times New Roman"/>
      <w:color w:val="1CADE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A5B68"/>
    <w:rPr>
      <w:rFonts w:ascii="Century Gothic" w:eastAsia="メイリオ" w:hAnsi="Century Gothic" w:cs="Times New Roman"/>
      <w:color w:val="40404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A5B68"/>
    <w:rPr>
      <w:rFonts w:ascii="Century Gothic" w:eastAsia="メイリオ" w:hAnsi="Century Gothic" w:cs="Times New Roman"/>
      <w:color w:val="1CADE4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A5B68"/>
    <w:rPr>
      <w:rFonts w:ascii="Century Gothic" w:eastAsia="メイリオ" w:hAnsi="Century Gothic" w:cs="Times New Roman"/>
      <w:b/>
      <w:bCs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A5B68"/>
    <w:rPr>
      <w:rFonts w:ascii="Century Gothic" w:eastAsia="メイリオ" w:hAnsi="Century Gothic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A5B68"/>
    <w:rPr>
      <w:rFonts w:ascii="Century Gothic" w:eastAsia="メイリオ" w:hAnsi="Century Gothic" w:cs="Times New Roman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A5B68"/>
    <w:rPr>
      <w:rFonts w:ascii="Century Gothic" w:eastAsia="メイリオ" w:hAnsi="Century Gothic" w:cs="Times New Roman"/>
      <w:i/>
      <w:iCs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A5B68"/>
    <w:rPr>
      <w:rFonts w:ascii="Century Gothic" w:eastAsia="メイリオ" w:hAnsi="Century Gothic" w:cs="Times New Roman"/>
      <w:b/>
      <w:bCs/>
      <w:color w:val="00000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A5B68"/>
    <w:rPr>
      <w:rFonts w:ascii="Century Gothic" w:eastAsia="メイリオ" w:hAnsi="Century Gothic" w:cs="Times New Roman"/>
      <w:b/>
      <w:bCs/>
      <w:i/>
      <w:iCs/>
      <w:color w:val="000000"/>
    </w:rPr>
  </w:style>
  <w:style w:type="character" w:styleId="BookTitle">
    <w:name w:val="Book Title"/>
    <w:basedOn w:val="DefaultParagraphFont"/>
    <w:uiPriority w:val="99"/>
    <w:qFormat/>
    <w:rsid w:val="008A5B68"/>
    <w:rPr>
      <w:rFonts w:cs="Times New Roman"/>
      <w:b/>
      <w:bCs/>
      <w:smallCaps/>
      <w:spacing w:val="10"/>
    </w:rPr>
  </w:style>
  <w:style w:type="paragraph" w:styleId="Caption">
    <w:name w:val="caption"/>
    <w:basedOn w:val="Normal"/>
    <w:next w:val="Normal"/>
    <w:uiPriority w:val="99"/>
    <w:qFormat/>
    <w:rsid w:val="008A5B68"/>
    <w:pPr>
      <w:spacing w:line="240" w:lineRule="auto"/>
    </w:pPr>
    <w:rPr>
      <w:b/>
      <w:bCs/>
      <w:smallCaps/>
      <w:color w:val="595959"/>
      <w:spacing w:val="6"/>
    </w:rPr>
  </w:style>
  <w:style w:type="character" w:styleId="Emphasis">
    <w:name w:val="Emphasis"/>
    <w:basedOn w:val="DefaultParagraphFont"/>
    <w:uiPriority w:val="99"/>
    <w:qFormat/>
    <w:rsid w:val="008A5B68"/>
    <w:rPr>
      <w:rFonts w:cs="Times New Roman"/>
      <w:i/>
      <w:iCs/>
      <w:color w:val="000000"/>
    </w:rPr>
  </w:style>
  <w:style w:type="character" w:styleId="IntenseEmphasis">
    <w:name w:val="Intense Emphasis"/>
    <w:basedOn w:val="DefaultParagraphFont"/>
    <w:uiPriority w:val="99"/>
    <w:qFormat/>
    <w:rsid w:val="008A5B68"/>
    <w:rPr>
      <w:rFonts w:cs="Times New Roman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A5B68"/>
    <w:pPr>
      <w:pBdr>
        <w:left w:val="single" w:sz="36" w:space="4" w:color="1CADE4"/>
      </w:pBdr>
      <w:spacing w:before="100" w:beforeAutospacing="1"/>
      <w:ind w:left="1224" w:right="1224"/>
    </w:pPr>
    <w:rPr>
      <w:color w:val="1CADE4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A5B68"/>
    <w:rPr>
      <w:rFonts w:cs="Times New Roman"/>
      <w:color w:val="1CADE4"/>
      <w:sz w:val="28"/>
      <w:szCs w:val="28"/>
    </w:rPr>
  </w:style>
  <w:style w:type="character" w:styleId="IntenseReference">
    <w:name w:val="Intense Reference"/>
    <w:basedOn w:val="DefaultParagraphFont"/>
    <w:uiPriority w:val="99"/>
    <w:qFormat/>
    <w:rsid w:val="008A5B68"/>
    <w:rPr>
      <w:rFonts w:cs="Times New Roman"/>
      <w:b/>
      <w:bCs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rsid w:val="008A5B68"/>
    <w:rPr>
      <w:rFonts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8A5B68"/>
    <w:rPr>
      <w:rFonts w:cs="Times New Roman"/>
      <w:color w:val="auto"/>
      <w:u w:val="single"/>
    </w:rPr>
  </w:style>
  <w:style w:type="paragraph" w:styleId="NoSpacing">
    <w:name w:val="No Spacing"/>
    <w:link w:val="NoSpacingChar"/>
    <w:uiPriority w:val="99"/>
    <w:qFormat/>
    <w:rsid w:val="008A5B68"/>
    <w:rPr>
      <w:sz w:val="17"/>
      <w:szCs w:val="17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A5B68"/>
    <w:rPr>
      <w:rFonts w:cs="Times New Roman"/>
      <w:sz w:val="17"/>
      <w:szCs w:val="17"/>
      <w:lang w:val="en-US" w:eastAsia="ja-JP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8A5B68"/>
    <w:pPr>
      <w:spacing w:before="160"/>
      <w:ind w:left="864" w:right="864"/>
    </w:pPr>
  </w:style>
  <w:style w:type="character" w:customStyle="1" w:styleId="QuoteChar">
    <w:name w:val="Quote Char"/>
    <w:basedOn w:val="DefaultParagraphFont"/>
    <w:link w:val="Quote"/>
    <w:uiPriority w:val="99"/>
    <w:rsid w:val="008A5B68"/>
    <w:rPr>
      <w:rFonts w:ascii="Century Gothic" w:eastAsia="メイリオ" w:hAnsi="Century Gothic" w:cs="Times New Roman"/>
    </w:rPr>
  </w:style>
  <w:style w:type="character" w:styleId="Strong">
    <w:name w:val="Strong"/>
    <w:basedOn w:val="DefaultParagraphFont"/>
    <w:uiPriority w:val="99"/>
    <w:qFormat/>
    <w:rsid w:val="008A5B68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8A5B68"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8A5B68"/>
    <w:rPr>
      <w:rFonts w:cs="Times New Roman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8A5B68"/>
    <w:rPr>
      <w:rFonts w:cs="Times New Roman"/>
      <w:i/>
      <w:iCs/>
      <w:color w:val="595959"/>
    </w:rPr>
  </w:style>
  <w:style w:type="character" w:styleId="SubtleReference">
    <w:name w:val="Subtle Reference"/>
    <w:basedOn w:val="DefaultParagraphFont"/>
    <w:uiPriority w:val="99"/>
    <w:qFormat/>
    <w:rsid w:val="008A5B68"/>
    <w:rPr>
      <w:rFonts w:cs="Times New Roman"/>
      <w:smallCaps/>
      <w:color w:val="404040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8A5B68"/>
    <w:pPr>
      <w:spacing w:after="0" w:line="240" w:lineRule="auto"/>
    </w:pPr>
    <w:rPr>
      <w:color w:val="1CADE4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8A5B68"/>
    <w:rPr>
      <w:rFonts w:ascii="Century Gothic" w:eastAsia="メイリオ" w:hAnsi="Century Gothic" w:cs="Times New Roman"/>
      <w:color w:val="1CADE4"/>
      <w:kern w:val="28"/>
      <w:sz w:val="72"/>
      <w:szCs w:val="72"/>
    </w:rPr>
  </w:style>
  <w:style w:type="paragraph" w:styleId="ListParagraph">
    <w:name w:val="List Paragraph"/>
    <w:basedOn w:val="Normal"/>
    <w:uiPriority w:val="99"/>
    <w:qFormat/>
    <w:rsid w:val="008A5B68"/>
    <w:pPr>
      <w:ind w:left="720"/>
    </w:pPr>
  </w:style>
  <w:style w:type="paragraph" w:styleId="Header">
    <w:name w:val="header"/>
    <w:basedOn w:val="Normal"/>
    <w:link w:val="HeaderChar"/>
    <w:uiPriority w:val="99"/>
    <w:rsid w:val="005D6A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2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D6A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2D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3</Pages>
  <Words>524</Words>
  <Characters>3096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Lavický</dc:creator>
  <cp:keywords/>
  <dc:description/>
  <cp:lastModifiedBy>janousekmichal3@outlook.cz</cp:lastModifiedBy>
  <cp:revision>9</cp:revision>
  <dcterms:created xsi:type="dcterms:W3CDTF">2016-03-13T18:15:00Z</dcterms:created>
  <dcterms:modified xsi:type="dcterms:W3CDTF">2019-02-15T07:28:00Z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