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1E" w:rsidRPr="00941CB6" w:rsidRDefault="0086681E" w:rsidP="0086681E">
      <w:pPr>
        <w:pStyle w:val="Nzev"/>
        <w:rPr>
          <w:sz w:val="36"/>
          <w:szCs w:val="36"/>
        </w:rPr>
      </w:pPr>
      <w:r w:rsidRPr="00941CB6">
        <w:rPr>
          <w:sz w:val="36"/>
          <w:szCs w:val="36"/>
        </w:rPr>
        <w:t>Klauzurní práce z exekučního a insolvenčního práva</w:t>
      </w:r>
    </w:p>
    <w:p w:rsidR="0086681E" w:rsidRPr="00152CB6" w:rsidRDefault="0086681E" w:rsidP="0086681E">
      <w:pPr>
        <w:pStyle w:val="Nadpis1"/>
      </w:pPr>
      <w:r w:rsidRPr="00152CB6">
        <w:t>Exekuce</w:t>
      </w:r>
    </w:p>
    <w:p w:rsidR="00765A8E" w:rsidRDefault="0086681E" w:rsidP="0086681E">
      <w:pPr>
        <w:spacing w:line="276" w:lineRule="auto"/>
        <w:jc w:val="both"/>
        <w:rPr>
          <w:szCs w:val="22"/>
        </w:rPr>
      </w:pPr>
      <w:r>
        <w:rPr>
          <w:szCs w:val="22"/>
        </w:rPr>
        <w:t>Pan</w:t>
      </w:r>
      <w:r w:rsidR="00765A8E">
        <w:rPr>
          <w:szCs w:val="22"/>
        </w:rPr>
        <w:t xml:space="preserve">í Pavlína </w:t>
      </w:r>
      <w:proofErr w:type="spellStart"/>
      <w:r w:rsidR="00765A8E">
        <w:rPr>
          <w:szCs w:val="22"/>
        </w:rPr>
        <w:t>Jezevčíková</w:t>
      </w:r>
      <w:proofErr w:type="spellEnd"/>
      <w:r w:rsidR="00765A8E">
        <w:rPr>
          <w:szCs w:val="22"/>
        </w:rPr>
        <w:t xml:space="preserve"> je matkou nezletilého Michala Jezevčíka. S otcem nezletilého Janem Jezevčíkem již nějakou dobu nežije, nicméně vždy byli schopni domluvit </w:t>
      </w:r>
      <w:r w:rsidR="003E0FDF">
        <w:rPr>
          <w:szCs w:val="22"/>
        </w:rPr>
        <w:t xml:space="preserve">se </w:t>
      </w:r>
      <w:r w:rsidR="00765A8E">
        <w:rPr>
          <w:szCs w:val="22"/>
        </w:rPr>
        <w:t>na péči o nezletilého syna včetně placení výživného ze strany otce. V </w:t>
      </w:r>
      <w:r w:rsidR="006445C0">
        <w:rPr>
          <w:szCs w:val="22"/>
        </w:rPr>
        <w:t>červnu</w:t>
      </w:r>
      <w:r w:rsidR="00765A8E">
        <w:rPr>
          <w:szCs w:val="22"/>
        </w:rPr>
        <w:t xml:space="preserve"> 2018 se však začal pan Jan Jezevčík stýkat s jistou paní Kamilou Bernardýnovou a veškeré finanční prostředky začal vynakládat na luxusní dovolené, značkové kabelky a nákladné účesy paní </w:t>
      </w:r>
      <w:proofErr w:type="spellStart"/>
      <w:r w:rsidR="00765A8E">
        <w:rPr>
          <w:szCs w:val="22"/>
        </w:rPr>
        <w:t>Bernardýnové</w:t>
      </w:r>
      <w:proofErr w:type="spellEnd"/>
      <w:r w:rsidR="00765A8E">
        <w:rPr>
          <w:szCs w:val="22"/>
        </w:rPr>
        <w:t>, přičemž přestal platit výživné na svého syna.</w:t>
      </w:r>
    </w:p>
    <w:p w:rsidR="00A369D2" w:rsidRDefault="00765A8E" w:rsidP="0086681E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Paní Pavlína </w:t>
      </w:r>
      <w:proofErr w:type="spellStart"/>
      <w:r>
        <w:rPr>
          <w:szCs w:val="22"/>
        </w:rPr>
        <w:t>Jezevčíková</w:t>
      </w:r>
      <w:proofErr w:type="spellEnd"/>
      <w:r>
        <w:rPr>
          <w:szCs w:val="22"/>
        </w:rPr>
        <w:t xml:space="preserve"> v té době zároveň ztratila zaměstnání a </w:t>
      </w:r>
      <w:r w:rsidR="005F6EFC">
        <w:rPr>
          <w:szCs w:val="22"/>
        </w:rPr>
        <w:t>peněžní prostředky, které jí byly vypláceny v nezaměstnanosti, jí nestačily ke krytí nákladů na výživu pro syna. Rozhodla se proto podat návrh k Okresnímu soudu ve Zlíně, který po provedeném řízení rozsudkem ze dne 14. 1.</w:t>
      </w:r>
      <w:r w:rsidR="00A369D2">
        <w:rPr>
          <w:szCs w:val="22"/>
        </w:rPr>
        <w:t xml:space="preserve"> 2019, č. j. 45 P </w:t>
      </w:r>
      <w:r w:rsidR="006445C0">
        <w:rPr>
          <w:szCs w:val="22"/>
        </w:rPr>
        <w:t>1</w:t>
      </w:r>
      <w:r w:rsidR="00A369D2">
        <w:rPr>
          <w:szCs w:val="22"/>
        </w:rPr>
        <w:t>78/201</w:t>
      </w:r>
      <w:r w:rsidR="006445C0">
        <w:rPr>
          <w:szCs w:val="22"/>
        </w:rPr>
        <w:t>8</w:t>
      </w:r>
      <w:r w:rsidR="00A369D2">
        <w:rPr>
          <w:szCs w:val="22"/>
        </w:rPr>
        <w:t xml:space="preserve">, otci Janu Jezevčíkovi uložil povinnost přispívat na výživné nezletilého syna částkou 3890 Kč měsíčně. Na základě tohoto pravomocného a vykonatelného rozhodnutí otec Jan Jezevčík zpočátku výživné na syna bez problémů platil, nicméně následně – po rozchodu  s paní Bernardýnovou – propadl alkoholu a veškeré svoje peníze použil na jeho pořízení, přičemž na výživné synovi již mnoho peněz nezůstalo, a tak se nejdříve s platbami výživného začal zpožďovat, až s nimi v dubnu 2019 zcela přestal. </w:t>
      </w:r>
    </w:p>
    <w:p w:rsidR="00A369D2" w:rsidRDefault="00A369D2" w:rsidP="00A369D2">
      <w:pPr>
        <w:spacing w:line="276" w:lineRule="auto"/>
        <w:jc w:val="both"/>
      </w:pPr>
      <w:r>
        <w:rPr>
          <w:szCs w:val="22"/>
        </w:rPr>
        <w:t xml:space="preserve">Paní Pavlína </w:t>
      </w:r>
      <w:proofErr w:type="spellStart"/>
      <w:r>
        <w:rPr>
          <w:szCs w:val="22"/>
        </w:rPr>
        <w:t>Jezevčíková</w:t>
      </w:r>
      <w:proofErr w:type="spellEnd"/>
      <w:r>
        <w:rPr>
          <w:szCs w:val="22"/>
        </w:rPr>
        <w:t xml:space="preserve"> se proto obrátila dne 10. 7. 2019 na Exekutorský úřad ve Zlíně - </w:t>
      </w:r>
      <w:r w:rsidR="0086681E">
        <w:t>soudní exekutorku JUDr. Kamilu Ortovou s exekučním návrhem, ve kterém</w:t>
      </w:r>
      <w:r w:rsidR="003E0FDF">
        <w:t xml:space="preserve"> mj.</w:t>
      </w:r>
      <w:r w:rsidR="0086681E">
        <w:t xml:space="preserve"> uvedla, že je matkou nezletilého Michala Jezevčíka, kterému má jeho otec Jan Jezevčík dle </w:t>
      </w:r>
      <w:r>
        <w:t xml:space="preserve">shora uvedeného </w:t>
      </w:r>
      <w:r w:rsidR="0086681E">
        <w:t>pravomocného a vykonatelného rozsudku přispívat na výživné částkou 3 890 Kč měsíčně, vždy k prvnímu dni v měsíci.</w:t>
      </w:r>
      <w:r w:rsidR="0077325D">
        <w:t xml:space="preserve"> Otec nezletilého však </w:t>
      </w:r>
      <w:r w:rsidR="0086681E">
        <w:t>výživné</w:t>
      </w:r>
      <w:r>
        <w:t xml:space="preserve"> za měsíce duben – červen 2019 ani po výzvě</w:t>
      </w:r>
      <w:r w:rsidR="0086681E">
        <w:t xml:space="preserve"> ne</w:t>
      </w:r>
      <w:r>
        <w:t>zaplatil</w:t>
      </w:r>
      <w:r w:rsidR="0086681E">
        <w:t>.</w:t>
      </w:r>
    </w:p>
    <w:p w:rsidR="0086681E" w:rsidRDefault="0086681E" w:rsidP="00A369D2">
      <w:pPr>
        <w:spacing w:line="276" w:lineRule="auto"/>
        <w:jc w:val="both"/>
      </w:pPr>
      <w:r>
        <w:t>Soudní exekutorka</w:t>
      </w:r>
      <w:r w:rsidR="00A369D2">
        <w:t xml:space="preserve"> JUDr. Kamila Ortová</w:t>
      </w:r>
      <w:r>
        <w:t xml:space="preserve"> poté, co byla</w:t>
      </w:r>
      <w:r w:rsidR="00A369D2">
        <w:t xml:space="preserve"> Okresním soudem ve Zlíně</w:t>
      </w:r>
      <w:r>
        <w:t xml:space="preserve"> nařízena exekuce</w:t>
      </w:r>
      <w:r w:rsidR="00A369D2">
        <w:t xml:space="preserve"> a ona pověřena k jejímu provedení</w:t>
      </w:r>
      <w:r>
        <w:t xml:space="preserve">, vyzvala paní Pavlínu Jezevčíkovou ke složení zálohy na náklady exekuce. </w:t>
      </w:r>
      <w:r w:rsidR="00A369D2">
        <w:t xml:space="preserve">Paní Pavlína </w:t>
      </w:r>
      <w:proofErr w:type="spellStart"/>
      <w:r w:rsidR="00A369D2">
        <w:t>Jezevčíková</w:t>
      </w:r>
      <w:proofErr w:type="spellEnd"/>
      <w:r w:rsidR="00A369D2">
        <w:t xml:space="preserve"> nechápala, proč by měla skládat nějakou zálohu, když to není ona, která na syna neplatí výživné, ale její  bývalý manžel, otec n</w:t>
      </w:r>
      <w:r w:rsidR="0077325D">
        <w:t>ezletilého. Nemá na zálohu</w:t>
      </w:r>
      <w:r w:rsidR="00A369D2">
        <w:t xml:space="preserve"> dostatek finančních prostředků, když v současnosti pobírá pouze dávky v nezaměstnanosti. </w:t>
      </w:r>
      <w:r>
        <w:t xml:space="preserve">Vzhledem k tomu, že paní Pavlína </w:t>
      </w:r>
      <w:proofErr w:type="spellStart"/>
      <w:r>
        <w:t>Jezevčíková</w:t>
      </w:r>
      <w:proofErr w:type="spellEnd"/>
      <w:r>
        <w:t xml:space="preserve"> zálohu nesložila, soudní exekutorka </w:t>
      </w:r>
      <w:r w:rsidR="00A369D2">
        <w:t xml:space="preserve">JUDr. Kamila Ortová usnesením </w:t>
      </w:r>
      <w:r>
        <w:t xml:space="preserve">exekuci zastavila. </w:t>
      </w:r>
    </w:p>
    <w:p w:rsidR="006534DD" w:rsidRDefault="00450D28" w:rsidP="006534DD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Paní </w:t>
      </w:r>
      <w:r w:rsidR="00A369D2">
        <w:t xml:space="preserve">Pavlína </w:t>
      </w:r>
      <w:proofErr w:type="spellStart"/>
      <w:r w:rsidR="00A369D2">
        <w:t>Jezevčíková</w:t>
      </w:r>
      <w:proofErr w:type="spellEnd"/>
      <w:r w:rsidR="00A369D2">
        <w:t xml:space="preserve"> </w:t>
      </w:r>
      <w:r>
        <w:t xml:space="preserve">se následně obrátila na Okresní soud ve Zlíně s návrhem na výkon rozhodnutí podle části VI. občanského soudního řádu s odůvodněním, že </w:t>
      </w:r>
      <w:r w:rsidR="006534DD">
        <w:t>nemá finanční prostředky na vymáhání povinnosti otce prostřednictvím exekučního řízení. Tomuto jejímu návrhu však soud nevyhověl s</w:t>
      </w:r>
      <w:r w:rsidR="00E11FF1">
        <w:t> odůvodněním, že výživné na nezletilé dítě</w:t>
      </w:r>
      <w:r w:rsidR="006534DD">
        <w:t xml:space="preserve"> sice</w:t>
      </w:r>
      <w:r w:rsidR="0077325D">
        <w:t xml:space="preserve"> patří do oblasti</w:t>
      </w:r>
      <w:r w:rsidR="00E11FF1">
        <w:t xml:space="preserve"> péči </w:t>
      </w:r>
      <w:r w:rsidR="006534DD">
        <w:t>soudu o nezletilé, kde by jinak</w:t>
      </w:r>
      <w:r w:rsidR="00E11FF1">
        <w:t xml:space="preserve"> výkon rozhodnutí</w:t>
      </w:r>
      <w:r w:rsidR="006534DD">
        <w:t xml:space="preserve"> náležel soudu, nicméně podle § 37 odst. 2 písm. b) exekučního řádu se jedná o výjimku, kdy lze plnění vymáhat jen cestou exekučního řízení. Podle</w:t>
      </w:r>
      <w:r w:rsidR="00850CA8">
        <w:t xml:space="preserve"> názoru</w:t>
      </w:r>
      <w:r w:rsidR="006534DD">
        <w:t xml:space="preserve"> soudu tedy musí paní </w:t>
      </w:r>
      <w:proofErr w:type="spellStart"/>
      <w:r w:rsidR="006534DD">
        <w:t>Jezevčíková</w:t>
      </w:r>
      <w:proofErr w:type="spellEnd"/>
      <w:r w:rsidR="006534DD">
        <w:t xml:space="preserve"> podat znovu exekuční návrh.</w:t>
      </w:r>
    </w:p>
    <w:p w:rsidR="006534DD" w:rsidRDefault="006534DD" w:rsidP="00A369D2">
      <w:pPr>
        <w:spacing w:line="276" w:lineRule="auto"/>
        <w:jc w:val="both"/>
      </w:pPr>
    </w:p>
    <w:p w:rsidR="0086681E" w:rsidRPr="00152CB6" w:rsidRDefault="0086681E" w:rsidP="0086681E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color w:val="1481AB"/>
          <w:szCs w:val="22"/>
        </w:rPr>
      </w:pPr>
      <w:r w:rsidRPr="00152CB6">
        <w:rPr>
          <w:color w:val="1481AB"/>
          <w:szCs w:val="22"/>
        </w:rPr>
        <w:t>Otázky</w:t>
      </w:r>
    </w:p>
    <w:p w:rsidR="0086681E" w:rsidRDefault="004B148E" w:rsidP="0086681E">
      <w:pPr>
        <w:numPr>
          <w:ilvl w:val="0"/>
          <w:numId w:val="1"/>
        </w:numPr>
        <w:jc w:val="both"/>
      </w:pPr>
      <w:r>
        <w:t>Postupovala soudní exekutorka JUDr. Kami</w:t>
      </w:r>
      <w:r w:rsidR="0077325D">
        <w:t>la Ortová správně, pokud zastavila exekuční řízení</w:t>
      </w:r>
      <w:r>
        <w:t xml:space="preserve"> z důvodu nesložení zálohy na náklady exekuce?</w:t>
      </w:r>
    </w:p>
    <w:p w:rsidR="0086681E" w:rsidRDefault="004B148E" w:rsidP="00850CA8">
      <w:pPr>
        <w:numPr>
          <w:ilvl w:val="0"/>
          <w:numId w:val="1"/>
        </w:numPr>
        <w:jc w:val="both"/>
      </w:pPr>
      <w:r>
        <w:t>Byla</w:t>
      </w:r>
      <w:r w:rsidR="00850CA8">
        <w:t xml:space="preserve"> správná</w:t>
      </w:r>
      <w:r>
        <w:t xml:space="preserve"> argumentace </w:t>
      </w:r>
      <w:r w:rsidR="006534DD">
        <w:t>Okresního soudu ve Zlíně</w:t>
      </w:r>
      <w:r>
        <w:t>, spočívající v tom, že</w:t>
      </w:r>
      <w:r w:rsidR="00850CA8">
        <w:t xml:space="preserve"> vymožení povinnosti</w:t>
      </w:r>
      <w:r w:rsidR="00673C1D">
        <w:t xml:space="preserve"> zaplatit dlužné výživné</w:t>
      </w:r>
      <w:r w:rsidR="00850CA8">
        <w:t xml:space="preserve"> je možné realizovat jen cestou exekučního řízení? </w:t>
      </w:r>
    </w:p>
    <w:p w:rsidR="0086681E" w:rsidRDefault="0086681E"/>
    <w:p w:rsidR="00F709A6" w:rsidRPr="00091395" w:rsidRDefault="00F709A6" w:rsidP="00F709A6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color w:val="1481AB"/>
          <w:sz w:val="36"/>
          <w:szCs w:val="36"/>
        </w:rPr>
      </w:pPr>
      <w:r w:rsidRPr="00091395">
        <w:rPr>
          <w:color w:val="1481AB"/>
          <w:sz w:val="36"/>
          <w:szCs w:val="36"/>
        </w:rPr>
        <w:t>Insolvence</w:t>
      </w:r>
    </w:p>
    <w:p w:rsidR="00850CA8" w:rsidRPr="00EC4383" w:rsidRDefault="00F709A6" w:rsidP="00850CA8">
      <w:pPr>
        <w:spacing w:line="276" w:lineRule="auto"/>
        <w:jc w:val="both"/>
      </w:pPr>
      <w:r>
        <w:t xml:space="preserve">Paní Miroslava Karásková podala insolvenční návrh spojený </w:t>
      </w:r>
      <w:r w:rsidR="008A2D5A">
        <w:t>s návrhem na povolení oddlužení</w:t>
      </w:r>
      <w:r w:rsidR="006D3236">
        <w:t xml:space="preserve"> se zpeněžením majetkové podstaty</w:t>
      </w:r>
      <w:r w:rsidR="008A2D5A">
        <w:t>.</w:t>
      </w:r>
      <w:r>
        <w:t xml:space="preserve"> V návrhu uvedla, že má závazky u společnosti </w:t>
      </w:r>
      <w:proofErr w:type="spellStart"/>
      <w:r>
        <w:t>Adieu</w:t>
      </w:r>
      <w:proofErr w:type="spellEnd"/>
      <w:r>
        <w:t>, s. r. o. ve výši 300 000 Kč, u společnosti Karma, a. s. ve výši 210 000 Kč, u společnosti Snadná výhra</w:t>
      </w:r>
      <w:r w:rsidR="00E12ED0">
        <w:t>, s. r. o. ve výši 200 000 Kč. Paní Miroslava Karásková je zaměstnaná jako servírka ve společnosti Restaurace Na kovárně a její</w:t>
      </w:r>
      <w:r>
        <w:t xml:space="preserve"> průměrný měsíční čistý příjem činí 17 250 Kč, dále má majetek v hodnotě 10 000 Kč, dvě vyživované osoby, kterým je povinna platit dohromady 5700 Kč měsíčně. </w:t>
      </w:r>
      <w:r w:rsidR="006D3236">
        <w:t xml:space="preserve">Insolvenční soud </w:t>
      </w:r>
      <w:r w:rsidR="008A2D5A">
        <w:t xml:space="preserve">prohlásil úpadek </w:t>
      </w:r>
      <w:r w:rsidR="00553094">
        <w:t xml:space="preserve">dlužnice </w:t>
      </w:r>
      <w:r w:rsidR="008A2D5A">
        <w:t xml:space="preserve">a povolil </w:t>
      </w:r>
      <w:r w:rsidR="00E12ED0">
        <w:t>řešení úpadku</w:t>
      </w:r>
      <w:r>
        <w:t xml:space="preserve"> oddlužením. </w:t>
      </w:r>
      <w:r w:rsidR="00E12ED0">
        <w:t xml:space="preserve">Následně bylo schváleno </w:t>
      </w:r>
      <w:r w:rsidR="00E12ED0" w:rsidRPr="00EC4383">
        <w:t>oddlužení plněním splátkového kalendáře</w:t>
      </w:r>
      <w:r w:rsidR="008A2D5A" w:rsidRPr="00EC4383">
        <w:t xml:space="preserve"> se zpeněžením majetkové podstaty</w:t>
      </w:r>
      <w:r w:rsidR="00E12ED0" w:rsidRPr="00EC4383">
        <w:t xml:space="preserve">. </w:t>
      </w:r>
    </w:p>
    <w:p w:rsidR="005F627E" w:rsidRDefault="008A2D5A" w:rsidP="00850CA8">
      <w:pPr>
        <w:spacing w:line="276" w:lineRule="auto"/>
        <w:jc w:val="both"/>
      </w:pPr>
      <w:r w:rsidRPr="00850CA8">
        <w:t>Paní Karásková</w:t>
      </w:r>
      <w:r w:rsidR="00553094">
        <w:t xml:space="preserve"> několik měsíců</w:t>
      </w:r>
      <w:r w:rsidRPr="00850CA8">
        <w:t xml:space="preserve"> poté na doporučení svojí kamarádky Kateřiny</w:t>
      </w:r>
      <w:r>
        <w:t xml:space="preserve"> Miloto</w:t>
      </w:r>
      <w:r w:rsidR="00673C1D">
        <w:t>vé navštívila kartářku, která jí</w:t>
      </w:r>
      <w:r>
        <w:t xml:space="preserve"> předpověděla </w:t>
      </w:r>
      <w:r w:rsidR="00975132">
        <w:t>slibnou budoucnost v textilním průmyslu. Proto se paní Karásková rozhodla dát výpověď v restauraci Na kovárně a otevřít si spolu s kamarádkou paní Milotovou</w:t>
      </w:r>
      <w:r w:rsidR="005F627E">
        <w:t xml:space="preserve"> vlastní módní salon</w:t>
      </w:r>
      <w:r w:rsidR="00673C1D">
        <w:t>.  I r</w:t>
      </w:r>
      <w:r w:rsidR="005F627E">
        <w:t xml:space="preserve">odiče paní Karáskové věřili v talent své dcery a chtěli jí přispět na podnikání, neboť </w:t>
      </w:r>
      <w:r w:rsidR="007B1A38">
        <w:t>doufali</w:t>
      </w:r>
      <w:r w:rsidR="005F627E">
        <w:t>, že si tím dcera do budoucna v</w:t>
      </w:r>
      <w:r w:rsidR="00553094">
        <w:t>ýrazně zlepší majetkovou situaci</w:t>
      </w:r>
      <w:r w:rsidR="005F627E">
        <w:t xml:space="preserve"> a</w:t>
      </w:r>
      <w:r w:rsidR="00553094">
        <w:t xml:space="preserve"> zbaví se tak svých dluhů.</w:t>
      </w:r>
      <w:r w:rsidR="005F627E">
        <w:t xml:space="preserve"> Rozhodli se jí proto darovat byt č. 2, nacházející se v budově č. 89, na pozemku </w:t>
      </w:r>
      <w:proofErr w:type="spellStart"/>
      <w:r w:rsidR="005F627E">
        <w:t>parc</w:t>
      </w:r>
      <w:proofErr w:type="spellEnd"/>
      <w:r w:rsidR="005F627E">
        <w:t>. č. 789/2 v katastrálním území a obci Mohelno. To však paní Karásková odmítla, neboť s rodiči neměla příliš dobré vztahy a její hrdost jí přijetí takového daru neumožňovala.</w:t>
      </w:r>
    </w:p>
    <w:p w:rsidR="00EC4383" w:rsidRDefault="005F627E" w:rsidP="00850CA8">
      <w:pPr>
        <w:spacing w:line="276" w:lineRule="auto"/>
        <w:jc w:val="both"/>
      </w:pPr>
      <w:r>
        <w:t xml:space="preserve">Brzy se však ukázalo, že </w:t>
      </w:r>
      <w:r w:rsidR="00975132">
        <w:t xml:space="preserve">na ušití prvních navržených modelů večerních šatů </w:t>
      </w:r>
      <w:r>
        <w:t>bude paní Karásková potřebovat</w:t>
      </w:r>
      <w:r w:rsidR="00975132">
        <w:t xml:space="preserve"> kvalitní látky, které byly poměrně drahé, </w:t>
      </w:r>
      <w:r w:rsidR="00553094">
        <w:t>a</w:t>
      </w:r>
      <w:r>
        <w:t xml:space="preserve"> proto </w:t>
      </w:r>
      <w:r w:rsidR="00C54DD3">
        <w:t>si půjčila peněžní prostředky</w:t>
      </w:r>
      <w:r>
        <w:t xml:space="preserve"> ve výši 20</w:t>
      </w:r>
      <w:r w:rsidR="00EC4383">
        <w:t>0</w:t>
      </w:r>
      <w:r w:rsidR="00975132">
        <w:t> 000 Kč u společnosti Půjčíme levně, s. r. o.</w:t>
      </w:r>
      <w:r w:rsidR="007B1A38">
        <w:t>, které</w:t>
      </w:r>
      <w:r w:rsidR="00975132">
        <w:t xml:space="preserve"> </w:t>
      </w:r>
      <w:r w:rsidR="006E7C8D">
        <w:t>však</w:t>
      </w:r>
      <w:r w:rsidR="007B1A38">
        <w:t xml:space="preserve"> nevrátila</w:t>
      </w:r>
      <w:r w:rsidR="00EC4383">
        <w:t xml:space="preserve">. Následně se dostala do takových finančních problémů, že nemohla plnit ani splátkový kalendář, pročež insolvenční soud schválené oddlužení zrušil. </w:t>
      </w:r>
      <w:r w:rsidR="00EC4383" w:rsidRPr="00EC4383">
        <w:t xml:space="preserve">Insolvenční soud </w:t>
      </w:r>
      <w:r w:rsidR="00EC4383">
        <w:t>však nerozhodl</w:t>
      </w:r>
      <w:r w:rsidR="00EC4383" w:rsidRPr="00EC4383">
        <w:t xml:space="preserve"> spolu se zrušením oddlužení o způsobu řešení dlužníkova úpadku konkursem, </w:t>
      </w:r>
      <w:r w:rsidR="00C54DD3">
        <w:t>neboť zjistil</w:t>
      </w:r>
      <w:r w:rsidR="00EC4383">
        <w:t xml:space="preserve">, </w:t>
      </w:r>
      <w:r w:rsidR="007B1A38">
        <w:t>že majetek dlužnice Karáskové</w:t>
      </w:r>
      <w:r w:rsidR="00EC4383" w:rsidRPr="00EC4383">
        <w:t xml:space="preserve"> je pro uspokojení věřitelů zcela nepostačující</w:t>
      </w:r>
      <w:r w:rsidR="00EC4383">
        <w:t>. Proti usnesení insolvenčního soudu o zastavení řízení podal odvolání insolvenční správce s tím,</w:t>
      </w:r>
      <w:r w:rsidR="00C54DD3">
        <w:t xml:space="preserve"> že</w:t>
      </w:r>
      <w:r w:rsidR="00EC4383">
        <w:t xml:space="preserve"> má paní Karásková </w:t>
      </w:r>
      <w:r w:rsidR="007B1A38">
        <w:t xml:space="preserve">neprodané </w:t>
      </w:r>
      <w:r w:rsidR="00EC4383">
        <w:t>hodnotné večerní šaty, které mohou být</w:t>
      </w:r>
      <w:r w:rsidR="007B1A38">
        <w:t xml:space="preserve"> rovněž</w:t>
      </w:r>
      <w:r w:rsidR="00EC4383">
        <w:t xml:space="preserve"> zpeněženy. Odvolací soud však jeho odvolání odmítl, neboť podle jeho názoru není insolvenční správce oprávněnou osobou k podání </w:t>
      </w:r>
      <w:r w:rsidR="007B1A38">
        <w:t>odvolání;</w:t>
      </w:r>
      <w:r w:rsidR="00A448F2">
        <w:t xml:space="preserve"> tou mohou být pouze dlužník a </w:t>
      </w:r>
      <w:r w:rsidR="007B1A38">
        <w:t xml:space="preserve">jeho </w:t>
      </w:r>
      <w:r w:rsidR="00A448F2">
        <w:t>věřitelé.</w:t>
      </w:r>
    </w:p>
    <w:p w:rsidR="006445C0" w:rsidRPr="00152CB6" w:rsidRDefault="006445C0" w:rsidP="006445C0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color w:val="1481AB"/>
          <w:szCs w:val="22"/>
        </w:rPr>
      </w:pPr>
      <w:r w:rsidRPr="00152CB6">
        <w:rPr>
          <w:color w:val="1481AB"/>
          <w:szCs w:val="22"/>
        </w:rPr>
        <w:lastRenderedPageBreak/>
        <w:t>Otázky</w:t>
      </w:r>
    </w:p>
    <w:p w:rsidR="005F627E" w:rsidRDefault="00BF310D" w:rsidP="006445C0">
      <w:pPr>
        <w:numPr>
          <w:ilvl w:val="0"/>
          <w:numId w:val="5"/>
        </w:numPr>
        <w:jc w:val="both"/>
      </w:pPr>
      <w:r>
        <w:t>Mohla paní Karásková platně odmítnout dar od svých rodičů?</w:t>
      </w:r>
    </w:p>
    <w:p w:rsidR="001B688F" w:rsidRDefault="00EC4383" w:rsidP="006445C0">
      <w:pPr>
        <w:numPr>
          <w:ilvl w:val="0"/>
          <w:numId w:val="5"/>
        </w:numPr>
        <w:jc w:val="both"/>
      </w:pPr>
      <w:r>
        <w:t>Je odvolání insolvenčního správce proti usnesení o zastavení řízení subjektivně přípustné</w:t>
      </w:r>
      <w:r w:rsidR="005F627E">
        <w:t>?</w:t>
      </w:r>
    </w:p>
    <w:p w:rsidR="005F627E" w:rsidRDefault="005F627E" w:rsidP="00850CA8">
      <w:pPr>
        <w:spacing w:line="276" w:lineRule="auto"/>
        <w:jc w:val="both"/>
      </w:pPr>
    </w:p>
    <w:p w:rsidR="00091395" w:rsidRDefault="00091395" w:rsidP="00AE2A78"/>
    <w:p w:rsidR="00091395" w:rsidRPr="00091395" w:rsidRDefault="00091395" w:rsidP="00091395"/>
    <w:p w:rsidR="00091395" w:rsidRPr="00091395" w:rsidRDefault="00091395" w:rsidP="00091395"/>
    <w:p w:rsidR="00091395" w:rsidRPr="00091395" w:rsidRDefault="00091395" w:rsidP="00091395"/>
    <w:p w:rsidR="00091395" w:rsidRPr="00091395" w:rsidRDefault="00091395" w:rsidP="00091395"/>
    <w:p w:rsidR="00091395" w:rsidRPr="00091395" w:rsidRDefault="00091395" w:rsidP="00091395"/>
    <w:p w:rsidR="00091395" w:rsidRPr="00091395" w:rsidRDefault="00091395" w:rsidP="00091395"/>
    <w:p w:rsidR="00091395" w:rsidRDefault="00091395" w:rsidP="00091395"/>
    <w:p w:rsidR="00091395" w:rsidRDefault="00091395" w:rsidP="00091395"/>
    <w:p w:rsidR="00AE2A78" w:rsidRDefault="00AE2A78" w:rsidP="00091395">
      <w:pPr>
        <w:jc w:val="center"/>
      </w:pPr>
    </w:p>
    <w:p w:rsidR="00091395" w:rsidRDefault="00091395" w:rsidP="00091395">
      <w:pPr>
        <w:jc w:val="center"/>
      </w:pPr>
    </w:p>
    <w:p w:rsidR="00091395" w:rsidRPr="003C4AFF" w:rsidRDefault="00091395" w:rsidP="00091395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color w:val="1481AB"/>
          <w:sz w:val="28"/>
          <w:szCs w:val="28"/>
        </w:rPr>
      </w:pPr>
      <w:r>
        <w:rPr>
          <w:color w:val="1481AB"/>
          <w:sz w:val="28"/>
          <w:szCs w:val="28"/>
        </w:rPr>
        <w:t>Řešení - Exekuce</w:t>
      </w:r>
    </w:p>
    <w:p w:rsidR="00091395" w:rsidRDefault="00091395" w:rsidP="00091395">
      <w:pPr>
        <w:spacing w:line="276" w:lineRule="auto"/>
        <w:jc w:val="both"/>
      </w:pPr>
    </w:p>
    <w:p w:rsidR="00091395" w:rsidRPr="00AD0DB6" w:rsidRDefault="00091395" w:rsidP="00091395">
      <w:pPr>
        <w:numPr>
          <w:ilvl w:val="0"/>
          <w:numId w:val="6"/>
        </w:numPr>
        <w:jc w:val="both"/>
        <w:rPr>
          <w:b/>
        </w:rPr>
      </w:pPr>
      <w:r w:rsidRPr="00AD0DB6">
        <w:rPr>
          <w:b/>
        </w:rPr>
        <w:t>Postupovala soudní exekutorka JUDr. Kamila Ortová správně, pokud zastavila exekuční řízení z důvodu nesložení zálohy na náklady exekuce?</w:t>
      </w:r>
    </w:p>
    <w:p w:rsidR="00091395" w:rsidRDefault="00091395" w:rsidP="00091395">
      <w:pPr>
        <w:jc w:val="both"/>
      </w:pPr>
    </w:p>
    <w:p w:rsidR="00091395" w:rsidRDefault="00091395" w:rsidP="006D64EE">
      <w:pPr>
        <w:tabs>
          <w:tab w:val="left" w:pos="2775"/>
        </w:tabs>
        <w:jc w:val="center"/>
      </w:pPr>
      <w:r>
        <w:t>I.</w:t>
      </w:r>
    </w:p>
    <w:p w:rsidR="00091395" w:rsidRDefault="00091395" w:rsidP="00091395">
      <w:pPr>
        <w:tabs>
          <w:tab w:val="left" w:pos="2775"/>
        </w:tabs>
        <w:jc w:val="both"/>
      </w:pPr>
      <w:r>
        <w:t>Exekutor má obecně právo požadovat od oprávněného přiměřenou zálohu n</w:t>
      </w:r>
      <w:r w:rsidR="00AD0DB6">
        <w:t xml:space="preserve">a náklady exekuce (90 odst. 3 e. </w:t>
      </w:r>
      <w:proofErr w:type="gramStart"/>
      <w:r w:rsidR="00AD0DB6">
        <w:t>ř.</w:t>
      </w:r>
      <w:proofErr w:type="gramEnd"/>
      <w:r>
        <w:t>). To však neplatí pro exekuci k vymožení výživného nezletilého dítěte, kdy právo požadovat zálohu na náklady exekuce nemá.</w:t>
      </w:r>
    </w:p>
    <w:p w:rsidR="00091395" w:rsidRDefault="00091395" w:rsidP="00091395">
      <w:pPr>
        <w:tabs>
          <w:tab w:val="left" w:pos="2775"/>
        </w:tabs>
        <w:jc w:val="both"/>
      </w:pPr>
      <w:r>
        <w:t>Podle</w:t>
      </w:r>
      <w:r w:rsidR="00AD0DB6">
        <w:t xml:space="preserve"> § 55 odst. 6 e. </w:t>
      </w:r>
      <w:proofErr w:type="gramStart"/>
      <w:r w:rsidR="00AD0DB6">
        <w:t>ř.</w:t>
      </w:r>
      <w:proofErr w:type="gramEnd"/>
      <w:r>
        <w:t xml:space="preserve"> exekutor zastaví exekuci mj. i tehdy, pokud uvedenou zálohu na náklady exekuce oprávněný nesloží. Uvedené se však opět netýká případu, kdy je vymáháno výživné na nezletilé dítě. Neumožňuje-li zákon požadovat složení zálohy na náklady exekuce, je zjevné, že z tohoto důvodu není ani možné exekuční řízení zastavit.</w:t>
      </w:r>
    </w:p>
    <w:p w:rsidR="00091395" w:rsidRDefault="00091395" w:rsidP="006D64EE">
      <w:pPr>
        <w:tabs>
          <w:tab w:val="left" w:pos="2775"/>
        </w:tabs>
        <w:jc w:val="center"/>
      </w:pPr>
      <w:r>
        <w:t>II.</w:t>
      </w:r>
    </w:p>
    <w:p w:rsidR="00091395" w:rsidRDefault="00091395" w:rsidP="005343C7">
      <w:pPr>
        <w:spacing w:line="276" w:lineRule="auto"/>
        <w:jc w:val="both"/>
        <w:rPr>
          <w:szCs w:val="22"/>
        </w:rPr>
      </w:pPr>
      <w:r>
        <w:t>V řešené věci oprávněná (matka nezletilého)</w:t>
      </w:r>
      <w:r w:rsidR="005343C7" w:rsidRPr="005343C7">
        <w:rPr>
          <w:szCs w:val="22"/>
        </w:rPr>
        <w:t xml:space="preserve"> </w:t>
      </w:r>
      <w:r w:rsidR="005343C7">
        <w:rPr>
          <w:szCs w:val="22"/>
        </w:rPr>
        <w:t>podala exekuční návrh k vymožení dlužného výživného ze strany povinného (otce nezletilého) podle rozsudku Okresního soudu ve Zlíně ze dne 14. 1. 2019, č. j. 45 P 178/2018. Soudní exekutor</w:t>
      </w:r>
      <w:r w:rsidR="00AD0DB6">
        <w:rPr>
          <w:szCs w:val="22"/>
        </w:rPr>
        <w:t>k</w:t>
      </w:r>
      <w:r w:rsidR="005343C7">
        <w:rPr>
          <w:szCs w:val="22"/>
        </w:rPr>
        <w:t xml:space="preserve">a ji vyzvala k tomu, aby složila zálohu na náklady exekuce, což však nelze považovat za správný postup s ohledem na to, že jde o vymáhání výživného nezletilého dítěte, kde zákon </w:t>
      </w:r>
      <w:r w:rsidR="005343C7">
        <w:rPr>
          <w:szCs w:val="22"/>
        </w:rPr>
        <w:lastRenderedPageBreak/>
        <w:t xml:space="preserve">takový postup zapovídá. </w:t>
      </w:r>
      <w:r w:rsidR="00AD0DB6">
        <w:rPr>
          <w:szCs w:val="22"/>
        </w:rPr>
        <w:t>Jestliže soudní exekutorka nebyla oprávněna zálohu na náklady exekuce požadovat, nebylo ani</w:t>
      </w:r>
      <w:r w:rsidR="005343C7">
        <w:rPr>
          <w:szCs w:val="22"/>
        </w:rPr>
        <w:t xml:space="preserve"> </w:t>
      </w:r>
      <w:proofErr w:type="gramStart"/>
      <w:r w:rsidR="005343C7">
        <w:rPr>
          <w:szCs w:val="22"/>
        </w:rPr>
        <w:t>místě</w:t>
      </w:r>
      <w:proofErr w:type="gramEnd"/>
      <w:r w:rsidR="005343C7">
        <w:rPr>
          <w:szCs w:val="22"/>
        </w:rPr>
        <w:t>, aby pro nesložení zálohy na náklady exekuce exekuční řízení zastavila (takový postup je rovněž zákonem výslovně vyloučen).</w:t>
      </w:r>
    </w:p>
    <w:p w:rsidR="006D64EE" w:rsidRDefault="005343C7" w:rsidP="006D64EE">
      <w:pPr>
        <w:spacing w:line="276" w:lineRule="auto"/>
        <w:jc w:val="center"/>
        <w:rPr>
          <w:szCs w:val="22"/>
        </w:rPr>
      </w:pPr>
      <w:r>
        <w:rPr>
          <w:szCs w:val="22"/>
        </w:rPr>
        <w:t>III.</w:t>
      </w:r>
    </w:p>
    <w:p w:rsidR="005343C7" w:rsidRPr="005343C7" w:rsidRDefault="005343C7" w:rsidP="005343C7">
      <w:pPr>
        <w:spacing w:line="276" w:lineRule="auto"/>
        <w:jc w:val="both"/>
        <w:rPr>
          <w:szCs w:val="22"/>
        </w:rPr>
      </w:pPr>
      <w:r>
        <w:rPr>
          <w:szCs w:val="22"/>
        </w:rPr>
        <w:t>Soudní exekutorka JUDr. Kamila Ortová nepostupovala správně, pokud zastavila exekuční řízení z důvodu nesložení zálohy na náklady exekuce.</w:t>
      </w:r>
    </w:p>
    <w:p w:rsidR="00091395" w:rsidRDefault="00091395" w:rsidP="00091395">
      <w:pPr>
        <w:tabs>
          <w:tab w:val="left" w:pos="2775"/>
        </w:tabs>
        <w:jc w:val="both"/>
      </w:pPr>
    </w:p>
    <w:p w:rsidR="00091395" w:rsidRPr="00AD0DB6" w:rsidRDefault="00091395" w:rsidP="00091395">
      <w:pPr>
        <w:jc w:val="both"/>
        <w:rPr>
          <w:b/>
        </w:rPr>
      </w:pPr>
    </w:p>
    <w:p w:rsidR="00091395" w:rsidRPr="00AD0DB6" w:rsidRDefault="00091395" w:rsidP="00091395">
      <w:pPr>
        <w:numPr>
          <w:ilvl w:val="0"/>
          <w:numId w:val="6"/>
        </w:numPr>
        <w:jc w:val="both"/>
        <w:rPr>
          <w:b/>
        </w:rPr>
      </w:pPr>
      <w:r w:rsidRPr="00AD0DB6">
        <w:rPr>
          <w:b/>
        </w:rPr>
        <w:t xml:space="preserve">Byla správná argumentace Okresního soudu ve Zlíně, spočívající v tom, že vymožení povinnosti zaplatit dlužné výživné je možné realizovat jen cestou exekučního řízení? </w:t>
      </w:r>
    </w:p>
    <w:p w:rsidR="00091395" w:rsidRDefault="00091395" w:rsidP="00091395"/>
    <w:p w:rsidR="00091395" w:rsidRDefault="005343C7" w:rsidP="006D64EE">
      <w:pPr>
        <w:jc w:val="center"/>
      </w:pPr>
      <w:r>
        <w:t>I.</w:t>
      </w:r>
    </w:p>
    <w:p w:rsidR="005D5E2A" w:rsidRDefault="005D5E2A" w:rsidP="00AD0DB6">
      <w:pPr>
        <w:jc w:val="both"/>
      </w:pPr>
      <w:r>
        <w:t xml:space="preserve">Výkon soudního rozhodnutí probíhá podle v současnosti </w:t>
      </w:r>
      <w:r w:rsidR="00AD0DB6">
        <w:t>platné právní úpravy</w:t>
      </w:r>
      <w:r>
        <w:t xml:space="preserve"> v režimu tzv. dvojkolejnosti. Ta spočívá v tom, že výkon rozhodnutí provádí jak soudy (postupem podle části VI. o. s. ř.), tak soudní exekutoři (postupem podle e. </w:t>
      </w:r>
      <w:proofErr w:type="gramStart"/>
      <w:r>
        <w:t>ř.</w:t>
      </w:r>
      <w:proofErr w:type="gramEnd"/>
      <w:r w:rsidR="00AD0DB6">
        <w:t>)</w:t>
      </w:r>
      <w:r>
        <w:t xml:space="preserve"> Exekuční řád přitom předvídá přiměřenou použitelnost občanského soudního řádu, což vyplývá z § 52 odst. 1 e. ř. Je na oprávněném, jaký způsob vymožení jemu přiznaného práva využije. </w:t>
      </w:r>
    </w:p>
    <w:p w:rsidR="00544AF3" w:rsidRDefault="00544AF3" w:rsidP="00AD0DB6">
      <w:pPr>
        <w:jc w:val="both"/>
      </w:pPr>
      <w:r>
        <w:t>Z uvedené dvojkolejnosti však existují výjimky. Tak např. prostřednictvím části VI. o. s. ř. nelze vykonávat rozhodnutí vydaná ve</w:t>
      </w:r>
      <w:r w:rsidRPr="00544AF3">
        <w:t xml:space="preserve"> správním nebo daň</w:t>
      </w:r>
      <w:r>
        <w:t xml:space="preserve">ovém řízení (u nich je přípustná pouze exekuce prostřednictvím e. </w:t>
      </w:r>
      <w:proofErr w:type="gramStart"/>
      <w:r>
        <w:t>ř.</w:t>
      </w:r>
      <w:proofErr w:type="gramEnd"/>
      <w:r>
        <w:t xml:space="preserve">). Naopak v exekučním řízení podle e. ř. nelze vymáhat splnění povinnosti stanovené v rozhodnutí o péči o nezletilé děti (zde je přípustný pouze postup podle části VI. o. s. ř.). To však neplatí pro případy, kdy má být exekuce </w:t>
      </w:r>
      <w:r w:rsidRPr="00544AF3">
        <w:t>vedena podle rozhodnutí o výživném na nezletilé děti nebo podle cizího rozhodnutí, u něhož bylo vydáno prohlášení vykonatelnosti podle přímo použitelného předpisu Evropské unie nebo mezinárodní s</w:t>
      </w:r>
      <w:r>
        <w:t xml:space="preserve">mlouvy nebo rozhodnuto o uznání (§ 37 odst. 2 písm. b) o. s. ř.). </w:t>
      </w:r>
    </w:p>
    <w:p w:rsidR="00DE7BB3" w:rsidRDefault="00DE7BB3" w:rsidP="006D64EE">
      <w:pPr>
        <w:spacing w:line="276" w:lineRule="auto"/>
        <w:jc w:val="center"/>
      </w:pPr>
      <w:r>
        <w:t>II.</w:t>
      </w:r>
    </w:p>
    <w:p w:rsidR="00AD0DB6" w:rsidRDefault="00DE7BB3" w:rsidP="00AD0DB6">
      <w:pPr>
        <w:spacing w:line="276" w:lineRule="auto"/>
        <w:jc w:val="both"/>
      </w:pPr>
      <w:r>
        <w:t xml:space="preserve">Paní Pavlína </w:t>
      </w:r>
      <w:proofErr w:type="spellStart"/>
      <w:r>
        <w:t>Jezevčíková</w:t>
      </w:r>
      <w:proofErr w:type="spellEnd"/>
      <w:r>
        <w:t xml:space="preserve"> podala původně exekuční návrh k vymožení povinnosti stanovené rozhodnutím o výživném nezletilého k soudní exekutorce. Tento postup je v souladu se shora uvedenými právními předpisy. Ačkoliv patří otázky výživného pro nezletilé dítě do oblasti péče soudu o nezletilé, kde je exekuce podle e. </w:t>
      </w:r>
      <w:proofErr w:type="gramStart"/>
      <w:r>
        <w:t>ř.</w:t>
      </w:r>
      <w:proofErr w:type="gramEnd"/>
      <w:r>
        <w:t xml:space="preserve"> </w:t>
      </w:r>
      <w:r w:rsidR="00AD0DB6">
        <w:t xml:space="preserve">obecně vyloučena, </w:t>
      </w:r>
      <w:r>
        <w:t xml:space="preserve">podle výslovného ustanovení zákona je výjimka stanovena pro případ,  má-li být vymoženo výživné na nezletilé dítě, O to jde i v řešené </w:t>
      </w:r>
      <w:r w:rsidR="00AD0DB6">
        <w:t xml:space="preserve">věci, když měla být vedena </w:t>
      </w:r>
      <w:r>
        <w:t xml:space="preserve">exekuce podle rozhodnutí Okresního soudu ve Zlíně o výživném na nezletilé dítě. Bylo zcela na oprávněné, zda zvolí postup podle e. </w:t>
      </w:r>
      <w:proofErr w:type="gramStart"/>
      <w:r>
        <w:t>ř.</w:t>
      </w:r>
      <w:proofErr w:type="gramEnd"/>
      <w:r>
        <w:t xml:space="preserve"> nebo podle části VI. o. s. ř. </w:t>
      </w:r>
      <w:r w:rsidR="00AD0DB6">
        <w:t xml:space="preserve">Nelze tedy přisvědčit Okresnímu soudu ve Zlíně, že je v řešené věci možná pouze cesta exekučního řízení. </w:t>
      </w:r>
    </w:p>
    <w:p w:rsidR="00DE7BB3" w:rsidRDefault="00DE7BB3" w:rsidP="00AD0DB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t xml:space="preserve">Jestliže po zastavení exekučního řízení pro nesložení zálohy na náklady exekuce podala návrh na výkon rozhodnutí podle části VI. o. s. ř., tomuto jejímu postupu nic </w:t>
      </w:r>
      <w:r>
        <w:lastRenderedPageBreak/>
        <w:t xml:space="preserve">nebránilo, </w:t>
      </w:r>
      <w:r w:rsidR="00AD0DB6">
        <w:t xml:space="preserve">a to s ohledem na to, že exekuční řízení neskončilo vydáním exekučního příkazu, ale zastavením exekučního řízení pro nesložení zálohy, takže ani nemůže být v následném řízení o výkon rozhodnutí podle části VI. o. s. ř. dána překážka </w:t>
      </w:r>
      <w:proofErr w:type="spellStart"/>
      <w:r w:rsidR="00AD0DB6">
        <w:t>rei</w:t>
      </w:r>
      <w:proofErr w:type="spellEnd"/>
      <w:r w:rsidR="00AD0DB6">
        <w:t xml:space="preserve"> </w:t>
      </w:r>
      <w:proofErr w:type="spellStart"/>
      <w:r w:rsidR="00AD0DB6">
        <w:t>iudicatae</w:t>
      </w:r>
      <w:proofErr w:type="spellEnd"/>
      <w:r w:rsidR="00AD0DB6">
        <w:t xml:space="preserve">. </w:t>
      </w:r>
    </w:p>
    <w:p w:rsidR="00544AF3" w:rsidRDefault="00544AF3" w:rsidP="005D5E2A"/>
    <w:p w:rsidR="00544AF3" w:rsidRDefault="00544AF3" w:rsidP="006D64EE">
      <w:pPr>
        <w:jc w:val="center"/>
      </w:pPr>
      <w:r>
        <w:t>III.</w:t>
      </w:r>
    </w:p>
    <w:p w:rsidR="00544AF3" w:rsidRDefault="00544AF3" w:rsidP="005D5E2A">
      <w:r>
        <w:t>Argumentace Okresního soudu ve Zlíně nebyla správná.</w:t>
      </w:r>
    </w:p>
    <w:p w:rsidR="00544AF3" w:rsidRDefault="00544AF3" w:rsidP="005D5E2A"/>
    <w:p w:rsidR="00091395" w:rsidRPr="003C4AFF" w:rsidRDefault="00091395" w:rsidP="00091395">
      <w:pPr>
        <w:keepNext/>
        <w:keepLines/>
        <w:pBdr>
          <w:bottom w:val="single" w:sz="4" w:space="1" w:color="1CADE4"/>
        </w:pBdr>
        <w:spacing w:before="400" w:after="40" w:line="240" w:lineRule="auto"/>
        <w:outlineLvl w:val="0"/>
        <w:rPr>
          <w:color w:val="1481AB"/>
          <w:sz w:val="28"/>
          <w:szCs w:val="28"/>
        </w:rPr>
      </w:pPr>
      <w:r>
        <w:rPr>
          <w:color w:val="1481AB"/>
          <w:sz w:val="28"/>
          <w:szCs w:val="28"/>
        </w:rPr>
        <w:t>Řešení - Insolvence</w:t>
      </w:r>
    </w:p>
    <w:p w:rsidR="00091395" w:rsidRDefault="00091395" w:rsidP="00091395">
      <w:pPr>
        <w:spacing w:line="276" w:lineRule="auto"/>
        <w:jc w:val="both"/>
      </w:pPr>
    </w:p>
    <w:p w:rsidR="00091395" w:rsidRDefault="00091395" w:rsidP="00091395"/>
    <w:p w:rsidR="00A11447" w:rsidRPr="007A1636" w:rsidRDefault="00091395" w:rsidP="00AD0DB6">
      <w:pPr>
        <w:numPr>
          <w:ilvl w:val="0"/>
          <w:numId w:val="8"/>
        </w:numPr>
        <w:jc w:val="both"/>
        <w:rPr>
          <w:rStyle w:val="PromnnHTML"/>
          <w:b/>
          <w:i w:val="0"/>
          <w:iCs w:val="0"/>
        </w:rPr>
      </w:pPr>
      <w:r w:rsidRPr="007A1636">
        <w:rPr>
          <w:b/>
        </w:rPr>
        <w:t>Mohla paní Karásková platně odmítnout dar od svých rodičů?</w:t>
      </w:r>
    </w:p>
    <w:p w:rsidR="00A11447" w:rsidRDefault="00A11447" w:rsidP="00AD0DB6">
      <w:pPr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7A1636" w:rsidRDefault="007A1636" w:rsidP="006D64EE">
      <w:pPr>
        <w:jc w:val="center"/>
      </w:pPr>
      <w:r>
        <w:t>I.</w:t>
      </w:r>
    </w:p>
    <w:p w:rsidR="00A11447" w:rsidRPr="007A1636" w:rsidRDefault="00CA33D1" w:rsidP="00AD0DB6">
      <w:pPr>
        <w:jc w:val="both"/>
      </w:pPr>
      <w:r w:rsidRPr="007A1636">
        <w:t xml:space="preserve">Ve </w:t>
      </w:r>
      <w:r w:rsidRPr="007A1636">
        <w:t xml:space="preserve">smyslu zásady </w:t>
      </w:r>
      <w:r w:rsidRPr="007A1636">
        <w:t>co</w:t>
      </w:r>
      <w:r w:rsidR="007A1636" w:rsidRPr="007A1636">
        <w:t xml:space="preserve"> </w:t>
      </w:r>
      <w:r w:rsidRPr="007A1636">
        <w:t>nejvyššího možného uspokojení věřitelů</w:t>
      </w:r>
      <w:r w:rsidR="00680DBF">
        <w:t xml:space="preserve"> v insolvenčním řízení,</w:t>
      </w:r>
      <w:r w:rsidRPr="007A1636">
        <w:t xml:space="preserve"> má dlužník povinnost nejen provádět splátky z dosahovaných pravidelných příjmů, ale na úhradu pohledávek svých věřitelů použít i majetkové hodnoty, které získá </w:t>
      </w:r>
      <w:r w:rsidR="00EC6155" w:rsidRPr="007A1636">
        <w:t>po schválení oddlužení mimořádně, např. darem [§ 412 odst. 1 písm. b) i. z.].</w:t>
      </w:r>
    </w:p>
    <w:p w:rsidR="007A1636" w:rsidRDefault="00EC6155" w:rsidP="007A1636">
      <w:pPr>
        <w:jc w:val="both"/>
      </w:pPr>
      <w:r w:rsidRPr="007A1636">
        <w:t xml:space="preserve">Z tohoto </w:t>
      </w:r>
      <w:r w:rsidR="00D3088A" w:rsidRPr="007A1636">
        <w:t xml:space="preserve">důvodu zákon neumožňuje </w:t>
      </w:r>
      <w:r w:rsidR="007A1636" w:rsidRPr="007A1636">
        <w:t xml:space="preserve">dlužníkovi </w:t>
      </w:r>
      <w:r w:rsidR="007A1636">
        <w:t>v případě</w:t>
      </w:r>
      <w:r w:rsidR="007A1636" w:rsidRPr="007A1636">
        <w:t xml:space="preserve"> trvání účinků schválení oddlužení plněním splátkov</w:t>
      </w:r>
      <w:r w:rsidR="007A1636">
        <w:t xml:space="preserve">ého kalendáře se zpeněžením majetkové podstaty </w:t>
      </w:r>
      <w:r w:rsidR="007A1636" w:rsidRPr="007A1636">
        <w:t>libovolně odmítnout</w:t>
      </w:r>
      <w:r w:rsidR="006D64EE">
        <w:t xml:space="preserve"> </w:t>
      </w:r>
      <w:r w:rsidR="007A1636" w:rsidRPr="007A1636">
        <w:t>dar nebo dědictví, ledaže s tím souhlasí insolvenční správce. V případě chybějícího souhlasu insolvenčního správce je odmítnutí daru nebo dědictví neplatným právním úkonem (§ 412 odst. 3 i. z.)</w:t>
      </w:r>
    </w:p>
    <w:p w:rsidR="00CA33D1" w:rsidRDefault="00CA33D1" w:rsidP="00AD0DB6">
      <w:pPr>
        <w:jc w:val="both"/>
      </w:pPr>
    </w:p>
    <w:p w:rsidR="00AD0DB6" w:rsidRDefault="007A1636" w:rsidP="007A1636">
      <w:pPr>
        <w:tabs>
          <w:tab w:val="left" w:pos="1260"/>
        </w:tabs>
        <w:jc w:val="both"/>
      </w:pPr>
      <w:r>
        <w:tab/>
      </w:r>
    </w:p>
    <w:p w:rsidR="00AD0DB6" w:rsidRDefault="00AD0DB6" w:rsidP="006D64EE">
      <w:pPr>
        <w:tabs>
          <w:tab w:val="left" w:pos="2190"/>
        </w:tabs>
        <w:jc w:val="center"/>
      </w:pPr>
      <w:r>
        <w:t>II.</w:t>
      </w:r>
    </w:p>
    <w:p w:rsidR="007A1636" w:rsidRDefault="007A1636" w:rsidP="006D64EE">
      <w:pPr>
        <w:spacing w:line="276" w:lineRule="auto"/>
        <w:jc w:val="both"/>
      </w:pPr>
      <w:r>
        <w:t xml:space="preserve">Rodiče paní Karáskové se rozhodli darovat své dceři paní Karáskové </w:t>
      </w:r>
      <w:r>
        <w:t xml:space="preserve">byt č. 2, nacházející se v budově č. 89, 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789/2 v katastrálním území a obci Mohelno</w:t>
      </w:r>
      <w:r>
        <w:t>. Paní Karásková však dar odmítla, aniž by si opatřila souhlas insolvenčního správce. Protože trvaly účinky schváleného oddlužení plněním splátkového kalendáře se zpeněžením majetkové podstaty, byl však souhlas insolvenčního správce s odmítnutím daru podmínkou platnosti takového odmítnutí. Jestliže jej insolvenční správce nedal, je odmí</w:t>
      </w:r>
      <w:r w:rsidR="006D64EE">
        <w:t>t</w:t>
      </w:r>
      <w:r>
        <w:t>nutí</w:t>
      </w:r>
      <w:r w:rsidR="006D64EE">
        <w:t xml:space="preserve"> přijetí</w:t>
      </w:r>
      <w:r>
        <w:t xml:space="preserve"> daru neplatné.</w:t>
      </w:r>
      <w:r w:rsidR="006D64EE">
        <w:t xml:space="preserve"> Nerozhodné je, jaký důvod k odmítnutí daru paní Karásková měla. </w:t>
      </w:r>
    </w:p>
    <w:p w:rsidR="007A1636" w:rsidRDefault="007A1636" w:rsidP="00AD0DB6">
      <w:pPr>
        <w:jc w:val="both"/>
      </w:pPr>
    </w:p>
    <w:p w:rsidR="00AD0DB6" w:rsidRDefault="00AD0DB6" w:rsidP="00AD0DB6">
      <w:pPr>
        <w:jc w:val="both"/>
      </w:pPr>
    </w:p>
    <w:p w:rsidR="00AD0DB6" w:rsidRDefault="00AD0DB6" w:rsidP="006D64EE">
      <w:pPr>
        <w:jc w:val="center"/>
      </w:pPr>
      <w:r>
        <w:t>III.</w:t>
      </w:r>
    </w:p>
    <w:p w:rsidR="00AD0DB6" w:rsidRDefault="00AD0DB6" w:rsidP="00AD0DB6">
      <w:pPr>
        <w:jc w:val="both"/>
      </w:pPr>
      <w:r>
        <w:lastRenderedPageBreak/>
        <w:t>Paní Karásková nemohla dar od svých rodičů platně odmítnout.</w:t>
      </w:r>
    </w:p>
    <w:p w:rsidR="00AD0DB6" w:rsidRDefault="00AD0DB6" w:rsidP="00AD0DB6">
      <w:pPr>
        <w:jc w:val="both"/>
      </w:pPr>
    </w:p>
    <w:p w:rsidR="00AD0DB6" w:rsidRDefault="00AD0DB6" w:rsidP="00AD0DB6">
      <w:pPr>
        <w:jc w:val="both"/>
      </w:pPr>
    </w:p>
    <w:p w:rsidR="00AD0DB6" w:rsidRPr="006D64EE" w:rsidRDefault="00AD0DB6" w:rsidP="00AD0DB6">
      <w:pPr>
        <w:jc w:val="both"/>
      </w:pPr>
    </w:p>
    <w:p w:rsidR="00091395" w:rsidRPr="00680DBF" w:rsidRDefault="00091395" w:rsidP="00091395">
      <w:pPr>
        <w:numPr>
          <w:ilvl w:val="0"/>
          <w:numId w:val="8"/>
        </w:numPr>
        <w:jc w:val="both"/>
        <w:rPr>
          <w:b/>
        </w:rPr>
      </w:pPr>
      <w:r w:rsidRPr="00680DBF">
        <w:rPr>
          <w:b/>
        </w:rPr>
        <w:t>Je odvolání insolvenčního správce proti usnesení o zastavení řízení subjektivně přípustné?</w:t>
      </w:r>
    </w:p>
    <w:p w:rsidR="00091395" w:rsidRPr="00680DBF" w:rsidRDefault="00091395" w:rsidP="00091395">
      <w:pPr>
        <w:rPr>
          <w:b/>
        </w:rPr>
      </w:pPr>
    </w:p>
    <w:p w:rsidR="006D64EE" w:rsidRDefault="006D64EE" w:rsidP="00680DBF">
      <w:pPr>
        <w:tabs>
          <w:tab w:val="left" w:pos="2655"/>
        </w:tabs>
        <w:jc w:val="center"/>
      </w:pPr>
      <w:r>
        <w:t>I.</w:t>
      </w:r>
    </w:p>
    <w:p w:rsidR="006D64EE" w:rsidRPr="00680DBF" w:rsidRDefault="006D64EE" w:rsidP="00680DBF">
      <w:pPr>
        <w:tabs>
          <w:tab w:val="left" w:pos="3690"/>
        </w:tabs>
        <w:jc w:val="both"/>
      </w:pPr>
      <w:r>
        <w:t xml:space="preserve">V případě zrušení oddlužení rozhoduje obecně insolvenční soud současně o řešení dlužníkova úpadku konkursem. Neučiní tak v případě, že zjistí, že majetek dlužníka, </w:t>
      </w:r>
      <w:r w:rsidRPr="00680DBF">
        <w:t>aniž se přihlíží k věcem, právům a jiným majetkovým hodnotám vyloučeným z majetkové podstaty, je pro uspokojení věřitelů zcela nepostačující</w:t>
      </w:r>
      <w:r w:rsidRPr="00680DBF">
        <w:t xml:space="preserve"> (§ 418 odst. 4 i. z.); z tohoto pravidla předpokládá rovněž určité výjimky (§ 418 odst. 4 písm. a-c i. z.).</w:t>
      </w:r>
    </w:p>
    <w:p w:rsidR="006D64EE" w:rsidRPr="00680DBF" w:rsidRDefault="006D64EE" w:rsidP="00680DBF">
      <w:pPr>
        <w:tabs>
          <w:tab w:val="left" w:pos="3690"/>
        </w:tabs>
        <w:jc w:val="both"/>
      </w:pPr>
      <w:r w:rsidRPr="00680DBF">
        <w:t xml:space="preserve">V případě, že </w:t>
      </w:r>
      <w:r w:rsidRPr="00680DBF">
        <w:t>insolvenční soud nerozhodne o způsobu dlužníkova úpadku konkursem, insolvenční řízení zastaví; současně rozhodne o odměně insolvenčního správce a jeho nákladech a zprostí in</w:t>
      </w:r>
      <w:r w:rsidRPr="00680DBF">
        <w:t>solvenčního správce jeho funkce (§ 418 odst. 5 první věta i. z.).</w:t>
      </w:r>
    </w:p>
    <w:p w:rsidR="006D64EE" w:rsidRPr="00680DBF" w:rsidRDefault="006D64EE" w:rsidP="00680DBF">
      <w:pPr>
        <w:tabs>
          <w:tab w:val="left" w:pos="3690"/>
        </w:tabs>
        <w:jc w:val="both"/>
      </w:pPr>
      <w:r w:rsidRPr="00680DBF">
        <w:t>Subjektivní přípustnost odvolání vymezuje okruh subjektů oprávněných k podání odvolání.</w:t>
      </w:r>
      <w:r w:rsidRPr="00680DBF">
        <w:t xml:space="preserve"> Proti </w:t>
      </w:r>
      <w:r w:rsidRPr="00680DBF">
        <w:t xml:space="preserve">rozhodnutí o zastavení řízení mohou podat odvolání osoby uvedené v </w:t>
      </w:r>
      <w:r w:rsidRPr="00680DBF">
        <w:t xml:space="preserve">§ 418 </w:t>
      </w:r>
      <w:r w:rsidRPr="00680DBF">
        <w:t>odstavci 7</w:t>
      </w:r>
      <w:r w:rsidRPr="00680DBF">
        <w:t xml:space="preserve"> i. z. (tj. dlužník</w:t>
      </w:r>
      <w:r w:rsidRPr="00680DBF">
        <w:t>, insolvenčního sprá</w:t>
      </w:r>
      <w:r w:rsidRPr="00680DBF">
        <w:t>vce, věřitelský výbor a věřitel</w:t>
      </w:r>
      <w:r w:rsidRPr="00680DBF">
        <w:t>, který zrušení oddlužení navrhl</w:t>
      </w:r>
      <w:r w:rsidRPr="00680DBF">
        <w:t xml:space="preserve">) a přihlášení věřitelé (§ 418 odst. 8 i. z.). </w:t>
      </w:r>
      <w:r>
        <w:tab/>
      </w:r>
    </w:p>
    <w:p w:rsidR="006D64EE" w:rsidRDefault="006D64EE" w:rsidP="00091395"/>
    <w:p w:rsidR="006D64EE" w:rsidRDefault="006D64EE" w:rsidP="00680DBF">
      <w:pPr>
        <w:jc w:val="center"/>
      </w:pPr>
      <w:r>
        <w:t>II.</w:t>
      </w:r>
    </w:p>
    <w:p w:rsidR="00680DBF" w:rsidRDefault="00680DBF" w:rsidP="00680DBF">
      <w:pPr>
        <w:jc w:val="both"/>
      </w:pPr>
      <w:r>
        <w:t xml:space="preserve">V řešené věci došlo ke zrušení oddlužení, přičemž však insolvenční soud nerozhodl spolu se zrušením oddlužení o způsobu řešení dlužníkova úpadku konkursem, neboť majetek dlužnice zcela nepostačuje k uspokojení věřitelů. To je postup, který zákon umožňuje, včetně na to navazujícího rozhodnutí insolvenčního soudu o zastavení řízení. </w:t>
      </w:r>
      <w:r>
        <w:t xml:space="preserve">Proti usnesení insolvenčního soudu o zastavení řízení podal odvolání insolvenční správce </w:t>
      </w:r>
      <w:r>
        <w:t>odvolání. Insolvenční správce výslovně uveden v zákoně (kromě dlužníka, věřitele, který zrušení oddlužení navrhl, a přihlášených věřitelů) jako jeden ze subjektů, který je oprávněn podat proti usnesení o zastavení insolvenčního řízení odvolání. Názor insolvenčního soudu tak není</w:t>
      </w:r>
      <w:bookmarkStart w:id="0" w:name="_GoBack"/>
      <w:bookmarkEnd w:id="0"/>
      <w:r>
        <w:t xml:space="preserve"> správný.</w:t>
      </w:r>
    </w:p>
    <w:p w:rsidR="006D64EE" w:rsidRDefault="006D64EE" w:rsidP="00680DBF">
      <w:pPr>
        <w:jc w:val="both"/>
      </w:pPr>
    </w:p>
    <w:p w:rsidR="006D64EE" w:rsidRDefault="006D64EE" w:rsidP="00680DBF">
      <w:pPr>
        <w:jc w:val="center"/>
      </w:pPr>
      <w:r>
        <w:t>III.</w:t>
      </w:r>
    </w:p>
    <w:p w:rsidR="006D64EE" w:rsidRDefault="006D64EE" w:rsidP="00680DBF">
      <w:pPr>
        <w:jc w:val="both"/>
      </w:pPr>
      <w:r>
        <w:t>Odvolání insolvenčního správce proti usnesení o zastavení řízení je subjektivně přípustné.</w:t>
      </w:r>
    </w:p>
    <w:p w:rsidR="00091395" w:rsidRPr="00091395" w:rsidRDefault="00091395" w:rsidP="00091395">
      <w:pPr>
        <w:jc w:val="center"/>
      </w:pPr>
    </w:p>
    <w:sectPr w:rsidR="00091395" w:rsidRPr="0009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F4" w:rsidRDefault="00127FF4" w:rsidP="007A1636">
      <w:pPr>
        <w:spacing w:after="0" w:line="240" w:lineRule="auto"/>
      </w:pPr>
      <w:r>
        <w:separator/>
      </w:r>
    </w:p>
  </w:endnote>
  <w:endnote w:type="continuationSeparator" w:id="0">
    <w:p w:rsidR="00127FF4" w:rsidRDefault="00127FF4" w:rsidP="007A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F4" w:rsidRDefault="00127FF4" w:rsidP="007A1636">
      <w:pPr>
        <w:spacing w:after="0" w:line="240" w:lineRule="auto"/>
      </w:pPr>
      <w:r>
        <w:separator/>
      </w:r>
    </w:p>
  </w:footnote>
  <w:footnote w:type="continuationSeparator" w:id="0">
    <w:p w:rsidR="00127FF4" w:rsidRDefault="00127FF4" w:rsidP="007A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B52"/>
    <w:multiLevelType w:val="hybridMultilevel"/>
    <w:tmpl w:val="BE6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3D2"/>
    <w:multiLevelType w:val="hybridMultilevel"/>
    <w:tmpl w:val="BE6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1691B"/>
    <w:multiLevelType w:val="hybridMultilevel"/>
    <w:tmpl w:val="1D1C4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228B6"/>
    <w:multiLevelType w:val="hybridMultilevel"/>
    <w:tmpl w:val="BE6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1769"/>
    <w:multiLevelType w:val="hybridMultilevel"/>
    <w:tmpl w:val="BE6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12EF"/>
    <w:multiLevelType w:val="hybridMultilevel"/>
    <w:tmpl w:val="BE6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E4AB6"/>
    <w:multiLevelType w:val="hybridMultilevel"/>
    <w:tmpl w:val="BE64BB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810D2"/>
    <w:multiLevelType w:val="hybridMultilevel"/>
    <w:tmpl w:val="1CAA00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A0"/>
    <w:rsid w:val="000525A0"/>
    <w:rsid w:val="000746D2"/>
    <w:rsid w:val="00091395"/>
    <w:rsid w:val="00127FF4"/>
    <w:rsid w:val="001B688F"/>
    <w:rsid w:val="001B78E6"/>
    <w:rsid w:val="00254EC5"/>
    <w:rsid w:val="00387909"/>
    <w:rsid w:val="003D7910"/>
    <w:rsid w:val="003E0FDF"/>
    <w:rsid w:val="00450D28"/>
    <w:rsid w:val="004B148E"/>
    <w:rsid w:val="005343C7"/>
    <w:rsid w:val="00544AF3"/>
    <w:rsid w:val="00553094"/>
    <w:rsid w:val="005D5E2A"/>
    <w:rsid w:val="005F627E"/>
    <w:rsid w:val="005F6EFC"/>
    <w:rsid w:val="006445C0"/>
    <w:rsid w:val="006534DD"/>
    <w:rsid w:val="00673C1D"/>
    <w:rsid w:val="00680DBF"/>
    <w:rsid w:val="006D3236"/>
    <w:rsid w:val="006D64EE"/>
    <w:rsid w:val="006E1822"/>
    <w:rsid w:val="006E7C8D"/>
    <w:rsid w:val="00765A8E"/>
    <w:rsid w:val="0077325D"/>
    <w:rsid w:val="007A1636"/>
    <w:rsid w:val="007B1A38"/>
    <w:rsid w:val="00813854"/>
    <w:rsid w:val="00850CA8"/>
    <w:rsid w:val="0086681E"/>
    <w:rsid w:val="008A2D5A"/>
    <w:rsid w:val="008E7299"/>
    <w:rsid w:val="009140AB"/>
    <w:rsid w:val="00975132"/>
    <w:rsid w:val="009B2300"/>
    <w:rsid w:val="00A11447"/>
    <w:rsid w:val="00A369D2"/>
    <w:rsid w:val="00A448F2"/>
    <w:rsid w:val="00A7501F"/>
    <w:rsid w:val="00AD0DB6"/>
    <w:rsid w:val="00AE2A78"/>
    <w:rsid w:val="00B167BE"/>
    <w:rsid w:val="00B522D6"/>
    <w:rsid w:val="00BF310D"/>
    <w:rsid w:val="00C54DD3"/>
    <w:rsid w:val="00C74AF6"/>
    <w:rsid w:val="00CA33D1"/>
    <w:rsid w:val="00D3088A"/>
    <w:rsid w:val="00DE7BB3"/>
    <w:rsid w:val="00E11FF1"/>
    <w:rsid w:val="00E12ED0"/>
    <w:rsid w:val="00EC196C"/>
    <w:rsid w:val="00EC4383"/>
    <w:rsid w:val="00EC6155"/>
    <w:rsid w:val="00F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DA61"/>
  <w15:chartTrackingRefBased/>
  <w15:docId w15:val="{96D94516-C7DF-404E-A3A3-32D9C10D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681E"/>
    <w:pPr>
      <w:spacing w:after="120" w:line="264" w:lineRule="auto"/>
    </w:pPr>
    <w:rPr>
      <w:rFonts w:ascii="Century Gothic" w:eastAsia="Times New Roman" w:hAnsi="Century Gothic" w:cs="Times New Roman"/>
      <w:szCs w:val="21"/>
    </w:rPr>
  </w:style>
  <w:style w:type="paragraph" w:styleId="Nadpis1">
    <w:name w:val="heading 1"/>
    <w:basedOn w:val="Normln"/>
    <w:next w:val="Normln"/>
    <w:link w:val="Nadpis1Char"/>
    <w:qFormat/>
    <w:rsid w:val="0086681E"/>
    <w:pPr>
      <w:keepNext/>
      <w:keepLines/>
      <w:pBdr>
        <w:bottom w:val="single" w:sz="4" w:space="1" w:color="1CADE4"/>
      </w:pBdr>
      <w:spacing w:before="400" w:after="40" w:line="240" w:lineRule="auto"/>
      <w:outlineLvl w:val="0"/>
    </w:pPr>
    <w:rPr>
      <w:color w:val="1481AB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79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681E"/>
    <w:rPr>
      <w:rFonts w:ascii="Century Gothic" w:eastAsia="Times New Roman" w:hAnsi="Century Gothic" w:cs="Times New Roman"/>
      <w:color w:val="1481AB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6681E"/>
    <w:pPr>
      <w:spacing w:after="0" w:line="240" w:lineRule="auto"/>
    </w:pPr>
    <w:rPr>
      <w:color w:val="1481AB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rsid w:val="0086681E"/>
    <w:rPr>
      <w:rFonts w:ascii="Century Gothic" w:eastAsia="Times New Roman" w:hAnsi="Century Gothic" w:cs="Times New Roman"/>
      <w:color w:val="1481AB"/>
      <w:spacing w:val="-7"/>
      <w:sz w:val="80"/>
      <w:szCs w:val="80"/>
    </w:rPr>
  </w:style>
  <w:style w:type="paragraph" w:styleId="Odstavecseseznamem">
    <w:name w:val="List Paragraph"/>
    <w:basedOn w:val="Normln"/>
    <w:uiPriority w:val="34"/>
    <w:qFormat/>
    <w:rsid w:val="00C74AF6"/>
    <w:pPr>
      <w:spacing w:after="160" w:line="300" w:lineRule="auto"/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customStyle="1" w:styleId="Nadpis3Char">
    <w:name w:val="Nadpis 3 Char"/>
    <w:basedOn w:val="Standardnpsmoodstavce"/>
    <w:link w:val="Nadpis3"/>
    <w:uiPriority w:val="9"/>
    <w:rsid w:val="003879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4">
    <w:name w:val="l4"/>
    <w:basedOn w:val="Normln"/>
    <w:rsid w:val="00387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l5">
    <w:name w:val="l5"/>
    <w:basedOn w:val="Normln"/>
    <w:rsid w:val="00387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87909"/>
    <w:rPr>
      <w:i/>
      <w:iCs/>
    </w:rPr>
  </w:style>
  <w:style w:type="paragraph" w:customStyle="1" w:styleId="l6">
    <w:name w:val="l6"/>
    <w:basedOn w:val="Normln"/>
    <w:rsid w:val="003879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l7">
    <w:name w:val="l7"/>
    <w:basedOn w:val="Normln"/>
    <w:rsid w:val="006534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13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91395"/>
    <w:rPr>
      <w:color w:val="0000FF"/>
      <w:u w:val="single"/>
    </w:rPr>
  </w:style>
  <w:style w:type="paragraph" w:customStyle="1" w:styleId="Default">
    <w:name w:val="Default"/>
    <w:rsid w:val="00544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636"/>
    <w:rPr>
      <w:rFonts w:ascii="Century Gothic" w:eastAsia="Times New Roman" w:hAnsi="Century Gothic" w:cs="Times New Roman"/>
      <w:szCs w:val="21"/>
    </w:rPr>
  </w:style>
  <w:style w:type="paragraph" w:styleId="Zpat">
    <w:name w:val="footer"/>
    <w:basedOn w:val="Normln"/>
    <w:link w:val="ZpatChar"/>
    <w:uiPriority w:val="99"/>
    <w:unhideWhenUsed/>
    <w:rsid w:val="007A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636"/>
    <w:rPr>
      <w:rFonts w:ascii="Century Gothic" w:eastAsia="Times New Roman" w:hAnsi="Century Gothic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1948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Dobrovolná</dc:creator>
  <cp:keywords/>
  <dc:description/>
  <cp:lastModifiedBy>Eva Dobrovolná</cp:lastModifiedBy>
  <cp:revision>6</cp:revision>
  <dcterms:created xsi:type="dcterms:W3CDTF">2019-08-30T13:40:00Z</dcterms:created>
  <dcterms:modified xsi:type="dcterms:W3CDTF">2019-08-30T22:41:00Z</dcterms:modified>
</cp:coreProperties>
</file>