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19A" w:rsidRPr="00D708D6" w:rsidRDefault="00717D90" w:rsidP="00D708D6">
      <w:pPr>
        <w:jc w:val="center"/>
        <w:rPr>
          <w:rFonts w:ascii="Times New Roman" w:hAnsi="Times New Roman" w:cs="Verdana"/>
          <w:sz w:val="36"/>
          <w:lang w:val="en-US"/>
        </w:rPr>
      </w:pPr>
      <w:r>
        <w:rPr>
          <w:rFonts w:cs="Verdana"/>
          <w:sz w:val="36"/>
          <w:lang w:val="en-US"/>
        </w:rPr>
        <w:t>European Cyberlaw</w:t>
      </w:r>
    </w:p>
    <w:p w:rsidR="0091619A" w:rsidRPr="00D708D6" w:rsidRDefault="0091619A" w:rsidP="00D708D6">
      <w:pPr>
        <w:jc w:val="center"/>
        <w:rPr>
          <w:rFonts w:ascii="Times New Roman" w:hAnsi="Times New Roman" w:cs="Verdana"/>
          <w:sz w:val="36"/>
          <w:lang w:val="en-US"/>
        </w:rPr>
      </w:pPr>
      <w:r>
        <w:rPr>
          <w:rFonts w:ascii="Times New Roman" w:hAnsi="Times New Roman" w:cs="Verdana"/>
          <w:sz w:val="36"/>
          <w:lang w:val="en-US"/>
        </w:rPr>
        <w:t xml:space="preserve">handout </w:t>
      </w:r>
      <w:bookmarkStart w:id="0" w:name="_GoBack"/>
      <w:bookmarkEnd w:id="0"/>
      <w:r w:rsidR="002F72AE">
        <w:rPr>
          <w:rFonts w:ascii="Times New Roman" w:hAnsi="Times New Roman" w:cs="Verdana"/>
          <w:sz w:val="36"/>
          <w:lang w:val="en-US"/>
        </w:rPr>
        <w:t>–</w:t>
      </w:r>
      <w:r w:rsidRPr="00D708D6">
        <w:rPr>
          <w:rFonts w:ascii="Times New Roman" w:hAnsi="Times New Roman" w:cs="Verdana"/>
          <w:sz w:val="36"/>
          <w:lang w:val="en-US"/>
        </w:rPr>
        <w:t xml:space="preserve"> </w:t>
      </w:r>
      <w:r w:rsidR="002F72AE">
        <w:rPr>
          <w:rFonts w:ascii="Times New Roman" w:hAnsi="Times New Roman" w:cs="Verdana"/>
          <w:sz w:val="36"/>
          <w:lang w:val="en-US"/>
        </w:rPr>
        <w:t>privacy and personal data</w:t>
      </w:r>
    </w:p>
    <w:p w:rsidR="0091619A" w:rsidRDefault="0091619A" w:rsidP="004A218A">
      <w:pPr>
        <w:rPr>
          <w:rFonts w:ascii="Times New Roman" w:hAnsi="Times New Roman" w:cs="Verdana"/>
          <w:sz w:val="22"/>
          <w:lang w:val="en-US"/>
        </w:rPr>
      </w:pPr>
    </w:p>
    <w:p w:rsidR="0091619A" w:rsidRPr="00BB15C9" w:rsidRDefault="002F72AE" w:rsidP="00406FC8">
      <w:pPr>
        <w:jc w:val="center"/>
        <w:rPr>
          <w:rFonts w:ascii="Times New Roman" w:hAnsi="Times New Roman" w:cs="Verdana"/>
          <w:b/>
          <w:sz w:val="20"/>
          <w:szCs w:val="20"/>
          <w:lang w:val="en-US"/>
        </w:rPr>
      </w:pPr>
      <w:r w:rsidRPr="00BB15C9">
        <w:rPr>
          <w:rFonts w:ascii="Times New Roman" w:hAnsi="Times New Roman" w:cs="Verdana"/>
          <w:b/>
          <w:sz w:val="20"/>
          <w:szCs w:val="20"/>
          <w:lang w:val="en-US"/>
        </w:rPr>
        <w:t xml:space="preserve">Brandeis, L. Warren, S. The Right to Privacy, </w:t>
      </w:r>
      <w:r w:rsidRPr="00BB15C9">
        <w:rPr>
          <w:rStyle w:val="apple-style-span"/>
          <w:b/>
          <w:bCs/>
          <w:color w:val="000000"/>
          <w:sz w:val="20"/>
          <w:szCs w:val="20"/>
        </w:rPr>
        <w:t xml:space="preserve">Harvard </w:t>
      </w:r>
      <w:proofErr w:type="spellStart"/>
      <w:r w:rsidRPr="00BB15C9">
        <w:rPr>
          <w:rStyle w:val="apple-style-span"/>
          <w:b/>
          <w:bCs/>
          <w:color w:val="000000"/>
          <w:sz w:val="20"/>
          <w:szCs w:val="20"/>
        </w:rPr>
        <w:t>Law</w:t>
      </w:r>
      <w:proofErr w:type="spellEnd"/>
      <w:r w:rsidRPr="00BB15C9">
        <w:rPr>
          <w:rStyle w:val="apple-style-span"/>
          <w:b/>
          <w:bCs/>
          <w:color w:val="000000"/>
          <w:sz w:val="20"/>
          <w:szCs w:val="20"/>
        </w:rPr>
        <w:t xml:space="preserve"> </w:t>
      </w:r>
      <w:proofErr w:type="spellStart"/>
      <w:r w:rsidRPr="00BB15C9">
        <w:rPr>
          <w:rStyle w:val="apple-style-span"/>
          <w:b/>
          <w:bCs/>
          <w:color w:val="000000"/>
          <w:sz w:val="20"/>
          <w:szCs w:val="20"/>
        </w:rPr>
        <w:t>Review</w:t>
      </w:r>
      <w:proofErr w:type="spellEnd"/>
      <w:r w:rsidRPr="00BB15C9">
        <w:rPr>
          <w:rStyle w:val="apple-style-span"/>
          <w:b/>
          <w:bCs/>
          <w:color w:val="000000"/>
          <w:sz w:val="20"/>
          <w:szCs w:val="20"/>
        </w:rPr>
        <w:t>, vol. 4(5).</w:t>
      </w:r>
    </w:p>
    <w:p w:rsidR="0091619A" w:rsidRPr="00BB15C9" w:rsidRDefault="0091619A" w:rsidP="004A218A">
      <w:pPr>
        <w:rPr>
          <w:rFonts w:ascii="Times New Roman" w:hAnsi="Times New Roman" w:cs="Verdana"/>
          <w:sz w:val="20"/>
          <w:szCs w:val="20"/>
          <w:lang w:val="en-US"/>
        </w:rPr>
      </w:pPr>
    </w:p>
    <w:p w:rsidR="0091619A" w:rsidRPr="00BB15C9" w:rsidRDefault="002F72AE" w:rsidP="002F72AE">
      <w:pPr>
        <w:jc w:val="both"/>
        <w:rPr>
          <w:rFonts w:ascii="Times New Roman" w:hAnsi="Times New Roman" w:cs="Verdana"/>
          <w:sz w:val="20"/>
          <w:szCs w:val="20"/>
          <w:lang w:val="en-US"/>
        </w:rPr>
      </w:pPr>
      <w:r w:rsidRPr="00BB15C9">
        <w:rPr>
          <w:rFonts w:ascii="Times New Roman" w:hAnsi="Times New Roman" w:cs="Verdana"/>
          <w:sz w:val="20"/>
          <w:szCs w:val="20"/>
          <w:lang w:val="en-US"/>
        </w:rPr>
        <w:t xml:space="preserve">That the individual shall have full protection in person and in property is a principle as old as the common law; but it has been found necessary from time to time to define anew the exact nature and extent of such protection. Political, social, and economic changes entail the recognition of new rights, and the common law, in its eternal youth, grows to meet the new demands of society. Thus, in very early times, the law gave a remedy only for physical interference with life and property, for trespasses vi et </w:t>
      </w:r>
      <w:proofErr w:type="spellStart"/>
      <w:r w:rsidRPr="00BB15C9">
        <w:rPr>
          <w:rFonts w:ascii="Times New Roman" w:hAnsi="Times New Roman" w:cs="Verdana"/>
          <w:sz w:val="20"/>
          <w:szCs w:val="20"/>
          <w:lang w:val="en-US"/>
        </w:rPr>
        <w:t>armis</w:t>
      </w:r>
      <w:proofErr w:type="spellEnd"/>
      <w:r w:rsidRPr="00BB15C9">
        <w:rPr>
          <w:rFonts w:ascii="Times New Roman" w:hAnsi="Times New Roman" w:cs="Verdana"/>
          <w:sz w:val="20"/>
          <w:szCs w:val="20"/>
          <w:lang w:val="en-US"/>
        </w:rPr>
        <w:t>. Then the "right to life" served only to protect the subject from battery in its various forms; liberty meant freedom from actual restraint; and the right to property secured to the individual his lands and his cattle. Later, there came a recognition of man's spiritual nature, of his feelings and his intellect. Gradually the scope of these legal rights broadened; and now the right to life has come to mean the right to enjoy life, -- the right to be let alone; the right to liberty secures the exercise of extensive civil privileges; and the term "property" has grown to comprise every form of possession -- intangible, as well as tangible.</w:t>
      </w:r>
    </w:p>
    <w:p w:rsidR="00BB15C9" w:rsidRPr="00BB15C9" w:rsidRDefault="00BB15C9" w:rsidP="002F72AE">
      <w:pPr>
        <w:jc w:val="both"/>
        <w:rPr>
          <w:rFonts w:ascii="Times New Roman" w:hAnsi="Times New Roman" w:cs="Verdana"/>
          <w:sz w:val="20"/>
          <w:szCs w:val="20"/>
          <w:lang w:val="en-US"/>
        </w:rPr>
      </w:pPr>
    </w:p>
    <w:p w:rsidR="006107C7" w:rsidRDefault="00717D90" w:rsidP="00BB15C9">
      <w:pPr>
        <w:rPr>
          <w:rFonts w:ascii="Times New Roman" w:hAnsi="Times New Roman" w:cs="Verdana"/>
          <w:b/>
          <w:sz w:val="20"/>
          <w:szCs w:val="20"/>
          <w:lang w:val="en-US"/>
        </w:rPr>
      </w:pPr>
      <w:r w:rsidRPr="00717D90">
        <w:rPr>
          <w:rFonts w:ascii="Times New Roman" w:hAnsi="Times New Roman" w:cs="Verdana"/>
          <w:b/>
          <w:sz w:val="20"/>
          <w:szCs w:val="2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717D90" w:rsidRPr="00BB15C9" w:rsidRDefault="00717D90" w:rsidP="00BB15C9">
      <w:pPr>
        <w:rPr>
          <w:rFonts w:ascii="Times New Roman" w:hAnsi="Times New Roman" w:cs="Verdana"/>
          <w:b/>
          <w:sz w:val="20"/>
          <w:szCs w:val="20"/>
          <w:lang w:val="en-US"/>
        </w:rPr>
      </w:pPr>
    </w:p>
    <w:p w:rsidR="00BB15C9" w:rsidRDefault="00BB15C9" w:rsidP="00BB15C9">
      <w:pPr>
        <w:jc w:val="center"/>
        <w:rPr>
          <w:rFonts w:ascii="Times New Roman" w:hAnsi="Times New Roman" w:cs="Verdana"/>
          <w:b/>
          <w:sz w:val="20"/>
          <w:szCs w:val="20"/>
          <w:lang w:val="en-US"/>
        </w:rPr>
        <w:sectPr w:rsidR="00BB15C9" w:rsidSect="001B50E3">
          <w:pgSz w:w="11900" w:h="16840"/>
          <w:pgMar w:top="1440" w:right="1800" w:bottom="1440" w:left="1800" w:header="708" w:footer="708" w:gutter="0"/>
          <w:cols w:space="708"/>
        </w:sectPr>
      </w:pPr>
    </w:p>
    <w:p w:rsidR="00717D90" w:rsidRPr="00717D90" w:rsidRDefault="00717D90" w:rsidP="00717D90">
      <w:pPr>
        <w:jc w:val="center"/>
        <w:rPr>
          <w:rFonts w:ascii="Times New Roman" w:hAnsi="Times New Roman" w:cs="Verdana"/>
          <w:b/>
          <w:sz w:val="20"/>
          <w:szCs w:val="20"/>
          <w:lang w:val="en-US"/>
        </w:rPr>
      </w:pPr>
      <w:r w:rsidRPr="00717D90">
        <w:rPr>
          <w:rFonts w:ascii="Times New Roman" w:hAnsi="Times New Roman" w:cs="Verdana"/>
          <w:b/>
          <w:sz w:val="20"/>
          <w:szCs w:val="20"/>
          <w:lang w:val="en-US"/>
        </w:rPr>
        <w:t xml:space="preserve">Article 4 </w:t>
      </w:r>
      <w:r w:rsidRPr="00717D90">
        <w:rPr>
          <w:rFonts w:ascii="Times New Roman" w:hAnsi="Times New Roman" w:cs="Verdana"/>
          <w:b/>
          <w:sz w:val="20"/>
          <w:szCs w:val="20"/>
          <w:lang w:val="en-US"/>
        </w:rPr>
        <w:t>Definitions</w:t>
      </w:r>
    </w:p>
    <w:p w:rsidR="00717D90" w:rsidRPr="00717D90" w:rsidRDefault="00717D90" w:rsidP="00717D90">
      <w:pPr>
        <w:jc w:val="both"/>
        <w:rPr>
          <w:rFonts w:ascii="Times New Roman" w:hAnsi="Times New Roman" w:cs="Verdana"/>
          <w:sz w:val="20"/>
          <w:szCs w:val="20"/>
          <w:lang w:val="en-US"/>
        </w:rPr>
      </w:pPr>
      <w:r w:rsidRPr="00717D90">
        <w:rPr>
          <w:rFonts w:ascii="Times New Roman" w:hAnsi="Times New Roman" w:cs="Verdana"/>
          <w:sz w:val="20"/>
          <w:szCs w:val="20"/>
          <w:lang w:val="en-US"/>
        </w:rPr>
        <w:t>For the purposes of this Regulation:</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(1) </w:t>
      </w:r>
      <w:r w:rsidRPr="00717D90">
        <w:rPr>
          <w:rFonts w:ascii="Times New Roman" w:hAnsi="Times New Roman" w:cs="Verdana"/>
          <w:sz w:val="20"/>
          <w:szCs w:val="20"/>
          <w:lang w:val="en-US"/>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(2) </w:t>
      </w:r>
      <w:r w:rsidRPr="00717D90">
        <w:rPr>
          <w:rFonts w:ascii="Times New Roman" w:hAnsi="Times New Roman" w:cs="Verdana"/>
          <w:sz w:val="20"/>
          <w:szCs w:val="20"/>
          <w:lang w:val="en-US"/>
        </w:rPr>
        <w:t xml:space="preserve">‘processing’ means any operation or set of operations which is performed on personal data or on sets of personal data, whether or not by automated means, such as collection, recording, </w:t>
      </w:r>
      <w:proofErr w:type="spellStart"/>
      <w:r w:rsidRPr="00717D90">
        <w:rPr>
          <w:rFonts w:ascii="Times New Roman" w:hAnsi="Times New Roman" w:cs="Verdana"/>
          <w:sz w:val="20"/>
          <w:szCs w:val="20"/>
          <w:lang w:val="en-US"/>
        </w:rPr>
        <w:t>organisation</w:t>
      </w:r>
      <w:proofErr w:type="spellEnd"/>
      <w:r w:rsidRPr="00717D90">
        <w:rPr>
          <w:rFonts w:ascii="Times New Roman" w:hAnsi="Times New Roman" w:cs="Verdana"/>
          <w:sz w:val="20"/>
          <w:szCs w:val="20"/>
          <w:lang w:val="en-US"/>
        </w:rPr>
        <w:t>, structuring, storage, adaptation or alteration, retrieval, consultation, use, disclosure by transmission, dissemination or otherwise making available, alignment or combination, restriction, erasure or destruction;</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(7) </w:t>
      </w:r>
      <w:r w:rsidRPr="00717D90">
        <w:rPr>
          <w:rFonts w:ascii="Times New Roman" w:hAnsi="Times New Roman" w:cs="Verdana"/>
          <w:sz w:val="20"/>
          <w:szCs w:val="20"/>
          <w:lang w:val="en-US"/>
        </w:rPr>
        <w:t>‘controller’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(8) </w:t>
      </w:r>
      <w:r w:rsidRPr="00717D90">
        <w:rPr>
          <w:rFonts w:ascii="Times New Roman" w:hAnsi="Times New Roman" w:cs="Verdana"/>
          <w:sz w:val="20"/>
          <w:szCs w:val="20"/>
          <w:lang w:val="en-US"/>
        </w:rPr>
        <w:t>‘processor’ means a natural or legal person, public authority, agency or other body which processes personal data on behalf of the controller;</w:t>
      </w:r>
    </w:p>
    <w:p w:rsidR="00717D90" w:rsidRPr="00717D90" w:rsidRDefault="00717D90" w:rsidP="00717D90">
      <w:pPr>
        <w:jc w:val="center"/>
        <w:rPr>
          <w:rFonts w:ascii="Times New Roman" w:hAnsi="Times New Roman" w:cs="Verdana"/>
          <w:b/>
          <w:sz w:val="20"/>
          <w:szCs w:val="20"/>
          <w:lang w:val="en-US"/>
        </w:rPr>
      </w:pPr>
      <w:r w:rsidRPr="00717D90">
        <w:rPr>
          <w:rFonts w:ascii="Times New Roman" w:hAnsi="Times New Roman" w:cs="Verdana"/>
          <w:b/>
          <w:sz w:val="20"/>
          <w:szCs w:val="20"/>
          <w:lang w:val="en-US"/>
        </w:rPr>
        <w:t xml:space="preserve">Article 6 </w:t>
      </w:r>
      <w:r w:rsidRPr="00717D90">
        <w:rPr>
          <w:rFonts w:ascii="Times New Roman" w:hAnsi="Times New Roman" w:cs="Verdana"/>
          <w:b/>
          <w:sz w:val="20"/>
          <w:szCs w:val="20"/>
          <w:lang w:val="en-US"/>
        </w:rPr>
        <w:t>Lawfulness of processing</w:t>
      </w:r>
    </w:p>
    <w:p w:rsidR="00717D90" w:rsidRPr="00717D90" w:rsidRDefault="00717D90" w:rsidP="00717D90">
      <w:pPr>
        <w:jc w:val="both"/>
        <w:rPr>
          <w:rFonts w:ascii="Times New Roman" w:hAnsi="Times New Roman" w:cs="Verdana"/>
          <w:sz w:val="20"/>
          <w:szCs w:val="20"/>
          <w:lang w:val="en-US"/>
        </w:rPr>
      </w:pPr>
      <w:r w:rsidRPr="00717D90">
        <w:rPr>
          <w:rFonts w:ascii="Times New Roman" w:hAnsi="Times New Roman" w:cs="Verdana"/>
          <w:sz w:val="20"/>
          <w:szCs w:val="20"/>
          <w:lang w:val="en-US"/>
        </w:rPr>
        <w:t>1.   Processing shall be lawful only if and to the extent that at least one of the following applies:</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(a) </w:t>
      </w:r>
      <w:r w:rsidRPr="00717D90">
        <w:rPr>
          <w:rFonts w:ascii="Times New Roman" w:hAnsi="Times New Roman" w:cs="Verdana"/>
          <w:sz w:val="20"/>
          <w:szCs w:val="20"/>
          <w:lang w:val="en-US"/>
        </w:rPr>
        <w:t>the data subject has given consent to the processing of his or her personal data for one or more specific purposes;</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(b) </w:t>
      </w:r>
      <w:r w:rsidRPr="00717D90">
        <w:rPr>
          <w:rFonts w:ascii="Times New Roman" w:hAnsi="Times New Roman" w:cs="Verdana"/>
          <w:sz w:val="20"/>
          <w:szCs w:val="20"/>
          <w:lang w:val="en-US"/>
        </w:rPr>
        <w:t>processing is necessary for the performance of a contract to which the data subject is party or in order to take steps at the request of the data subject prior to entering into a contract;</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(c) </w:t>
      </w:r>
      <w:r w:rsidRPr="00717D90">
        <w:rPr>
          <w:rFonts w:ascii="Times New Roman" w:hAnsi="Times New Roman" w:cs="Verdana"/>
          <w:sz w:val="20"/>
          <w:szCs w:val="20"/>
          <w:lang w:val="en-US"/>
        </w:rPr>
        <w:t>processing is necessary for compliance with a legal obligation to which the controller is subject;</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(d) </w:t>
      </w:r>
      <w:r w:rsidRPr="00717D90">
        <w:rPr>
          <w:rFonts w:ascii="Times New Roman" w:hAnsi="Times New Roman" w:cs="Verdana"/>
          <w:sz w:val="20"/>
          <w:szCs w:val="20"/>
          <w:lang w:val="en-US"/>
        </w:rPr>
        <w:t>processing is necessary in order to protect the vital interests of the data subject or of another natural person;</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(e) </w:t>
      </w:r>
      <w:r w:rsidRPr="00717D90">
        <w:rPr>
          <w:rFonts w:ascii="Times New Roman" w:hAnsi="Times New Roman" w:cs="Verdana"/>
          <w:sz w:val="20"/>
          <w:szCs w:val="20"/>
          <w:lang w:val="en-US"/>
        </w:rPr>
        <w:t>processing is necessary for the performance of a task carried out in the public interest or in the exercise of official authority vested in the controller;</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(f) </w:t>
      </w:r>
      <w:r w:rsidRPr="00717D90">
        <w:rPr>
          <w:rFonts w:ascii="Times New Roman" w:hAnsi="Times New Roman" w:cs="Verdana"/>
          <w:sz w:val="20"/>
          <w:szCs w:val="20"/>
          <w:lang w:val="en-U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717D90" w:rsidRDefault="00717D90" w:rsidP="00717D90">
      <w:pPr>
        <w:jc w:val="both"/>
        <w:rPr>
          <w:rFonts w:ascii="Times New Roman" w:hAnsi="Times New Roman" w:cs="Verdana"/>
          <w:sz w:val="20"/>
          <w:szCs w:val="20"/>
          <w:lang w:val="en-US"/>
        </w:rPr>
      </w:pPr>
      <w:r w:rsidRPr="00717D90">
        <w:rPr>
          <w:rFonts w:ascii="Times New Roman" w:hAnsi="Times New Roman" w:cs="Verdana"/>
          <w:sz w:val="20"/>
          <w:szCs w:val="20"/>
          <w:lang w:val="en-US"/>
        </w:rPr>
        <w:t>Point (f) of the first subparagraph shall not apply to processing carried out by public authorities in the performance of their tasks.</w:t>
      </w:r>
    </w:p>
    <w:p w:rsidR="00717D90" w:rsidRDefault="00717D90" w:rsidP="00717D90">
      <w:pPr>
        <w:rPr>
          <w:rFonts w:ascii="Times New Roman" w:hAnsi="Times New Roman" w:cs="Verdana"/>
          <w:sz w:val="20"/>
          <w:szCs w:val="20"/>
          <w:lang w:val="en-US"/>
        </w:rPr>
      </w:pPr>
    </w:p>
    <w:p w:rsidR="00717D90" w:rsidRPr="00717D90" w:rsidRDefault="00717D90" w:rsidP="00717D90">
      <w:pPr>
        <w:jc w:val="center"/>
        <w:rPr>
          <w:rFonts w:ascii="Times New Roman" w:hAnsi="Times New Roman" w:cs="Verdana"/>
          <w:b/>
          <w:sz w:val="20"/>
          <w:szCs w:val="20"/>
          <w:lang w:val="en-US"/>
        </w:rPr>
      </w:pPr>
      <w:r w:rsidRPr="00717D90">
        <w:rPr>
          <w:rFonts w:ascii="Times New Roman" w:hAnsi="Times New Roman" w:cs="Verdana"/>
          <w:b/>
          <w:sz w:val="20"/>
          <w:szCs w:val="20"/>
          <w:lang w:val="en-US"/>
        </w:rPr>
        <w:t xml:space="preserve">Article 17 </w:t>
      </w:r>
      <w:r w:rsidRPr="00717D90">
        <w:rPr>
          <w:rFonts w:ascii="Times New Roman" w:hAnsi="Times New Roman" w:cs="Verdana"/>
          <w:b/>
          <w:sz w:val="20"/>
          <w:szCs w:val="20"/>
          <w:lang w:val="en-US"/>
        </w:rPr>
        <w:t>Right to erasure (‘right to be forgotten’)</w:t>
      </w:r>
    </w:p>
    <w:p w:rsidR="00717D90" w:rsidRPr="00717D90" w:rsidRDefault="00717D90" w:rsidP="00717D90">
      <w:pPr>
        <w:rPr>
          <w:rFonts w:ascii="Times New Roman" w:hAnsi="Times New Roman" w:cs="Verdana"/>
          <w:sz w:val="20"/>
          <w:szCs w:val="20"/>
          <w:lang w:val="en-US"/>
        </w:rPr>
      </w:pPr>
    </w:p>
    <w:p w:rsidR="00717D90" w:rsidRPr="00717D90" w:rsidRDefault="00717D90" w:rsidP="00717D90">
      <w:pPr>
        <w:jc w:val="both"/>
        <w:rPr>
          <w:rFonts w:ascii="Times New Roman" w:hAnsi="Times New Roman" w:cs="Verdana"/>
          <w:sz w:val="20"/>
          <w:szCs w:val="20"/>
          <w:lang w:val="en-US"/>
        </w:rPr>
      </w:pPr>
      <w:r w:rsidRPr="00717D90">
        <w:rPr>
          <w:rFonts w:ascii="Times New Roman" w:hAnsi="Times New Roman" w:cs="Verdana"/>
          <w:sz w:val="20"/>
          <w:szCs w:val="20"/>
          <w:lang w:val="en-US"/>
        </w:rPr>
        <w:lastRenderedPageBreak/>
        <w:t>1.   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(a) </w:t>
      </w:r>
      <w:r w:rsidRPr="00717D90">
        <w:rPr>
          <w:rFonts w:ascii="Times New Roman" w:hAnsi="Times New Roman" w:cs="Verdana"/>
          <w:sz w:val="20"/>
          <w:szCs w:val="20"/>
          <w:lang w:val="en-US"/>
        </w:rPr>
        <w:t>the personal data are no longer necessary in relation to the purposes for which they were collected or otherwise processed;</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(b) </w:t>
      </w:r>
      <w:r w:rsidRPr="00717D90">
        <w:rPr>
          <w:rFonts w:ascii="Times New Roman" w:hAnsi="Times New Roman" w:cs="Verdana"/>
          <w:sz w:val="20"/>
          <w:szCs w:val="20"/>
          <w:lang w:val="en-US"/>
        </w:rPr>
        <w:t>the data subject withdraws consent on which the processing is based according to point (a) of Article 6(1), or point (a) of Article 9(2), and where there is no other legal ground for the processing;</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(c) </w:t>
      </w:r>
      <w:r w:rsidRPr="00717D90">
        <w:rPr>
          <w:rFonts w:ascii="Times New Roman" w:hAnsi="Times New Roman" w:cs="Verdana"/>
          <w:sz w:val="20"/>
          <w:szCs w:val="20"/>
          <w:lang w:val="en-US"/>
        </w:rPr>
        <w:t>the data subject objects to the processing pursuant to Article 21(1) and there are no overriding legitimate grounds for the processing, or the data subject objects to the processing pursuant to Article 21(2);</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(d) </w:t>
      </w:r>
      <w:r w:rsidRPr="00717D90">
        <w:rPr>
          <w:rFonts w:ascii="Times New Roman" w:hAnsi="Times New Roman" w:cs="Verdana"/>
          <w:sz w:val="20"/>
          <w:szCs w:val="20"/>
          <w:lang w:val="en-US"/>
        </w:rPr>
        <w:t>the personal data have been unlawfully processed;</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(e) </w:t>
      </w:r>
      <w:r w:rsidRPr="00717D90">
        <w:rPr>
          <w:rFonts w:ascii="Times New Roman" w:hAnsi="Times New Roman" w:cs="Verdana"/>
          <w:sz w:val="20"/>
          <w:szCs w:val="20"/>
          <w:lang w:val="en-US"/>
        </w:rPr>
        <w:t>the personal data have to be erased for compliance with a legal obligation in Union or Member State law to which the controller is subject;</w:t>
      </w:r>
    </w:p>
    <w:p w:rsidR="002F72AE"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(f) </w:t>
      </w:r>
      <w:r w:rsidRPr="00717D90">
        <w:rPr>
          <w:rFonts w:ascii="Times New Roman" w:hAnsi="Times New Roman" w:cs="Verdana"/>
          <w:sz w:val="20"/>
          <w:szCs w:val="20"/>
          <w:lang w:val="en-US"/>
        </w:rPr>
        <w:t>the personal data have been collected in relation to the offer of information society services referred to in Article 8(1).</w:t>
      </w:r>
    </w:p>
    <w:p w:rsidR="00717D90" w:rsidRDefault="00717D90" w:rsidP="00717D90">
      <w:pPr>
        <w:rPr>
          <w:rFonts w:ascii="Times New Roman" w:hAnsi="Times New Roman" w:cs="Verdana"/>
          <w:sz w:val="20"/>
          <w:szCs w:val="20"/>
          <w:lang w:val="en-US"/>
        </w:rPr>
      </w:pPr>
    </w:p>
    <w:p w:rsidR="00717D90" w:rsidRPr="00717D90" w:rsidRDefault="00717D90" w:rsidP="00717D90">
      <w:pPr>
        <w:rPr>
          <w:rFonts w:ascii="Times New Roman" w:hAnsi="Times New Roman" w:cs="Verdana"/>
          <w:b/>
          <w:sz w:val="20"/>
          <w:szCs w:val="20"/>
          <w:lang w:val="en-US"/>
        </w:rPr>
      </w:pPr>
      <w:r w:rsidRPr="00717D90">
        <w:rPr>
          <w:rFonts w:ascii="Times New Roman" w:hAnsi="Times New Roman" w:cs="Verdana"/>
          <w:b/>
          <w:sz w:val="20"/>
          <w:szCs w:val="20"/>
          <w:lang w:val="en-US"/>
        </w:rPr>
        <w:t xml:space="preserve">Article 22 </w:t>
      </w:r>
      <w:r w:rsidRPr="00717D90">
        <w:rPr>
          <w:rFonts w:ascii="Times New Roman" w:hAnsi="Times New Roman" w:cs="Verdana"/>
          <w:b/>
          <w:sz w:val="20"/>
          <w:szCs w:val="20"/>
          <w:lang w:val="en-US"/>
        </w:rPr>
        <w:t>Automated individual decision-making, including profiling</w:t>
      </w:r>
    </w:p>
    <w:p w:rsidR="00717D90" w:rsidRPr="00717D90" w:rsidRDefault="00717D90" w:rsidP="00717D90">
      <w:pPr>
        <w:jc w:val="both"/>
        <w:rPr>
          <w:rFonts w:ascii="Times New Roman" w:hAnsi="Times New Roman" w:cs="Verdana"/>
          <w:sz w:val="20"/>
          <w:szCs w:val="20"/>
          <w:lang w:val="en-US"/>
        </w:rPr>
      </w:pPr>
      <w:r w:rsidRPr="00717D90">
        <w:rPr>
          <w:rFonts w:ascii="Times New Roman" w:hAnsi="Times New Roman" w:cs="Verdana"/>
          <w:sz w:val="20"/>
          <w:szCs w:val="20"/>
          <w:lang w:val="en-US"/>
        </w:rPr>
        <w:t>1.   The data subject shall have the right not to be subject to a decision based solely on automated processing, including profiling, which produces legal effects concerning him or her or similarly significantly affects him or her.</w:t>
      </w:r>
    </w:p>
    <w:p w:rsidR="00717D90" w:rsidRPr="00717D90" w:rsidRDefault="00717D90" w:rsidP="00717D90">
      <w:pPr>
        <w:jc w:val="both"/>
        <w:rPr>
          <w:rFonts w:ascii="Times New Roman" w:hAnsi="Times New Roman" w:cs="Verdana"/>
          <w:sz w:val="20"/>
          <w:szCs w:val="20"/>
          <w:lang w:val="en-US"/>
        </w:rPr>
      </w:pPr>
      <w:r w:rsidRPr="00717D90">
        <w:rPr>
          <w:rFonts w:ascii="Times New Roman" w:hAnsi="Times New Roman" w:cs="Verdana"/>
          <w:sz w:val="20"/>
          <w:szCs w:val="20"/>
          <w:lang w:val="en-US"/>
        </w:rPr>
        <w:t>2.   Paragraph 1 shall not apply if the decision:</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(a) </w:t>
      </w:r>
      <w:r w:rsidRPr="00717D90">
        <w:rPr>
          <w:rFonts w:ascii="Times New Roman" w:hAnsi="Times New Roman" w:cs="Verdana"/>
          <w:sz w:val="20"/>
          <w:szCs w:val="20"/>
          <w:lang w:val="en-US"/>
        </w:rPr>
        <w:t>is necessary for entering into, or performance of, a contract between the data subject and a data controller;</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(b) </w:t>
      </w:r>
      <w:r w:rsidRPr="00717D90">
        <w:rPr>
          <w:rFonts w:ascii="Times New Roman" w:hAnsi="Times New Roman" w:cs="Verdana"/>
          <w:sz w:val="20"/>
          <w:szCs w:val="20"/>
          <w:lang w:val="en-US"/>
        </w:rPr>
        <w:t xml:space="preserve">is </w:t>
      </w:r>
      <w:proofErr w:type="spellStart"/>
      <w:r w:rsidRPr="00717D90">
        <w:rPr>
          <w:rFonts w:ascii="Times New Roman" w:hAnsi="Times New Roman" w:cs="Verdana"/>
          <w:sz w:val="20"/>
          <w:szCs w:val="20"/>
          <w:lang w:val="en-US"/>
        </w:rPr>
        <w:t>authorised</w:t>
      </w:r>
      <w:proofErr w:type="spellEnd"/>
      <w:r w:rsidRPr="00717D90">
        <w:rPr>
          <w:rFonts w:ascii="Times New Roman" w:hAnsi="Times New Roman" w:cs="Verdana"/>
          <w:sz w:val="20"/>
          <w:szCs w:val="20"/>
          <w:lang w:val="en-US"/>
        </w:rPr>
        <w:t xml:space="preserve"> by Union or Member State law to which the controller is subject and which also lays down suitable measures to safeguard the data subject's rights and freedoms and legitimate interests; or</w:t>
      </w:r>
    </w:p>
    <w:p w:rsidR="00717D90" w:rsidRPr="00717D90" w:rsidRDefault="00717D90" w:rsidP="00717D90">
      <w:pPr>
        <w:jc w:val="both"/>
        <w:rPr>
          <w:rFonts w:ascii="Times New Roman" w:hAnsi="Times New Roman" w:cs="Verdana"/>
          <w:sz w:val="20"/>
          <w:szCs w:val="20"/>
          <w:lang w:val="en-US"/>
        </w:rPr>
      </w:pPr>
      <w:r>
        <w:rPr>
          <w:rFonts w:ascii="Times New Roman" w:hAnsi="Times New Roman" w:cs="Verdana"/>
          <w:sz w:val="20"/>
          <w:szCs w:val="20"/>
          <w:lang w:val="en-US"/>
        </w:rPr>
        <w:t xml:space="preserve">(c) </w:t>
      </w:r>
      <w:r w:rsidRPr="00717D90">
        <w:rPr>
          <w:rFonts w:ascii="Times New Roman" w:hAnsi="Times New Roman" w:cs="Verdana"/>
          <w:sz w:val="20"/>
          <w:szCs w:val="20"/>
          <w:lang w:val="en-US"/>
        </w:rPr>
        <w:t>is based on the data subject's explicit consent.</w:t>
      </w:r>
    </w:p>
    <w:p w:rsidR="00717D90" w:rsidRDefault="00717D90" w:rsidP="00717D90">
      <w:pPr>
        <w:jc w:val="both"/>
        <w:rPr>
          <w:rFonts w:ascii="Times New Roman" w:hAnsi="Times New Roman" w:cs="Verdana"/>
          <w:sz w:val="20"/>
          <w:szCs w:val="20"/>
          <w:lang w:val="en-US"/>
        </w:rPr>
      </w:pPr>
      <w:r w:rsidRPr="00717D90">
        <w:rPr>
          <w:rFonts w:ascii="Times New Roman" w:hAnsi="Times New Roman" w:cs="Verdana"/>
          <w:sz w:val="20"/>
          <w:szCs w:val="20"/>
          <w:lang w:val="en-US"/>
        </w:rPr>
        <w:t>3.   In the cases referred to in points (a) and (c) of paragraph 2, the data controller shall implement suitable measures to safeguard the data subject's rights and freedoms and legitimate interests, at least the right to obtain human intervention on the part of the controller, to express his or her point of view and to contest the decision.</w:t>
      </w:r>
    </w:p>
    <w:p w:rsidR="00717D90" w:rsidRDefault="00717D90" w:rsidP="00717D90">
      <w:pPr>
        <w:rPr>
          <w:rFonts w:ascii="Times New Roman" w:hAnsi="Times New Roman" w:cs="Verdana"/>
          <w:sz w:val="20"/>
          <w:szCs w:val="20"/>
          <w:lang w:val="en-US"/>
        </w:rPr>
      </w:pPr>
    </w:p>
    <w:p w:rsidR="00717D90" w:rsidRPr="00717D90" w:rsidRDefault="00717D90" w:rsidP="00717D90">
      <w:pPr>
        <w:rPr>
          <w:rFonts w:ascii="Times New Roman" w:hAnsi="Times New Roman" w:cs="Verdana"/>
          <w:b/>
          <w:sz w:val="20"/>
          <w:szCs w:val="20"/>
          <w:lang w:val="en-US"/>
        </w:rPr>
      </w:pPr>
      <w:r w:rsidRPr="00717D90">
        <w:rPr>
          <w:rFonts w:ascii="Times New Roman" w:hAnsi="Times New Roman" w:cs="Verdana"/>
          <w:b/>
          <w:sz w:val="20"/>
          <w:szCs w:val="20"/>
          <w:lang w:val="en-US"/>
        </w:rPr>
        <w:t xml:space="preserve">Article 44 </w:t>
      </w:r>
      <w:r w:rsidRPr="00717D90">
        <w:rPr>
          <w:rFonts w:ascii="Times New Roman" w:hAnsi="Times New Roman" w:cs="Verdana"/>
          <w:b/>
          <w:sz w:val="20"/>
          <w:szCs w:val="20"/>
          <w:lang w:val="en-US"/>
        </w:rPr>
        <w:t>General principle for transfers</w:t>
      </w:r>
    </w:p>
    <w:p w:rsidR="00BB15C9" w:rsidRDefault="00717D90" w:rsidP="00717D90">
      <w:pPr>
        <w:jc w:val="both"/>
        <w:rPr>
          <w:rFonts w:ascii="Times New Roman" w:hAnsi="Times New Roman" w:cs="Verdana"/>
          <w:sz w:val="20"/>
          <w:szCs w:val="20"/>
          <w:lang w:val="en-US"/>
        </w:rPr>
        <w:sectPr w:rsidR="00BB15C9" w:rsidSect="00BB15C9">
          <w:type w:val="continuous"/>
          <w:pgSz w:w="11900" w:h="16840"/>
          <w:pgMar w:top="1440" w:right="1800" w:bottom="1440" w:left="1800" w:header="708" w:footer="708" w:gutter="0"/>
          <w:cols w:num="2" w:space="708"/>
        </w:sectPr>
      </w:pPr>
      <w:r w:rsidRPr="00717D90">
        <w:rPr>
          <w:rFonts w:ascii="Times New Roman" w:hAnsi="Times New Roman" w:cs="Verdana"/>
          <w:sz w:val="20"/>
          <w:szCs w:val="20"/>
          <w:lang w:val="en-US"/>
        </w:rPr>
        <w:t xml:space="preserve">Any transfer of personal data which are undergoing processing or are intended for processing after transfer to a third country or to an international </w:t>
      </w:r>
      <w:proofErr w:type="spellStart"/>
      <w:r w:rsidRPr="00717D90">
        <w:rPr>
          <w:rFonts w:ascii="Times New Roman" w:hAnsi="Times New Roman" w:cs="Verdana"/>
          <w:sz w:val="20"/>
          <w:szCs w:val="20"/>
          <w:lang w:val="en-US"/>
        </w:rPr>
        <w:t>organisation</w:t>
      </w:r>
      <w:proofErr w:type="spellEnd"/>
      <w:r w:rsidRPr="00717D90">
        <w:rPr>
          <w:rFonts w:ascii="Times New Roman" w:hAnsi="Times New Roman" w:cs="Verdana"/>
          <w:sz w:val="20"/>
          <w:szCs w:val="20"/>
          <w:lang w:val="en-US"/>
        </w:rPr>
        <w:t xml:space="preserve"> shall take place only if, subject to the other provisions of this Regulation, the conditions laid down in this Chapter are complied with by the controller and processor, including for onward transfers of personal data from the third country or an international </w:t>
      </w:r>
      <w:proofErr w:type="spellStart"/>
      <w:r w:rsidRPr="00717D90">
        <w:rPr>
          <w:rFonts w:ascii="Times New Roman" w:hAnsi="Times New Roman" w:cs="Verdana"/>
          <w:sz w:val="20"/>
          <w:szCs w:val="20"/>
          <w:lang w:val="en-US"/>
        </w:rPr>
        <w:t>organisation</w:t>
      </w:r>
      <w:proofErr w:type="spellEnd"/>
      <w:r w:rsidRPr="00717D90">
        <w:rPr>
          <w:rFonts w:ascii="Times New Roman" w:hAnsi="Times New Roman" w:cs="Verdana"/>
          <w:sz w:val="20"/>
          <w:szCs w:val="20"/>
          <w:lang w:val="en-US"/>
        </w:rPr>
        <w:t xml:space="preserve"> to another third country or to another international </w:t>
      </w:r>
      <w:proofErr w:type="spellStart"/>
      <w:r w:rsidRPr="00717D90">
        <w:rPr>
          <w:rFonts w:ascii="Times New Roman" w:hAnsi="Times New Roman" w:cs="Verdana"/>
          <w:sz w:val="20"/>
          <w:szCs w:val="20"/>
          <w:lang w:val="en-US"/>
        </w:rPr>
        <w:t>organisation</w:t>
      </w:r>
      <w:proofErr w:type="spellEnd"/>
      <w:r w:rsidRPr="00717D90">
        <w:rPr>
          <w:rFonts w:ascii="Times New Roman" w:hAnsi="Times New Roman" w:cs="Verdana"/>
          <w:sz w:val="20"/>
          <w:szCs w:val="20"/>
          <w:lang w:val="en-US"/>
        </w:rPr>
        <w:t>. All provisions in this Chapter shall be applied in order to ensure that the level of protection of natural persons guaranteed by this Regulation is not undermined.</w:t>
      </w:r>
    </w:p>
    <w:p w:rsidR="00BB15C9" w:rsidRDefault="00BB15C9" w:rsidP="00BB15C9">
      <w:pPr>
        <w:rPr>
          <w:rFonts w:ascii="Times New Roman" w:hAnsi="Times New Roman" w:cs="Verdana"/>
          <w:sz w:val="20"/>
          <w:szCs w:val="20"/>
          <w:lang w:val="en-US"/>
        </w:rPr>
      </w:pPr>
    </w:p>
    <w:p w:rsidR="00717D90" w:rsidRDefault="00717D90" w:rsidP="00717D90">
      <w:pPr>
        <w:jc w:val="both"/>
        <w:rPr>
          <w:rFonts w:ascii="Times New Roman" w:hAnsi="Times New Roman" w:cs="Verdana"/>
          <w:sz w:val="20"/>
          <w:szCs w:val="20"/>
          <w:lang w:val="en-US"/>
        </w:rPr>
      </w:pPr>
      <w:r w:rsidRPr="00717D90">
        <w:rPr>
          <w:rFonts w:ascii="Times New Roman" w:hAnsi="Times New Roman" w:cs="Verdana"/>
          <w:sz w:val="20"/>
          <w:szCs w:val="20"/>
          <w:lang w:val="en-US"/>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rsidR="00717D90" w:rsidRDefault="00717D90" w:rsidP="00BB15C9">
      <w:pPr>
        <w:rPr>
          <w:rFonts w:ascii="Times New Roman" w:hAnsi="Times New Roman" w:cs="Verdana"/>
          <w:sz w:val="20"/>
          <w:szCs w:val="20"/>
          <w:lang w:val="en-US"/>
        </w:rPr>
      </w:pPr>
    </w:p>
    <w:p w:rsidR="00717D90" w:rsidRDefault="00717D90" w:rsidP="00BB15C9">
      <w:pPr>
        <w:rPr>
          <w:rFonts w:ascii="Times New Roman" w:hAnsi="Times New Roman" w:cs="Verdana"/>
          <w:sz w:val="20"/>
          <w:szCs w:val="20"/>
          <w:lang w:val="en-US"/>
        </w:rPr>
      </w:pPr>
      <w:r>
        <w:rPr>
          <w:rFonts w:ascii="Times New Roman" w:hAnsi="Times New Roman" w:cs="Verdana"/>
          <w:sz w:val="20"/>
          <w:szCs w:val="20"/>
          <w:lang w:val="en-US"/>
        </w:rPr>
        <w:t>Cases:</w:t>
      </w:r>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Case C‑210/16, </w:t>
      </w:r>
      <w:proofErr w:type="spellStart"/>
      <w:r w:rsidRPr="00717D90">
        <w:rPr>
          <w:rFonts w:ascii="Times New Roman" w:hAnsi="Times New Roman" w:cs="Verdana"/>
          <w:sz w:val="20"/>
          <w:szCs w:val="20"/>
          <w:lang w:val="en-US"/>
        </w:rPr>
        <w:t>Unabhängiges</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Landeszentrum</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für</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Datenschutz</w:t>
      </w:r>
      <w:proofErr w:type="spellEnd"/>
      <w:r w:rsidRPr="00717D90">
        <w:rPr>
          <w:rFonts w:ascii="Times New Roman" w:hAnsi="Times New Roman" w:cs="Verdana"/>
          <w:sz w:val="20"/>
          <w:szCs w:val="20"/>
          <w:lang w:val="en-US"/>
        </w:rPr>
        <w:t xml:space="preserve"> Schleswig-Holstein v. </w:t>
      </w:r>
      <w:proofErr w:type="spellStart"/>
      <w:r w:rsidRPr="00717D90">
        <w:rPr>
          <w:rFonts w:ascii="Times New Roman" w:hAnsi="Times New Roman" w:cs="Verdana"/>
          <w:sz w:val="20"/>
          <w:szCs w:val="20"/>
          <w:lang w:val="en-US"/>
        </w:rPr>
        <w:t>Wirtschaftsakademie</w:t>
      </w:r>
      <w:proofErr w:type="spellEnd"/>
      <w:r w:rsidRPr="00717D90">
        <w:rPr>
          <w:rFonts w:ascii="Times New Roman" w:hAnsi="Times New Roman" w:cs="Verdana"/>
          <w:sz w:val="20"/>
          <w:szCs w:val="20"/>
          <w:lang w:val="en-US"/>
        </w:rPr>
        <w:t xml:space="preserve"> Schleswig-Holstein GmbH</w:t>
      </w:r>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Case C-582/14, Patrick Breyer v. Germany</w:t>
      </w:r>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Case C-230/14, </w:t>
      </w:r>
      <w:proofErr w:type="spellStart"/>
      <w:r w:rsidRPr="00717D90">
        <w:rPr>
          <w:rFonts w:ascii="Times New Roman" w:hAnsi="Times New Roman" w:cs="Verdana"/>
          <w:sz w:val="20"/>
          <w:szCs w:val="20"/>
          <w:lang w:val="en-US"/>
        </w:rPr>
        <w:t>Weltimmo</w:t>
      </w:r>
      <w:proofErr w:type="spellEnd"/>
      <w:r w:rsidRPr="00717D90">
        <w:rPr>
          <w:rFonts w:ascii="Times New Roman" w:hAnsi="Times New Roman" w:cs="Verdana"/>
          <w:sz w:val="20"/>
          <w:szCs w:val="20"/>
          <w:lang w:val="en-US"/>
        </w:rPr>
        <w:t xml:space="preserve"> s. r. o. v </w:t>
      </w:r>
      <w:proofErr w:type="spellStart"/>
      <w:r w:rsidRPr="00717D90">
        <w:rPr>
          <w:rFonts w:ascii="Times New Roman" w:hAnsi="Times New Roman" w:cs="Verdana"/>
          <w:sz w:val="20"/>
          <w:szCs w:val="20"/>
          <w:lang w:val="en-US"/>
        </w:rPr>
        <w:t>Nemzeti</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Adatvédelmi</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és</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Információszabadság</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Hatóság</w:t>
      </w:r>
      <w:proofErr w:type="spellEnd"/>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Case C-362/14, Maximillian </w:t>
      </w:r>
      <w:proofErr w:type="spellStart"/>
      <w:r w:rsidRPr="00717D90">
        <w:rPr>
          <w:rFonts w:ascii="Times New Roman" w:hAnsi="Times New Roman" w:cs="Verdana"/>
          <w:sz w:val="20"/>
          <w:szCs w:val="20"/>
          <w:lang w:val="en-US"/>
        </w:rPr>
        <w:t>Schrems</w:t>
      </w:r>
      <w:proofErr w:type="spellEnd"/>
      <w:r w:rsidRPr="00717D90">
        <w:rPr>
          <w:rFonts w:ascii="Times New Roman" w:hAnsi="Times New Roman" w:cs="Verdana"/>
          <w:sz w:val="20"/>
          <w:szCs w:val="20"/>
          <w:lang w:val="en-US"/>
        </w:rPr>
        <w:t xml:space="preserve"> v Data Protection Commissioner</w:t>
      </w:r>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Case C-212/13, </w:t>
      </w:r>
      <w:proofErr w:type="spellStart"/>
      <w:r w:rsidRPr="00717D90">
        <w:rPr>
          <w:rFonts w:ascii="Times New Roman" w:hAnsi="Times New Roman" w:cs="Verdana"/>
          <w:sz w:val="20"/>
          <w:szCs w:val="20"/>
          <w:lang w:val="en-US"/>
        </w:rPr>
        <w:t>František</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Ryneš</w:t>
      </w:r>
      <w:proofErr w:type="spellEnd"/>
      <w:r w:rsidRPr="00717D90">
        <w:rPr>
          <w:rFonts w:ascii="Times New Roman" w:hAnsi="Times New Roman" w:cs="Verdana"/>
          <w:sz w:val="20"/>
          <w:szCs w:val="20"/>
          <w:lang w:val="en-US"/>
        </w:rPr>
        <w:t xml:space="preserve"> v </w:t>
      </w:r>
      <w:proofErr w:type="spellStart"/>
      <w:r w:rsidRPr="00717D90">
        <w:rPr>
          <w:rFonts w:ascii="Times New Roman" w:hAnsi="Times New Roman" w:cs="Verdana"/>
          <w:sz w:val="20"/>
          <w:szCs w:val="20"/>
          <w:lang w:val="en-US"/>
        </w:rPr>
        <w:t>Úřad</w:t>
      </w:r>
      <w:proofErr w:type="spellEnd"/>
      <w:r w:rsidRPr="00717D90">
        <w:rPr>
          <w:rFonts w:ascii="Times New Roman" w:hAnsi="Times New Roman" w:cs="Verdana"/>
          <w:sz w:val="20"/>
          <w:szCs w:val="20"/>
          <w:lang w:val="en-US"/>
        </w:rPr>
        <w:t xml:space="preserve"> pro </w:t>
      </w:r>
      <w:proofErr w:type="spellStart"/>
      <w:r w:rsidRPr="00717D90">
        <w:rPr>
          <w:rFonts w:ascii="Times New Roman" w:hAnsi="Times New Roman" w:cs="Verdana"/>
          <w:sz w:val="20"/>
          <w:szCs w:val="20"/>
          <w:lang w:val="en-US"/>
        </w:rPr>
        <w:t>ochranu</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osobních</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údajů</w:t>
      </w:r>
      <w:proofErr w:type="spellEnd"/>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Case C-131/12, Google Spain SL, Google Inc. v </w:t>
      </w:r>
      <w:proofErr w:type="spellStart"/>
      <w:r w:rsidRPr="00717D90">
        <w:rPr>
          <w:rFonts w:ascii="Times New Roman" w:hAnsi="Times New Roman" w:cs="Verdana"/>
          <w:sz w:val="20"/>
          <w:szCs w:val="20"/>
          <w:lang w:val="en-US"/>
        </w:rPr>
        <w:t>Agencia</w:t>
      </w:r>
      <w:proofErr w:type="spellEnd"/>
      <w:r w:rsidRPr="00717D90">
        <w:rPr>
          <w:rFonts w:ascii="Times New Roman" w:hAnsi="Times New Roman" w:cs="Verdana"/>
          <w:sz w:val="20"/>
          <w:szCs w:val="20"/>
          <w:lang w:val="en-US"/>
        </w:rPr>
        <w:t xml:space="preserve"> Española de </w:t>
      </w:r>
      <w:proofErr w:type="spellStart"/>
      <w:r w:rsidRPr="00717D90">
        <w:rPr>
          <w:rFonts w:ascii="Times New Roman" w:hAnsi="Times New Roman" w:cs="Verdana"/>
          <w:sz w:val="20"/>
          <w:szCs w:val="20"/>
          <w:lang w:val="en-US"/>
        </w:rPr>
        <w:t>Protección</w:t>
      </w:r>
      <w:proofErr w:type="spellEnd"/>
      <w:r w:rsidRPr="00717D90">
        <w:rPr>
          <w:rFonts w:ascii="Times New Roman" w:hAnsi="Times New Roman" w:cs="Verdana"/>
          <w:sz w:val="20"/>
          <w:szCs w:val="20"/>
          <w:lang w:val="en-US"/>
        </w:rPr>
        <w:t xml:space="preserve"> de </w:t>
      </w:r>
      <w:proofErr w:type="spellStart"/>
      <w:r w:rsidRPr="00717D90">
        <w:rPr>
          <w:rFonts w:ascii="Times New Roman" w:hAnsi="Times New Roman" w:cs="Verdana"/>
          <w:sz w:val="20"/>
          <w:szCs w:val="20"/>
          <w:lang w:val="en-US"/>
        </w:rPr>
        <w:t>Datos</w:t>
      </w:r>
      <w:proofErr w:type="spellEnd"/>
      <w:r w:rsidRPr="00717D90">
        <w:rPr>
          <w:rFonts w:ascii="Times New Roman" w:hAnsi="Times New Roman" w:cs="Verdana"/>
          <w:sz w:val="20"/>
          <w:szCs w:val="20"/>
          <w:lang w:val="en-US"/>
        </w:rPr>
        <w:t xml:space="preserve"> (AEPD), Mario </w:t>
      </w:r>
      <w:proofErr w:type="spellStart"/>
      <w:r w:rsidRPr="00717D90">
        <w:rPr>
          <w:rFonts w:ascii="Times New Roman" w:hAnsi="Times New Roman" w:cs="Verdana"/>
          <w:sz w:val="20"/>
          <w:szCs w:val="20"/>
          <w:lang w:val="en-US"/>
        </w:rPr>
        <w:t>Costeja</w:t>
      </w:r>
      <w:proofErr w:type="spellEnd"/>
      <w:r w:rsidRPr="00717D90">
        <w:rPr>
          <w:rFonts w:ascii="Times New Roman" w:hAnsi="Times New Roman" w:cs="Verdana"/>
          <w:sz w:val="20"/>
          <w:szCs w:val="20"/>
          <w:lang w:val="en-US"/>
        </w:rPr>
        <w:t xml:space="preserve"> González</w:t>
      </w:r>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Joint cases C-293/12 and C-594/12, Digital Rights Ireland Ltd v Minister for </w:t>
      </w:r>
      <w:proofErr w:type="spellStart"/>
      <w:r w:rsidRPr="00717D90">
        <w:rPr>
          <w:rFonts w:ascii="Times New Roman" w:hAnsi="Times New Roman" w:cs="Verdana"/>
          <w:sz w:val="20"/>
          <w:szCs w:val="20"/>
          <w:lang w:val="en-US"/>
        </w:rPr>
        <w:t>Communica-tions</w:t>
      </w:r>
      <w:proofErr w:type="spellEnd"/>
      <w:r w:rsidRPr="00717D90">
        <w:rPr>
          <w:rFonts w:ascii="Times New Roman" w:hAnsi="Times New Roman" w:cs="Verdana"/>
          <w:sz w:val="20"/>
          <w:szCs w:val="20"/>
          <w:lang w:val="en-US"/>
        </w:rPr>
        <w:t xml:space="preserve"> et al</w:t>
      </w:r>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Case C-461/10, Bonnier Audio AB et al. v Perfect Communication Sweden AB</w:t>
      </w:r>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Case C-557/07, LSG-Gesellschaft </w:t>
      </w:r>
      <w:proofErr w:type="spellStart"/>
      <w:r w:rsidRPr="00717D90">
        <w:rPr>
          <w:rFonts w:ascii="Times New Roman" w:hAnsi="Times New Roman" w:cs="Verdana"/>
          <w:sz w:val="20"/>
          <w:szCs w:val="20"/>
          <w:lang w:val="en-US"/>
        </w:rPr>
        <w:t>zur</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Wahrnehmung</w:t>
      </w:r>
      <w:proofErr w:type="spellEnd"/>
      <w:r w:rsidRPr="00717D90">
        <w:rPr>
          <w:rFonts w:ascii="Times New Roman" w:hAnsi="Times New Roman" w:cs="Verdana"/>
          <w:sz w:val="20"/>
          <w:szCs w:val="20"/>
          <w:lang w:val="en-US"/>
        </w:rPr>
        <w:t xml:space="preserve"> von </w:t>
      </w:r>
      <w:proofErr w:type="spellStart"/>
      <w:r w:rsidRPr="00717D90">
        <w:rPr>
          <w:rFonts w:ascii="Times New Roman" w:hAnsi="Times New Roman" w:cs="Verdana"/>
          <w:sz w:val="20"/>
          <w:szCs w:val="20"/>
          <w:lang w:val="en-US"/>
        </w:rPr>
        <w:t>Leistungsschutzrechten</w:t>
      </w:r>
      <w:proofErr w:type="spellEnd"/>
      <w:r w:rsidRPr="00717D90">
        <w:rPr>
          <w:rFonts w:ascii="Times New Roman" w:hAnsi="Times New Roman" w:cs="Verdana"/>
          <w:sz w:val="20"/>
          <w:szCs w:val="20"/>
          <w:lang w:val="en-US"/>
        </w:rPr>
        <w:t xml:space="preserve"> GmbH v Tele2 Telecommunication GmbH</w:t>
      </w:r>
      <w:r w:rsidRPr="00717D90">
        <w:rPr>
          <w:rFonts w:ascii="Times New Roman" w:hAnsi="Times New Roman" w:cs="Verdana"/>
          <w:sz w:val="20"/>
          <w:szCs w:val="20"/>
          <w:lang w:val="en-US"/>
        </w:rPr>
        <w:tab/>
      </w:r>
    </w:p>
    <w:p w:rsidR="00717D90" w:rsidRPr="00717D90"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Case C-275/06, </w:t>
      </w:r>
      <w:proofErr w:type="spellStart"/>
      <w:r w:rsidRPr="00717D90">
        <w:rPr>
          <w:rFonts w:ascii="Times New Roman" w:hAnsi="Times New Roman" w:cs="Verdana"/>
          <w:sz w:val="20"/>
          <w:szCs w:val="20"/>
          <w:lang w:val="en-US"/>
        </w:rPr>
        <w:t>Productores</w:t>
      </w:r>
      <w:proofErr w:type="spellEnd"/>
      <w:r w:rsidRPr="00717D90">
        <w:rPr>
          <w:rFonts w:ascii="Times New Roman" w:hAnsi="Times New Roman" w:cs="Verdana"/>
          <w:sz w:val="20"/>
          <w:szCs w:val="20"/>
          <w:lang w:val="en-US"/>
        </w:rPr>
        <w:t xml:space="preserve"> de Música de </w:t>
      </w:r>
      <w:proofErr w:type="spellStart"/>
      <w:r w:rsidRPr="00717D90">
        <w:rPr>
          <w:rFonts w:ascii="Times New Roman" w:hAnsi="Times New Roman" w:cs="Verdana"/>
          <w:sz w:val="20"/>
          <w:szCs w:val="20"/>
          <w:lang w:val="en-US"/>
        </w:rPr>
        <w:t>España</w:t>
      </w:r>
      <w:proofErr w:type="spellEnd"/>
      <w:r w:rsidRPr="00717D90">
        <w:rPr>
          <w:rFonts w:ascii="Times New Roman" w:hAnsi="Times New Roman" w:cs="Verdana"/>
          <w:sz w:val="20"/>
          <w:szCs w:val="20"/>
          <w:lang w:val="en-US"/>
        </w:rPr>
        <w:t xml:space="preserve"> (</w:t>
      </w:r>
      <w:proofErr w:type="spellStart"/>
      <w:r w:rsidRPr="00717D90">
        <w:rPr>
          <w:rFonts w:ascii="Times New Roman" w:hAnsi="Times New Roman" w:cs="Verdana"/>
          <w:sz w:val="20"/>
          <w:szCs w:val="20"/>
          <w:lang w:val="en-US"/>
        </w:rPr>
        <w:t>Promusicae</w:t>
      </w:r>
      <w:proofErr w:type="spellEnd"/>
      <w:r w:rsidRPr="00717D90">
        <w:rPr>
          <w:rFonts w:ascii="Times New Roman" w:hAnsi="Times New Roman" w:cs="Verdana"/>
          <w:sz w:val="20"/>
          <w:szCs w:val="20"/>
          <w:lang w:val="en-US"/>
        </w:rPr>
        <w:t xml:space="preserve">) v Telefónica de </w:t>
      </w:r>
      <w:proofErr w:type="spellStart"/>
      <w:r w:rsidRPr="00717D90">
        <w:rPr>
          <w:rFonts w:ascii="Times New Roman" w:hAnsi="Times New Roman" w:cs="Verdana"/>
          <w:sz w:val="20"/>
          <w:szCs w:val="20"/>
          <w:lang w:val="en-US"/>
        </w:rPr>
        <w:t>España</w:t>
      </w:r>
      <w:proofErr w:type="spellEnd"/>
      <w:r w:rsidRPr="00717D90">
        <w:rPr>
          <w:rFonts w:ascii="Times New Roman" w:hAnsi="Times New Roman" w:cs="Verdana"/>
          <w:sz w:val="20"/>
          <w:szCs w:val="20"/>
          <w:lang w:val="en-US"/>
        </w:rPr>
        <w:t xml:space="preserve"> SAU</w:t>
      </w:r>
    </w:p>
    <w:p w:rsidR="00717D90" w:rsidRPr="00BB15C9" w:rsidRDefault="00717D90" w:rsidP="00717D90">
      <w:pPr>
        <w:rPr>
          <w:rFonts w:ascii="Times New Roman" w:hAnsi="Times New Roman" w:cs="Verdana"/>
          <w:sz w:val="20"/>
          <w:szCs w:val="20"/>
          <w:lang w:val="en-US"/>
        </w:rPr>
      </w:pPr>
      <w:r w:rsidRPr="00717D90">
        <w:rPr>
          <w:rFonts w:ascii="Times New Roman" w:hAnsi="Times New Roman" w:cs="Verdana"/>
          <w:sz w:val="20"/>
          <w:szCs w:val="20"/>
          <w:lang w:val="en-US"/>
        </w:rPr>
        <w:t xml:space="preserve">Case C-101/01, </w:t>
      </w:r>
      <w:proofErr w:type="spellStart"/>
      <w:r w:rsidRPr="00717D90">
        <w:rPr>
          <w:rFonts w:ascii="Times New Roman" w:hAnsi="Times New Roman" w:cs="Verdana"/>
          <w:sz w:val="20"/>
          <w:szCs w:val="20"/>
          <w:lang w:val="en-US"/>
        </w:rPr>
        <w:t>Bodil</w:t>
      </w:r>
      <w:proofErr w:type="spellEnd"/>
      <w:r w:rsidRPr="00717D90">
        <w:rPr>
          <w:rFonts w:ascii="Times New Roman" w:hAnsi="Times New Roman" w:cs="Verdana"/>
          <w:sz w:val="20"/>
          <w:szCs w:val="20"/>
          <w:lang w:val="en-US"/>
        </w:rPr>
        <w:t xml:space="preserve"> Lindqvist</w:t>
      </w:r>
    </w:p>
    <w:sectPr w:rsidR="00717D90" w:rsidRPr="00BB15C9" w:rsidSect="00BB15C9">
      <w:type w:val="continuous"/>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B306E"/>
    <w:multiLevelType w:val="hybridMultilevel"/>
    <w:tmpl w:val="9E2813FE"/>
    <w:lvl w:ilvl="0" w:tplc="E3CEF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E3"/>
    <w:rsid w:val="000439CE"/>
    <w:rsid w:val="001B50E3"/>
    <w:rsid w:val="00281622"/>
    <w:rsid w:val="002D4DCE"/>
    <w:rsid w:val="002F72AE"/>
    <w:rsid w:val="00320910"/>
    <w:rsid w:val="003D63DE"/>
    <w:rsid w:val="00406FC8"/>
    <w:rsid w:val="004A218A"/>
    <w:rsid w:val="006107C7"/>
    <w:rsid w:val="006F3038"/>
    <w:rsid w:val="00717D90"/>
    <w:rsid w:val="007C176B"/>
    <w:rsid w:val="007F3840"/>
    <w:rsid w:val="00821577"/>
    <w:rsid w:val="0091619A"/>
    <w:rsid w:val="0093467F"/>
    <w:rsid w:val="0095112F"/>
    <w:rsid w:val="009D365D"/>
    <w:rsid w:val="00A32AE3"/>
    <w:rsid w:val="00BB15C9"/>
    <w:rsid w:val="00C13F07"/>
    <w:rsid w:val="00D708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193A8"/>
  <w15:docId w15:val="{B35C3B2A-6DCF-A64B-8602-638E6797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F3840"/>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6FC8"/>
    <w:pPr>
      <w:ind w:left="720"/>
      <w:contextualSpacing/>
    </w:pPr>
  </w:style>
  <w:style w:type="character" w:customStyle="1" w:styleId="apple-style-span">
    <w:name w:val="apple-style-span"/>
    <w:basedOn w:val="Standardnpsmoodstavce"/>
    <w:rsid w:val="002F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C909-4711-CE44-A44C-B8F1097B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Introduction to Cyberlaw</vt:lpstr>
    </vt:vector>
  </TitlesOfParts>
  <Company>Masaryk University</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Cyberlaw</dc:title>
  <dc:creator>Radim Polčák</dc:creator>
  <cp:lastModifiedBy>Radim Polčák</cp:lastModifiedBy>
  <cp:revision>2</cp:revision>
  <dcterms:created xsi:type="dcterms:W3CDTF">2018-10-29T20:44:00Z</dcterms:created>
  <dcterms:modified xsi:type="dcterms:W3CDTF">2018-10-29T20:44:00Z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