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4A0899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996C00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A089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A0899">
        <w:rPr>
          <w:rFonts w:ascii="Garamond" w:hAnsi="Garamond"/>
          <w:sz w:val="24"/>
        </w:rPr>
      </w:r>
      <w:r w:rsidR="004A089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A089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4A089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A0899">
        <w:rPr>
          <w:rFonts w:ascii="Garamond" w:hAnsi="Garamond"/>
          <w:sz w:val="24"/>
        </w:rPr>
      </w:r>
      <w:r w:rsidR="004A089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A0899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996C00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4A089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A0899">
        <w:rPr>
          <w:rFonts w:ascii="Garamond" w:hAnsi="Garamond"/>
          <w:sz w:val="24"/>
        </w:rPr>
      </w:r>
      <w:r w:rsidR="004A089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A0899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4A089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4A0899">
        <w:rPr>
          <w:rFonts w:ascii="Garamond" w:hAnsi="Garamond"/>
          <w:sz w:val="24"/>
        </w:rPr>
      </w:r>
      <w:r w:rsidR="004A0899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4A0899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4A0899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4A0899" w:rsidRPr="00E227F5">
        <w:rPr>
          <w:rFonts w:ascii="Garamond" w:hAnsi="Garamond"/>
          <w:sz w:val="24"/>
          <w:szCs w:val="24"/>
        </w:rPr>
      </w:r>
      <w:r w:rsidR="004A0899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4A0899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Pr="0096417B" w:rsidRDefault="0096417B" w:rsidP="0096417B">
      <w:pPr>
        <w:spacing w:after="120"/>
        <w:jc w:val="both"/>
        <w:rPr>
          <w:rFonts w:ascii="Garamond" w:hAnsi="Garamond"/>
          <w:sz w:val="24"/>
          <w:szCs w:val="24"/>
        </w:rPr>
      </w:pPr>
      <w:r w:rsidRPr="0096417B">
        <w:rPr>
          <w:rFonts w:ascii="Garamond" w:hAnsi="Garamond"/>
          <w:sz w:val="24"/>
          <w:szCs w:val="24"/>
        </w:rPr>
        <w:t>Soud vydává tuto dražební vyhlášku:</w:t>
      </w:r>
    </w:p>
    <w:p w:rsidR="0096417B" w:rsidRDefault="0096417B" w:rsidP="0096417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Dražební jednání</w:t>
      </w:r>
      <w:r w:rsidR="00D7388E">
        <w:rPr>
          <w:rFonts w:ascii="Garamond" w:hAnsi="Garamond"/>
          <w:sz w:val="24"/>
          <w:szCs w:val="24"/>
        </w:rPr>
        <w:t xml:space="preserve"> pořadové číslo</w:t>
      </w:r>
      <w:r>
        <w:rPr>
          <w:rFonts w:ascii="Garamond" w:hAnsi="Garamond"/>
          <w:sz w:val="24"/>
          <w:szCs w:val="24"/>
        </w:rPr>
        <w:t xml:space="preserve"> </w:t>
      </w:r>
      <w:r w:rsidR="004A0899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5" w:name="Text77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4A0899">
        <w:rPr>
          <w:rFonts w:ascii="Garamond" w:hAnsi="Garamond"/>
          <w:sz w:val="24"/>
          <w:szCs w:val="24"/>
        </w:rPr>
      </w:r>
      <w:r w:rsidR="004A0899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4A0899">
        <w:rPr>
          <w:rFonts w:ascii="Garamond" w:hAnsi="Garamond"/>
          <w:sz w:val="24"/>
          <w:szCs w:val="24"/>
        </w:rPr>
        <w:fldChar w:fldCharType="end"/>
      </w:r>
      <w:bookmarkEnd w:id="5"/>
      <w:r w:rsidR="00D738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</w:t>
      </w:r>
      <w:r w:rsidR="00CB4CFC" w:rsidRPr="00CB4CFC">
        <w:rPr>
          <w:rFonts w:ascii="Garamond" w:hAnsi="Garamond"/>
          <w:sz w:val="24"/>
          <w:szCs w:val="24"/>
        </w:rPr>
        <w:t xml:space="preserve"> nařizuje </w:t>
      </w:r>
      <w:r>
        <w:rPr>
          <w:rFonts w:ascii="Garamond" w:hAnsi="Garamond"/>
          <w:sz w:val="24"/>
          <w:szCs w:val="24"/>
        </w:rPr>
        <w:t xml:space="preserve">na den </w:t>
      </w:r>
      <w:r w:rsidR="004A0899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4A0899" w:rsidRPr="0096417B">
        <w:rPr>
          <w:rFonts w:ascii="Garamond" w:hAnsi="Garamond"/>
          <w:b/>
          <w:sz w:val="24"/>
          <w:szCs w:val="24"/>
        </w:rPr>
      </w:r>
      <w:r w:rsidR="004A0899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4A0899" w:rsidRPr="0096417B">
        <w:rPr>
          <w:rFonts w:ascii="Garamond" w:hAnsi="Garamond"/>
          <w:b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 v </w:t>
      </w:r>
      <w:r w:rsidR="004A0899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4A0899" w:rsidRPr="0096417B">
        <w:rPr>
          <w:rFonts w:ascii="Garamond" w:hAnsi="Garamond"/>
          <w:b/>
          <w:sz w:val="24"/>
          <w:szCs w:val="24"/>
        </w:rPr>
      </w:r>
      <w:r w:rsidR="004A0899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4A0899" w:rsidRPr="0096417B">
        <w:rPr>
          <w:rFonts w:ascii="Garamond" w:hAnsi="Garamond"/>
          <w:b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 xml:space="preserve"> hodin v </w:t>
      </w:r>
      <w:r w:rsidR="004A0899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(místo jednání)"/>
            </w:textInput>
          </w:ffData>
        </w:fldChar>
      </w:r>
      <w:bookmarkStart w:id="8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4A0899">
        <w:rPr>
          <w:rFonts w:ascii="Garamond" w:hAnsi="Garamond"/>
          <w:sz w:val="24"/>
          <w:szCs w:val="24"/>
        </w:rPr>
      </w:r>
      <w:r w:rsidR="004A0899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(místo jednání)</w:t>
      </w:r>
      <w:r w:rsidR="004A0899">
        <w:rPr>
          <w:rFonts w:ascii="Garamond" w:hAnsi="Garamond"/>
          <w:sz w:val="24"/>
          <w:szCs w:val="24"/>
        </w:rPr>
        <w:fldChar w:fldCharType="end"/>
      </w:r>
      <w:bookmarkEnd w:id="8"/>
    </w:p>
    <w:p w:rsidR="00D7388E" w:rsidRPr="00E10865" w:rsidRDefault="00E10865" w:rsidP="00E10865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Dražen bude</w:t>
      </w:r>
      <w:r w:rsidR="00D7388E" w:rsidRPr="00D7388E">
        <w:rPr>
          <w:rFonts w:ascii="Garamond" w:hAnsi="Garamond"/>
          <w:sz w:val="24"/>
          <w:szCs w:val="24"/>
        </w:rPr>
        <w:t xml:space="preserve"> </w:t>
      </w:r>
      <w:r w:rsidRPr="00E10865">
        <w:rPr>
          <w:rFonts w:ascii="Garamond" w:hAnsi="Garamond"/>
          <w:sz w:val="24"/>
          <w:szCs w:val="24"/>
        </w:rPr>
        <w:t>závod</w:t>
      </w:r>
      <w:r>
        <w:rPr>
          <w:rFonts w:ascii="Garamond" w:hAnsi="Garamond"/>
          <w:sz w:val="24"/>
          <w:szCs w:val="24"/>
        </w:rPr>
        <w:t>/</w:t>
      </w:r>
      <w:r w:rsidRPr="00E10865">
        <w:rPr>
          <w:rFonts w:ascii="Garamond" w:hAnsi="Garamond"/>
          <w:sz w:val="24"/>
          <w:szCs w:val="24"/>
        </w:rPr>
        <w:t>část závodu</w:t>
      </w:r>
      <w:r>
        <w:rPr>
          <w:rFonts w:ascii="Garamond" w:hAnsi="Garamond"/>
          <w:sz w:val="24"/>
          <w:szCs w:val="24"/>
        </w:rPr>
        <w:t>/</w:t>
      </w:r>
      <w:r w:rsidRPr="00E10865">
        <w:rPr>
          <w:rFonts w:ascii="Garamond" w:hAnsi="Garamond"/>
          <w:sz w:val="24"/>
          <w:szCs w:val="24"/>
        </w:rPr>
        <w:t>podíl</w:t>
      </w:r>
      <w:r w:rsidR="008E7DBB">
        <w:rPr>
          <w:rFonts w:ascii="Garamond" w:hAnsi="Garamond"/>
          <w:sz w:val="24"/>
          <w:szCs w:val="24"/>
        </w:rPr>
        <w:t xml:space="preserve"> spolumajitele závodu</w:t>
      </w:r>
      <w:r w:rsidRPr="00E10865">
        <w:rPr>
          <w:rFonts w:ascii="Garamond" w:hAnsi="Garamond"/>
          <w:sz w:val="24"/>
          <w:szCs w:val="24"/>
        </w:rPr>
        <w:t xml:space="preserve">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" w:name="Text82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 w:rsidRPr="00E1086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</w:t>
      </w:r>
      <w:r w:rsidRPr="00E10865">
        <w:rPr>
          <w:rFonts w:ascii="Garamond" w:hAnsi="Garamond"/>
          <w:sz w:val="24"/>
          <w:szCs w:val="24"/>
        </w:rPr>
        <w:t>rodinný závod</w:t>
      </w:r>
      <w:r>
        <w:rPr>
          <w:rFonts w:ascii="Garamond" w:hAnsi="Garamond"/>
          <w:sz w:val="24"/>
          <w:szCs w:val="24"/>
        </w:rPr>
        <w:t xml:space="preserve">, </w:t>
      </w:r>
      <w:r w:rsidR="00D7388E">
        <w:rPr>
          <w:rFonts w:ascii="Garamond" w:hAnsi="Garamond"/>
          <w:sz w:val="24"/>
          <w:szCs w:val="24"/>
        </w:rPr>
        <w:t>a to</w:t>
      </w:r>
      <w:r>
        <w:rPr>
          <w:rFonts w:ascii="Garamond" w:hAnsi="Garamond"/>
          <w:sz w:val="24"/>
          <w:szCs w:val="24"/>
        </w:rPr>
        <w:t xml:space="preserve"> </w:t>
      </w:r>
      <w:r w:rsidR="004A0899" w:rsidRPr="00E10865"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0" w:name="Text57"/>
      <w:r w:rsidR="00D7388E" w:rsidRPr="00E10865">
        <w:rPr>
          <w:rFonts w:ascii="Garamond" w:hAnsi="Garamond"/>
          <w:sz w:val="24"/>
          <w:szCs w:val="24"/>
        </w:rPr>
        <w:instrText xml:space="preserve"> FORMTEXT </w:instrText>
      </w:r>
      <w:r w:rsidR="004A0899" w:rsidRPr="00E10865">
        <w:rPr>
          <w:rFonts w:ascii="Garamond" w:hAnsi="Garamond"/>
          <w:sz w:val="24"/>
          <w:szCs w:val="24"/>
        </w:rPr>
      </w:r>
      <w:r w:rsidR="004A0899" w:rsidRPr="00E10865">
        <w:rPr>
          <w:rFonts w:ascii="Garamond" w:hAnsi="Garamond"/>
          <w:sz w:val="24"/>
          <w:szCs w:val="24"/>
        </w:rPr>
        <w:fldChar w:fldCharType="separate"/>
      </w:r>
      <w:r w:rsidR="00D7388E">
        <w:rPr>
          <w:noProof/>
        </w:rPr>
        <w:t> </w:t>
      </w:r>
      <w:r w:rsidR="00D7388E">
        <w:rPr>
          <w:noProof/>
        </w:rPr>
        <w:t> </w:t>
      </w:r>
      <w:r w:rsidR="00D7388E">
        <w:rPr>
          <w:noProof/>
        </w:rPr>
        <w:t> </w:t>
      </w:r>
      <w:r w:rsidR="00D7388E">
        <w:rPr>
          <w:noProof/>
        </w:rPr>
        <w:t> </w:t>
      </w:r>
      <w:r w:rsidR="00D7388E">
        <w:rPr>
          <w:noProof/>
        </w:rPr>
        <w:t> </w:t>
      </w:r>
      <w:r w:rsidR="004A0899" w:rsidRPr="00E10865"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>.</w:t>
      </w:r>
    </w:p>
    <w:p w:rsidR="00D7388E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Cena majetku náležejícího k závodu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byla </w:t>
      </w:r>
      <w:r w:rsidR="00D7388E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určena ve výši</w:t>
      </w:r>
      <w:r w:rsidR="00D738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="00D7388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D7388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7388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7388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7388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D7388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1"/>
      <w:r w:rsidR="00D7388E"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="00D7388E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E10865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Peněžní prostředky v hotovosti a uložené na účtu u peněžních ústavů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 měně České republiky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patřící k závodu byly určeny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2" w:name="Text83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2"/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Kč.</w:t>
      </w:r>
    </w:p>
    <w:p w:rsidR="00E10865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Cena dluhů náležejících k závodu byla určena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3" w:name="Text84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3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E10865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Peněžité dluhy náležející k závodu byly určeny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4" w:name="Text8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4"/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Kč.</w:t>
      </w:r>
    </w:p>
    <w:p w:rsidR="00E10865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Zjištěná cena závodu byla určena ve výši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5" w:name="Text8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5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Kč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E10865" w:rsidRDefault="00E10865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Do zprávy o ceně závodu je možné nahlédnout u podepsaného soudu v dnech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16" w:name="Text87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6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 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době od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7" w:name="Text88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7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do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8" w:name="Text89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8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hodin.</w:t>
      </w:r>
    </w:p>
    <w:p w:rsidR="00D7388E" w:rsidRP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Nejnižší podání se stanoví ve výši </w:t>
      </w:r>
      <w:r w:rsidR="004A089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9" w:name="Text70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="004A0899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9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 Kč.</w:t>
      </w:r>
    </w:p>
    <w:p w:rsidR="0096417B" w:rsidRPr="0096417B" w:rsidRDefault="0096417B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Jistota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stanoví ve výši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0" w:name="Text7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0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96417B" w:rsidRDefault="0096417B" w:rsidP="002A219B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Jistotu lze zaplatit v hotovosti do pokladny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1" w:name="Text7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1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soudu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2" w:name="Text73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2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 době od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3" w:name="Text74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3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 do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4" w:name="Text7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4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nebo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platbou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na účet soudu v bance 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5" w:name="Text7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A089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5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; k jistotě zaplacené tímto způsobem lze přihlédnout jen tehdy, bude-li před zahájením dražebního jednání zjištěno, že došla na účet soudu.</w:t>
      </w:r>
    </w:p>
    <w:p w:rsidR="00E10865" w:rsidRDefault="00E10865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Soud upozorňuje, že cena majetku náležejícího k </w:t>
      </w:r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závodu uvedená ve výroku III., 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výše peněžních prostředků v hotovosti a uložených na účtu u peněžního ústavu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v měně České republiky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náležejících k závodu uvedená ve výroku IV., cena dluhů náležejících k závodu uvedená ve výroku V., výše peněžitých dluhů náležejících k závodu uvedená ve výroku VI., zjištěná cena závodu uvedená ve výroku VII. a výše nejnižšího podání uvedená ve výroku IX. mohou být změněny s přihlédnutím ke zvýšení nebo snížení jmění závodu, k němuž dojde do dražebního jednání.</w:t>
      </w:r>
    </w:p>
    <w:p w:rsidR="00E10865" w:rsidRPr="00E10865" w:rsidRDefault="00E10865" w:rsidP="00E10865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Vydražitel je oprávněn převzít vydražený závod dnem ná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sledujícím po vydání usnesení o 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příklepu.</w:t>
      </w:r>
    </w:p>
    <w:p w:rsidR="00E10865" w:rsidRDefault="00E10865" w:rsidP="00E10865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Vydražený závod přejde do majetku vydražitele, nabude-li usnesení o příklepu právní moci a zaplatí-li vydražitel nejvyšší podání, a to ke dni vydání usnesení o příklepu. K témuž dni se vydražitel stává vlastníkem věcí a vstupuje do práv a závazků náležejících k závodu.</w:t>
      </w:r>
    </w:p>
    <w:p w:rsidR="00E10865" w:rsidRPr="00E10865" w:rsidRDefault="00E10865" w:rsidP="0072247C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Při rozvrhu rozdělované podstaty se mohou </w:t>
      </w:r>
      <w:r w:rsidR="00996C00"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, ti, kdo do řízení přistoupili jako další oprávnění, a další věřitelé </w:t>
      </w:r>
      <w:r w:rsidR="00996C00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domáhat uspokojení 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lastRenderedPageBreak/>
        <w:t xml:space="preserve">jiných pohledávek za </w:t>
      </w:r>
      <w:r w:rsidR="00996C00">
        <w:rPr>
          <w:rFonts w:ascii="Garamond" w:eastAsia="Calibri" w:hAnsi="Garamond"/>
          <w:color w:val="000000"/>
          <w:sz w:val="24"/>
          <w:szCs w:val="24"/>
          <w:lang w:eastAsia="en-US"/>
        </w:rPr>
        <w:t>povinným/povinnou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přiznaných vykonatelným rozhodnutím, smírem nebo jiným titulem uvedeným v § 274 </w:t>
      </w:r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zák. č. 99/1963 Sb., občanský soudní </w:t>
      </w:r>
      <w:proofErr w:type="gramStart"/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>řád</w:t>
      </w:r>
      <w:proofErr w:type="gramEnd"/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noBreakHyphen/>
        <w:t> </w:t>
      </w:r>
      <w:proofErr w:type="gramStart"/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>dále</w:t>
      </w:r>
      <w:proofErr w:type="gramEnd"/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jen „o. s. ř.“,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anebo pohledávek za </w:t>
      </w:r>
      <w:r w:rsidR="00996C00">
        <w:rPr>
          <w:rFonts w:ascii="Garamond" w:eastAsia="Calibri" w:hAnsi="Garamond"/>
          <w:color w:val="000000"/>
          <w:sz w:val="24"/>
          <w:szCs w:val="24"/>
          <w:lang w:eastAsia="en-US"/>
        </w:rPr>
        <w:t>povinným/povinnou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zajištěných zástavním právem, zadržovacím právem, nebo zajišťovacím převodem práva,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než pro které byl nařízen výkon rozhodnutí,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náleží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>-li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 závodu, jestliže je přihlásí u podepsaného soudu nejpozději 5 dnů přede dnem dražebního jednání. </w:t>
      </w:r>
      <w:r w:rsidR="001A2DF0"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mohou své pohledávky za </w:t>
      </w:r>
      <w:r w:rsidR="00996C00">
        <w:rPr>
          <w:rFonts w:ascii="Garamond" w:eastAsia="Calibri" w:hAnsi="Garamond"/>
          <w:color w:val="000000"/>
          <w:sz w:val="24"/>
          <w:szCs w:val="24"/>
          <w:lang w:eastAsia="en-US"/>
        </w:rPr>
        <w:t>povinným/povinnou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přihlásit, jen jestliže jim byly přiznány vykonatelným rozhodnutím, smírem nebo jiným titulem uvedeným v § 274 </w:t>
      </w:r>
      <w:r w:rsidR="0072247C">
        <w:rPr>
          <w:rFonts w:ascii="Garamond" w:eastAsia="Calibri" w:hAnsi="Garamond"/>
          <w:color w:val="000000"/>
          <w:sz w:val="24"/>
          <w:szCs w:val="24"/>
          <w:lang w:eastAsia="en-US"/>
        </w:rPr>
        <w:t>o. s. ř.</w:t>
      </w: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po právní moci usnesení, kterým byl nařízen výkon rozhodnutí prodejem závodu.</w:t>
      </w:r>
    </w:p>
    <w:p w:rsidR="006A732E" w:rsidRPr="00E10865" w:rsidRDefault="00E10865" w:rsidP="0072247C">
      <w:pPr>
        <w:widowControl/>
        <w:tabs>
          <w:tab w:val="left" w:pos="4820"/>
          <w:tab w:val="left" w:pos="6521"/>
        </w:tabs>
        <w:spacing w:after="120"/>
        <w:ind w:left="567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E10865">
        <w:rPr>
          <w:rFonts w:ascii="Garamond" w:eastAsia="Calibri" w:hAnsi="Garamond"/>
          <w:color w:val="000000"/>
          <w:sz w:val="24"/>
          <w:szCs w:val="24"/>
          <w:lang w:eastAsia="en-US"/>
        </w:rPr>
        <w:t>V přihlášce musí být uvedena výše pohledávky, jejíhož uspokojení se věřitel domáhá, a požadovaná výše příslušenství této pohledávky. K přihlášce musí být připojeny listiny prokazující, že jde o vymahatelnou pohledávku nebo o pohledávku zajištěnou zástavním právem, zadržovacím právem nebo zajišťovacím převodem práva, a že náleží k závodu.  K přihlášce, v níž nebude uvedena výše pohledávky nebo jejího příslušenství, soud nebude přihlížet.</w:t>
      </w:r>
    </w:p>
    <w:p w:rsidR="006A732E" w:rsidRDefault="0072247C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>Dluhy náležející k závodu, které nebudou při výkonu rozhodnutí uspokojeny, přecházejí na vydražitele. Přechodem dluhu povinného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>/povinné</w:t>
      </w: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nastupuje vydražitel jako dlužník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na jeho místo</w:t>
      </w: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>;  k přechodu dluhu se nevyžaduje souhlas věřitele.</w:t>
      </w:r>
    </w:p>
    <w:p w:rsidR="006A732E" w:rsidRDefault="0072247C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Soud vyzývá každého, kdo má právo, které nepřipouští dražbu (§ 267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o. s. ř.</w:t>
      </w: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>), aby je uplatnil u soudu a aby takové uplatnění práva prokázal podepsanému soudu nejpozději před zahájením dražebního jednání. Jestliže tak neučiní, nebude při provedení výkonu rozhodnutí k jeho právu přihlíženo.</w:t>
      </w:r>
    </w:p>
    <w:p w:rsidR="006A732E" w:rsidRPr="0072247C" w:rsidRDefault="0072247C" w:rsidP="0072247C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>Osoby, které mají k závodu, k jeho části nebo k majetku, který slouží k provozování závodu nebo vzhledem ke své povaze má tomuto účelu sloužit, předkupní právo nebo výhradu zpětné koupě, je mohou uplatnit jen v dražbě jako dražitelé. Udělením příklepu předkupní právo nebo výhrada zpětné</w:t>
      </w:r>
      <w:r w:rsidR="008E7DB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koupě</w:t>
      </w:r>
      <w:r w:rsidRPr="0072247C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zanikají, nejde-li o předkupní právo stavebníka k pozemku nebo vlastníka pozemku k právu stavby, předkupní právo vlastníka stavby k pozemku a vlastníka pozemku ke stavbě nebo zákonné předkupní právo, která udělením příklepu nezanikají.</w:t>
      </w:r>
    </w:p>
    <w:p w:rsidR="00D07178" w:rsidRDefault="0080574B" w:rsidP="00D07178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72247C" w:rsidRPr="0072247C" w:rsidRDefault="0072247C" w:rsidP="0072247C">
      <w:pPr>
        <w:spacing w:after="120"/>
        <w:jc w:val="both"/>
        <w:rPr>
          <w:rFonts w:ascii="Garamond" w:hAnsi="Garamond"/>
          <w:sz w:val="24"/>
          <w:szCs w:val="24"/>
        </w:rPr>
      </w:pPr>
      <w:r w:rsidRPr="0072247C">
        <w:rPr>
          <w:rFonts w:ascii="Garamond" w:hAnsi="Garamond"/>
          <w:sz w:val="24"/>
          <w:szCs w:val="24"/>
        </w:rPr>
        <w:t xml:space="preserve">Proti tomuto usnesení mohou podat odvolání </w:t>
      </w:r>
      <w:r w:rsidR="00CD3EBC">
        <w:rPr>
          <w:rFonts w:ascii="Garamond" w:hAnsi="Garamond"/>
          <w:sz w:val="24"/>
          <w:szCs w:val="24"/>
        </w:rPr>
        <w:t>oprávněný/oprávněná</w:t>
      </w:r>
      <w:r w:rsidRPr="0072247C">
        <w:rPr>
          <w:rFonts w:ascii="Garamond" w:hAnsi="Garamond"/>
          <w:sz w:val="24"/>
          <w:szCs w:val="24"/>
        </w:rPr>
        <w:t xml:space="preserve">, ti, kdo do řízení přistoupili jako další oprávnění, </w:t>
      </w:r>
      <w:r w:rsidR="00CD3EBC">
        <w:rPr>
          <w:rFonts w:ascii="Garamond" w:hAnsi="Garamond"/>
          <w:sz w:val="24"/>
          <w:szCs w:val="24"/>
        </w:rPr>
        <w:t>povinný/povinná</w:t>
      </w:r>
      <w:r w:rsidRPr="0072247C">
        <w:rPr>
          <w:rFonts w:ascii="Garamond" w:hAnsi="Garamond"/>
          <w:sz w:val="24"/>
          <w:szCs w:val="24"/>
        </w:rPr>
        <w:t xml:space="preserve"> a osoby, které mají k </w:t>
      </w:r>
      <w:r w:rsidR="008E7DBB">
        <w:rPr>
          <w:rFonts w:ascii="Garamond" w:hAnsi="Garamond"/>
          <w:sz w:val="24"/>
          <w:szCs w:val="24"/>
        </w:rPr>
        <w:t>závodu</w:t>
      </w:r>
      <w:r w:rsidRPr="0072247C">
        <w:rPr>
          <w:rFonts w:ascii="Garamond" w:hAnsi="Garamond"/>
          <w:sz w:val="24"/>
          <w:szCs w:val="24"/>
        </w:rPr>
        <w:t xml:space="preserve"> nebo k</w:t>
      </w:r>
      <w:r w:rsidR="008E7DBB">
        <w:rPr>
          <w:rFonts w:ascii="Garamond" w:hAnsi="Garamond"/>
          <w:sz w:val="24"/>
          <w:szCs w:val="24"/>
        </w:rPr>
        <w:t> majetku, který</w:t>
      </w:r>
      <w:r w:rsidRPr="0072247C">
        <w:rPr>
          <w:rFonts w:ascii="Garamond" w:hAnsi="Garamond"/>
          <w:sz w:val="24"/>
          <w:szCs w:val="24"/>
        </w:rPr>
        <w:t xml:space="preserve"> slouží k provozování </w:t>
      </w:r>
      <w:r w:rsidR="008E7DBB">
        <w:rPr>
          <w:rFonts w:ascii="Garamond" w:hAnsi="Garamond"/>
          <w:sz w:val="24"/>
          <w:szCs w:val="24"/>
        </w:rPr>
        <w:t>závodu</w:t>
      </w:r>
      <w:r w:rsidRPr="0072247C">
        <w:rPr>
          <w:rFonts w:ascii="Garamond" w:hAnsi="Garamond"/>
          <w:sz w:val="24"/>
          <w:szCs w:val="24"/>
        </w:rPr>
        <w:t xml:space="preserve"> nebo vzhledem ke své povaze m</w:t>
      </w:r>
      <w:r w:rsidR="008E7DBB">
        <w:rPr>
          <w:rFonts w:ascii="Garamond" w:hAnsi="Garamond"/>
          <w:sz w:val="24"/>
          <w:szCs w:val="24"/>
        </w:rPr>
        <w:t>á</w:t>
      </w:r>
      <w:r w:rsidRPr="0072247C">
        <w:rPr>
          <w:rFonts w:ascii="Garamond" w:hAnsi="Garamond"/>
          <w:sz w:val="24"/>
          <w:szCs w:val="24"/>
        </w:rPr>
        <w:t xml:space="preserve"> tomuto účelu sloužit, předkupní právo</w:t>
      </w:r>
      <w:r w:rsidR="008E7DBB">
        <w:rPr>
          <w:rFonts w:ascii="Garamond" w:hAnsi="Garamond"/>
          <w:sz w:val="24"/>
          <w:szCs w:val="24"/>
        </w:rPr>
        <w:t xml:space="preserve"> nebo výhradu zpětné koupě</w:t>
      </w:r>
      <w:r w:rsidRPr="0072247C">
        <w:rPr>
          <w:rFonts w:ascii="Garamond" w:hAnsi="Garamond"/>
          <w:sz w:val="24"/>
          <w:szCs w:val="24"/>
        </w:rPr>
        <w:t xml:space="preserve">, a to do 15 dnů ode dne jeho doručení ke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26" w:name="Text9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6"/>
      <w:r w:rsidRPr="0072247C">
        <w:rPr>
          <w:rFonts w:ascii="Garamond" w:hAnsi="Garamond"/>
          <w:sz w:val="24"/>
          <w:szCs w:val="24"/>
        </w:rPr>
        <w:t xml:space="preserve"> soudu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7" w:name="Text9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7"/>
      <w:r w:rsidRPr="0072247C">
        <w:rPr>
          <w:rFonts w:ascii="Garamond" w:hAnsi="Garamond"/>
          <w:sz w:val="24"/>
          <w:szCs w:val="24"/>
        </w:rPr>
        <w:t xml:space="preserve"> prostřednictvím podepsaného soudu. </w:t>
      </w:r>
    </w:p>
    <w:p w:rsidR="003461F4" w:rsidRPr="00E227F5" w:rsidRDefault="0072247C" w:rsidP="0072247C">
      <w:pPr>
        <w:spacing w:after="240"/>
        <w:jc w:val="both"/>
        <w:rPr>
          <w:rFonts w:ascii="Garamond" w:hAnsi="Garamond"/>
          <w:sz w:val="24"/>
          <w:szCs w:val="24"/>
        </w:rPr>
      </w:pPr>
      <w:r w:rsidRPr="0072247C">
        <w:rPr>
          <w:rFonts w:ascii="Garamond" w:hAnsi="Garamond"/>
          <w:sz w:val="24"/>
          <w:szCs w:val="24"/>
        </w:rPr>
        <w:t>Odvolání jen</w:t>
      </w:r>
      <w:r w:rsidR="00D07178">
        <w:rPr>
          <w:rFonts w:ascii="Garamond" w:hAnsi="Garamond"/>
          <w:sz w:val="24"/>
          <w:szCs w:val="24"/>
        </w:rPr>
        <w:t xml:space="preserve"> proti výrokům I., II., VIII., </w:t>
      </w:r>
      <w:r w:rsidRPr="0072247C">
        <w:rPr>
          <w:rFonts w:ascii="Garamond" w:hAnsi="Garamond"/>
          <w:sz w:val="24"/>
          <w:szCs w:val="24"/>
        </w:rPr>
        <w:t>XI., XII., XIII., XIV., XV. nebo XVI. tohoto usnesení není přípustné.</w:t>
      </w:r>
    </w:p>
    <w:p w:rsidR="00D07178" w:rsidRDefault="00D07178" w:rsidP="00D07178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4A0899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Default="004A0899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D07178" w:rsidRPr="00D07178" w:rsidRDefault="00D07178" w:rsidP="00D07178">
      <w:pPr>
        <w:spacing w:after="120"/>
        <w:jc w:val="both"/>
        <w:rPr>
          <w:rFonts w:ascii="Garamond" w:hAnsi="Garamond"/>
          <w:sz w:val="22"/>
          <w:szCs w:val="22"/>
        </w:rPr>
      </w:pPr>
      <w:r w:rsidRPr="00D07178">
        <w:rPr>
          <w:rFonts w:ascii="Garamond" w:hAnsi="Garamond"/>
          <w:b/>
          <w:sz w:val="22"/>
          <w:szCs w:val="22"/>
        </w:rPr>
        <w:t xml:space="preserve">Upozornění: </w:t>
      </w:r>
      <w:r w:rsidRPr="00D07178">
        <w:rPr>
          <w:rFonts w:ascii="Garamond" w:hAnsi="Garamond"/>
          <w:sz w:val="22"/>
          <w:szCs w:val="22"/>
        </w:rPr>
        <w:t>V případě, že jste osobou s omezenou schopností pohybu, orientace či komunikace, dovolujeme si Vás požádat o sdělení této skutečnosti (např. telefonicky, e-mailem, datovou schránkou, atd.) ve lhůtě 3 dnů ode dne doručení tohoto usnesení. Důvodem námi požadovaného sdělení je zajištění vyššího komfortu zdravotně handicapovaným osobám (např. sdělením našeho soudu o možnostech pohybu po budově soudu).</w:t>
      </w:r>
    </w:p>
    <w:sectPr w:rsidR="00D07178" w:rsidRPr="00D07178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BE" w:rsidRDefault="00BD39BE" w:rsidP="00B842B3">
      <w:r>
        <w:separator/>
      </w:r>
    </w:p>
  </w:endnote>
  <w:endnote w:type="continuationSeparator" w:id="0">
    <w:p w:rsidR="00BD39BE" w:rsidRDefault="00BD39B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BE" w:rsidRDefault="00BD39BE" w:rsidP="00B842B3">
      <w:r>
        <w:separator/>
      </w:r>
    </w:p>
  </w:footnote>
  <w:footnote w:type="continuationSeparator" w:id="0">
    <w:p w:rsidR="00BD39BE" w:rsidRDefault="00BD39B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BD39BE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4A0899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4A0899" w:rsidRPr="00442C5F">
          <w:rPr>
            <w:rFonts w:ascii="Garamond" w:hAnsi="Garamond"/>
            <w:sz w:val="24"/>
          </w:rPr>
          <w:fldChar w:fldCharType="separate"/>
        </w:r>
        <w:r w:rsidR="00D07178">
          <w:rPr>
            <w:rFonts w:ascii="Garamond" w:hAnsi="Garamond"/>
            <w:noProof/>
            <w:sz w:val="24"/>
          </w:rPr>
          <w:t>2</w:t>
        </w:r>
        <w:r w:rsidR="004A0899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82321D"/>
    <w:multiLevelType w:val="hybridMultilevel"/>
    <w:tmpl w:val="7A30092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27378"/>
    <w:multiLevelType w:val="hybridMultilevel"/>
    <w:tmpl w:val="8A8CC4A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0"/>
  </w:num>
  <w:num w:numId="5">
    <w:abstractNumId w:val="27"/>
  </w:num>
  <w:num w:numId="6">
    <w:abstractNumId w:val="4"/>
  </w:num>
  <w:num w:numId="7">
    <w:abstractNumId w:val="2"/>
  </w:num>
  <w:num w:numId="8">
    <w:abstractNumId w:val="20"/>
  </w:num>
  <w:num w:numId="9">
    <w:abstractNumId w:val="18"/>
  </w:num>
  <w:num w:numId="10">
    <w:abstractNumId w:val="8"/>
  </w:num>
  <w:num w:numId="11">
    <w:abstractNumId w:val="19"/>
  </w:num>
  <w:num w:numId="12">
    <w:abstractNumId w:val="25"/>
  </w:num>
  <w:num w:numId="13">
    <w:abstractNumId w:val="5"/>
  </w:num>
  <w:num w:numId="14">
    <w:abstractNumId w:val="24"/>
  </w:num>
  <w:num w:numId="15">
    <w:abstractNumId w:val="14"/>
  </w:num>
  <w:num w:numId="16">
    <w:abstractNumId w:val="9"/>
  </w:num>
  <w:num w:numId="17">
    <w:abstractNumId w:val="12"/>
  </w:num>
  <w:num w:numId="18">
    <w:abstractNumId w:val="26"/>
  </w:num>
  <w:num w:numId="19">
    <w:abstractNumId w:val="21"/>
  </w:num>
  <w:num w:numId="20">
    <w:abstractNumId w:val="28"/>
  </w:num>
  <w:num w:numId="21">
    <w:abstractNumId w:val="29"/>
  </w:num>
  <w:num w:numId="22">
    <w:abstractNumId w:val="6"/>
  </w:num>
  <w:num w:numId="23">
    <w:abstractNumId w:val="0"/>
  </w:num>
  <w:num w:numId="24">
    <w:abstractNumId w:val="11"/>
  </w:num>
  <w:num w:numId="25">
    <w:abstractNumId w:val="17"/>
  </w:num>
  <w:num w:numId="26">
    <w:abstractNumId w:val="23"/>
  </w:num>
  <w:num w:numId="27">
    <w:abstractNumId w:val="7"/>
  </w:num>
  <w:num w:numId="28">
    <w:abstractNumId w:val="22"/>
  </w:num>
  <w:num w:numId="29">
    <w:abstractNumId w:val="1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1EA9"/>
    <w:rsid w:val="00155440"/>
    <w:rsid w:val="00183FBF"/>
    <w:rsid w:val="0019197D"/>
    <w:rsid w:val="00196E5F"/>
    <w:rsid w:val="001A2DF0"/>
    <w:rsid w:val="001B613F"/>
    <w:rsid w:val="001C0B5F"/>
    <w:rsid w:val="001C3FC8"/>
    <w:rsid w:val="001E41DC"/>
    <w:rsid w:val="001F4818"/>
    <w:rsid w:val="001F5E19"/>
    <w:rsid w:val="0021633C"/>
    <w:rsid w:val="00231530"/>
    <w:rsid w:val="002452DF"/>
    <w:rsid w:val="0026728D"/>
    <w:rsid w:val="002902F8"/>
    <w:rsid w:val="002A219B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3F5990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899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A732E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2247C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E7DBB"/>
    <w:rsid w:val="008F24B2"/>
    <w:rsid w:val="008F38D3"/>
    <w:rsid w:val="0090061A"/>
    <w:rsid w:val="00944188"/>
    <w:rsid w:val="0096417B"/>
    <w:rsid w:val="00972460"/>
    <w:rsid w:val="00973E05"/>
    <w:rsid w:val="0099524D"/>
    <w:rsid w:val="00996C00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BD39BE"/>
    <w:rsid w:val="00C21F14"/>
    <w:rsid w:val="00C2657E"/>
    <w:rsid w:val="00C304E0"/>
    <w:rsid w:val="00C63519"/>
    <w:rsid w:val="00C6357B"/>
    <w:rsid w:val="00C6424E"/>
    <w:rsid w:val="00C81FBA"/>
    <w:rsid w:val="00CA1282"/>
    <w:rsid w:val="00CB1388"/>
    <w:rsid w:val="00CB3BBB"/>
    <w:rsid w:val="00CB4CFC"/>
    <w:rsid w:val="00CC5CDD"/>
    <w:rsid w:val="00CD3EBC"/>
    <w:rsid w:val="00CE2991"/>
    <w:rsid w:val="00CF04D9"/>
    <w:rsid w:val="00D07178"/>
    <w:rsid w:val="00D4538B"/>
    <w:rsid w:val="00D53242"/>
    <w:rsid w:val="00D70561"/>
    <w:rsid w:val="00D7388E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10865"/>
    <w:rsid w:val="00E227F5"/>
    <w:rsid w:val="00E252E9"/>
    <w:rsid w:val="00E313D0"/>
    <w:rsid w:val="00E3220A"/>
    <w:rsid w:val="00E539E0"/>
    <w:rsid w:val="00E60DDC"/>
    <w:rsid w:val="00E6340C"/>
    <w:rsid w:val="00E86821"/>
    <w:rsid w:val="00EB0F41"/>
    <w:rsid w:val="00EB3B56"/>
    <w:rsid w:val="00EB5A66"/>
    <w:rsid w:val="00EF1398"/>
    <w:rsid w:val="00F24EF2"/>
    <w:rsid w:val="00F3722A"/>
    <w:rsid w:val="00F37E7A"/>
    <w:rsid w:val="00F60C69"/>
    <w:rsid w:val="00F90927"/>
    <w:rsid w:val="00FA2251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2017-08-22T11:39:00Z</dcterms:created>
  <dcterms:modified xsi:type="dcterms:W3CDTF">2017-12-28T17:52:00Z</dcterms:modified>
</cp:coreProperties>
</file>