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0E" w:rsidRPr="00833E3F" w:rsidRDefault="007A5ED7" w:rsidP="00D20493">
      <w:pPr>
        <w:pStyle w:val="NzevPspvku"/>
        <w:spacing w:after="0" w:line="360" w:lineRule="auto"/>
        <w:rPr>
          <w:szCs w:val="26"/>
        </w:rPr>
      </w:pPr>
      <w:r>
        <w:rPr>
          <w:szCs w:val="26"/>
        </w:rPr>
        <w:t>Materiál k přednášce zaměřené na Evropský stabilizační mechanismus</w:t>
      </w:r>
    </w:p>
    <w:p w:rsidR="008E350E" w:rsidRPr="00833E3F" w:rsidRDefault="008E350E" w:rsidP="00D20493">
      <w:pPr>
        <w:pStyle w:val="Fakulta"/>
        <w:spacing w:after="0" w:line="360" w:lineRule="auto"/>
        <w:rPr>
          <w:szCs w:val="26"/>
        </w:rPr>
      </w:pPr>
    </w:p>
    <w:p w:rsidR="008E350E" w:rsidRPr="00833E3F" w:rsidRDefault="00833E3F" w:rsidP="00D20493">
      <w:pPr>
        <w:pStyle w:val="Fakulta"/>
        <w:spacing w:after="0" w:line="360" w:lineRule="auto"/>
        <w:rPr>
          <w:sz w:val="26"/>
          <w:szCs w:val="26"/>
        </w:rPr>
      </w:pPr>
      <w:r w:rsidRPr="00833E3F">
        <w:rPr>
          <w:sz w:val="26"/>
          <w:szCs w:val="26"/>
        </w:rPr>
        <w:t>Johan Schweigl</w:t>
      </w:r>
    </w:p>
    <w:p w:rsidR="0047691E" w:rsidRPr="00833E3F" w:rsidRDefault="0047691E" w:rsidP="00D20493">
      <w:pPr>
        <w:pStyle w:val="Fakulta"/>
        <w:spacing w:after="0" w:line="360" w:lineRule="auto"/>
        <w:rPr>
          <w:szCs w:val="26"/>
        </w:rPr>
      </w:pPr>
    </w:p>
    <w:p w:rsidR="008E350E" w:rsidRDefault="00833E3F" w:rsidP="00D20493">
      <w:pPr>
        <w:pStyle w:val="Fakulta"/>
        <w:spacing w:after="0" w:line="360" w:lineRule="auto"/>
        <w:rPr>
          <w:sz w:val="26"/>
          <w:szCs w:val="26"/>
        </w:rPr>
      </w:pPr>
      <w:r w:rsidRPr="00833E3F">
        <w:rPr>
          <w:sz w:val="26"/>
          <w:szCs w:val="26"/>
        </w:rPr>
        <w:t>Masarykova univerzita, Právnická fakulta, Katedra finančního práva a národního hospodářství</w:t>
      </w:r>
    </w:p>
    <w:p w:rsidR="007A5ED7" w:rsidRPr="007A5ED7" w:rsidRDefault="007A5ED7" w:rsidP="00D20493">
      <w:pPr>
        <w:pStyle w:val="Fakulta"/>
        <w:spacing w:after="0" w:line="360" w:lineRule="auto"/>
        <w:rPr>
          <w:sz w:val="16"/>
          <w:szCs w:val="16"/>
        </w:rPr>
      </w:pPr>
      <w:r w:rsidRPr="007A5ED7">
        <w:rPr>
          <w:sz w:val="16"/>
          <w:szCs w:val="16"/>
        </w:rPr>
        <w:t>(tento dokument vychází z článku, který byl publikován ve sborníku „</w:t>
      </w:r>
      <w:proofErr w:type="spellStart"/>
      <w:r w:rsidRPr="007A5ED7">
        <w:rPr>
          <w:sz w:val="16"/>
          <w:szCs w:val="16"/>
        </w:rPr>
        <w:t>Inovatívne</w:t>
      </w:r>
      <w:proofErr w:type="spellEnd"/>
      <w:r w:rsidRPr="007A5ED7">
        <w:rPr>
          <w:sz w:val="16"/>
          <w:szCs w:val="16"/>
        </w:rPr>
        <w:t xml:space="preserve"> formy tvorby </w:t>
      </w:r>
      <w:proofErr w:type="spellStart"/>
      <w:r w:rsidRPr="007A5ED7">
        <w:rPr>
          <w:sz w:val="16"/>
          <w:szCs w:val="16"/>
        </w:rPr>
        <w:t>peňažných</w:t>
      </w:r>
      <w:proofErr w:type="spellEnd"/>
      <w:r w:rsidRPr="007A5ED7">
        <w:rPr>
          <w:sz w:val="16"/>
          <w:szCs w:val="16"/>
        </w:rPr>
        <w:t xml:space="preserve"> </w:t>
      </w:r>
      <w:proofErr w:type="spellStart"/>
      <w:r w:rsidRPr="007A5ED7">
        <w:rPr>
          <w:sz w:val="16"/>
          <w:szCs w:val="16"/>
        </w:rPr>
        <w:t>fondov</w:t>
      </w:r>
      <w:proofErr w:type="spellEnd"/>
      <w:r w:rsidRPr="007A5ED7">
        <w:rPr>
          <w:sz w:val="16"/>
          <w:szCs w:val="16"/>
        </w:rPr>
        <w:t xml:space="preserve"> a </w:t>
      </w:r>
      <w:proofErr w:type="spellStart"/>
      <w:r w:rsidRPr="007A5ED7">
        <w:rPr>
          <w:sz w:val="16"/>
          <w:szCs w:val="16"/>
        </w:rPr>
        <w:t>ich</w:t>
      </w:r>
      <w:proofErr w:type="spellEnd"/>
      <w:r w:rsidRPr="007A5ED7">
        <w:rPr>
          <w:sz w:val="16"/>
          <w:szCs w:val="16"/>
        </w:rPr>
        <w:t xml:space="preserve"> </w:t>
      </w:r>
      <w:proofErr w:type="spellStart"/>
      <w:r w:rsidRPr="007A5ED7">
        <w:rPr>
          <w:sz w:val="16"/>
          <w:szCs w:val="16"/>
        </w:rPr>
        <w:t>prevodov</w:t>
      </w:r>
      <w:proofErr w:type="spellEnd"/>
      <w:r w:rsidRPr="007A5ED7">
        <w:rPr>
          <w:sz w:val="16"/>
          <w:szCs w:val="16"/>
        </w:rPr>
        <w:t xml:space="preserve">“, který byl vydán při příležitosti konference konané na Universitě Komenského v Bratislavě dne 28. 9. 2018) </w:t>
      </w:r>
    </w:p>
    <w:p w:rsidR="007302CD" w:rsidRPr="007A5ED7" w:rsidRDefault="007302CD" w:rsidP="00D20493">
      <w:pPr>
        <w:pStyle w:val="Dalinformace"/>
        <w:spacing w:line="360" w:lineRule="auto"/>
        <w:jc w:val="both"/>
        <w:rPr>
          <w:szCs w:val="20"/>
        </w:rPr>
      </w:pPr>
    </w:p>
    <w:p w:rsidR="007A5ED7" w:rsidRPr="00833E3F" w:rsidRDefault="007A5ED7" w:rsidP="00D20493">
      <w:pPr>
        <w:pStyle w:val="Dalinformace"/>
        <w:spacing w:line="360" w:lineRule="auto"/>
        <w:jc w:val="both"/>
        <w:rPr>
          <w:b w:val="0"/>
          <w:szCs w:val="20"/>
        </w:rPr>
      </w:pPr>
    </w:p>
    <w:p w:rsidR="0047691E" w:rsidRPr="00833E3F" w:rsidRDefault="00492068" w:rsidP="00D20493">
      <w:pPr>
        <w:pStyle w:val="Nadpis1"/>
        <w:spacing w:before="0" w:after="0" w:line="360" w:lineRule="auto"/>
        <w:jc w:val="both"/>
        <w:rPr>
          <w:noProof w:val="0"/>
          <w:szCs w:val="24"/>
          <w:lang w:val="cs-CZ"/>
        </w:rPr>
      </w:pPr>
      <w:r w:rsidRPr="00833E3F">
        <w:rPr>
          <w:noProof w:val="0"/>
          <w:szCs w:val="24"/>
          <w:lang w:val="cs-CZ"/>
        </w:rPr>
        <w:t>Úvod</w:t>
      </w:r>
      <w:r w:rsidR="005A6885">
        <w:rPr>
          <w:noProof w:val="0"/>
          <w:szCs w:val="24"/>
          <w:lang w:val="cs-CZ"/>
        </w:rPr>
        <w:t>em k měnové integraci v evropě</w:t>
      </w:r>
    </w:p>
    <w:p w:rsidR="004A0061" w:rsidRPr="00833E3F" w:rsidRDefault="00830B6A" w:rsidP="00A21E43">
      <w:pPr>
        <w:spacing w:line="360" w:lineRule="auto"/>
        <w:ind w:firstLine="567"/>
        <w:jc w:val="both"/>
      </w:pPr>
      <w:r>
        <w:t>Úvahy o monetární integraci na území Evropy nejsou „objevem“</w:t>
      </w:r>
      <w:r w:rsidR="00347583">
        <w:t xml:space="preserve"> dvacátého století. </w:t>
      </w:r>
      <w:r w:rsidR="00285F66">
        <w:t>V různých podobách a rozsahu integrace existovala j</w:t>
      </w:r>
      <w:r w:rsidR="00347583">
        <w:t xml:space="preserve">iž </w:t>
      </w:r>
      <w:r w:rsidR="00347583" w:rsidRPr="006853FE">
        <w:t xml:space="preserve">v 19. </w:t>
      </w:r>
      <w:r w:rsidR="00BA717E">
        <w:t>s</w:t>
      </w:r>
      <w:r w:rsidR="00347583" w:rsidRPr="006853FE">
        <w:t>toletí</w:t>
      </w:r>
      <w:r w:rsidR="00BA717E">
        <w:t>.</w:t>
      </w:r>
      <w:r w:rsidR="00BA717E">
        <w:rPr>
          <w:rStyle w:val="Znakapoznpodarou"/>
        </w:rPr>
        <w:footnoteReference w:id="1"/>
      </w:r>
      <w:r w:rsidR="00BA717E">
        <w:t xml:space="preserve"> </w:t>
      </w:r>
      <w:r w:rsidR="004A0061">
        <w:t>Určité rysy shodné s měnovou integrací jsou obsaž</w:t>
      </w:r>
      <w:r w:rsidR="004F21E4">
        <w:t>eny i v rámci některých měnových</w:t>
      </w:r>
      <w:r w:rsidR="004A0061">
        <w:t xml:space="preserve"> </w:t>
      </w:r>
      <w:r w:rsidR="004F21E4">
        <w:t xml:space="preserve">(devizových) </w:t>
      </w:r>
      <w:r w:rsidR="004A0061">
        <w:t xml:space="preserve">režimů, </w:t>
      </w:r>
      <w:r w:rsidR="008D16E3">
        <w:t>které vychází z </w:t>
      </w:r>
      <w:r w:rsidR="004F21E4">
        <w:t>fix</w:t>
      </w:r>
      <w:r w:rsidR="008D16E3">
        <w:t>ace měn n</w:t>
      </w:r>
      <w:r w:rsidR="004A0061">
        <w:t xml:space="preserve">a </w:t>
      </w:r>
      <w:r w:rsidR="008D16E3">
        <w:t>stejné aktivum</w:t>
      </w:r>
      <w:r w:rsidR="006B47FC">
        <w:t>.</w:t>
      </w:r>
      <w:r w:rsidR="008D16E3">
        <w:rPr>
          <w:rStyle w:val="Znakapoznpodarou"/>
        </w:rPr>
        <w:footnoteReference w:id="2"/>
      </w:r>
      <w:r w:rsidR="006B47FC">
        <w:t xml:space="preserve"> </w:t>
      </w:r>
    </w:p>
    <w:p w:rsidR="00310583" w:rsidRDefault="00164120" w:rsidP="006B47FC">
      <w:pPr>
        <w:spacing w:line="360" w:lineRule="auto"/>
        <w:ind w:firstLine="567"/>
        <w:jc w:val="both"/>
      </w:pPr>
      <w:r>
        <w:t xml:space="preserve">Komplexnější úvahy o zřízení </w:t>
      </w:r>
      <w:r w:rsidR="006B47FC">
        <w:t>teritoriálně rozsáhlejší</w:t>
      </w:r>
      <w:r w:rsidR="007302CD">
        <w:t>ho</w:t>
      </w:r>
      <w:r w:rsidR="006B47FC">
        <w:t xml:space="preserve"> měnového uspořádání ve formě </w:t>
      </w:r>
      <w:r w:rsidR="007302CD">
        <w:t xml:space="preserve">měnové </w:t>
      </w:r>
      <w:r>
        <w:t xml:space="preserve">unie se objevily až </w:t>
      </w:r>
      <w:r w:rsidR="00E03DCA">
        <w:t>ruku v ruce s ekonomickou integrací v rámci Evropského hospodářského společenst</w:t>
      </w:r>
      <w:r w:rsidR="006B47FC">
        <w:t xml:space="preserve">ví, předchůdce Evropské unie. Ve zprávě </w:t>
      </w:r>
      <w:r w:rsidR="00A74217" w:rsidRPr="006853FE">
        <w:t>Pierra Wernera</w:t>
      </w:r>
      <w:r w:rsidR="00A74217" w:rsidRPr="006853FE">
        <w:rPr>
          <w:rStyle w:val="Znakapoznpodarou"/>
        </w:rPr>
        <w:footnoteReference w:id="3"/>
      </w:r>
      <w:r w:rsidR="00A74217" w:rsidRPr="006853FE">
        <w:t xml:space="preserve"> z roku 1970 </w:t>
      </w:r>
      <w:r w:rsidR="006B47FC">
        <w:t>bylo navrženo</w:t>
      </w:r>
      <w:r w:rsidR="00A74217" w:rsidRPr="006853FE">
        <w:t xml:space="preserve"> vytvoření měnové </w:t>
      </w:r>
      <w:r w:rsidR="00A74217" w:rsidRPr="006853FE">
        <w:lastRenderedPageBreak/>
        <w:t>unie do roku 1980,</w:t>
      </w:r>
      <w:r w:rsidR="00A74217" w:rsidRPr="006853FE">
        <w:rPr>
          <w:rStyle w:val="Znakapoznpodarou"/>
        </w:rPr>
        <w:footnoteReference w:id="4"/>
      </w:r>
      <w:r w:rsidR="00A74217" w:rsidRPr="006853FE">
        <w:t xml:space="preserve"> dále </w:t>
      </w:r>
      <w:r w:rsidR="006B47FC">
        <w:t>je třeba zmínit</w:t>
      </w:r>
      <w:r w:rsidR="00A74217" w:rsidRPr="006853FE">
        <w:t xml:space="preserve"> projekt Evropského měnového systému, resp. Evropského systému směnných kurzů, </w:t>
      </w:r>
      <w:r w:rsidR="00B954D3">
        <w:t>který existoval</w:t>
      </w:r>
      <w:r w:rsidR="00A74217" w:rsidRPr="006853FE">
        <w:t xml:space="preserve"> cca 20 le</w:t>
      </w:r>
      <w:r w:rsidR="006B47FC">
        <w:t>t před samotným zavedením eura. Zavedení jednotné měny – eura – bylo na úrovni primárního práva EHS poprvé oficiálně a komplexně upraveno v tzv. Maastrichtské smlouvě z roku 1992. Euro se zrodilo v roce 1999</w:t>
      </w:r>
      <w:r w:rsidR="00B954D3">
        <w:t>, v podobě bankovek a mincí v roce 2002</w:t>
      </w:r>
      <w:r w:rsidR="006B47FC">
        <w:t xml:space="preserve">. Měnovou politiku provádí pro státy eurozóny ve spolupráci s národními centrálními bankami účastnických států Evropská centrální banka (ECB). </w:t>
      </w:r>
      <w:r w:rsidR="00B954D3">
        <w:t>V současné době je euro používáno v 19 členských státech EU cca 340 milióny obyvatel.</w:t>
      </w:r>
    </w:p>
    <w:p w:rsidR="001A1A8C" w:rsidRDefault="00AF1448" w:rsidP="00A21E43">
      <w:pPr>
        <w:spacing w:line="360" w:lineRule="auto"/>
        <w:ind w:firstLine="567"/>
        <w:jc w:val="both"/>
      </w:pPr>
      <w:r>
        <w:t xml:space="preserve">Euro vzniklo, </w:t>
      </w:r>
      <w:r w:rsidR="007C5152">
        <w:t xml:space="preserve">nicméně </w:t>
      </w:r>
      <w:r>
        <w:t xml:space="preserve">poslední dekáda pro něj nebyla jednoduchá. </w:t>
      </w:r>
      <w:r w:rsidR="006B47FC">
        <w:t xml:space="preserve">Slovy nynějšího guvernéra německé </w:t>
      </w:r>
      <w:r w:rsidR="006B47FC" w:rsidRPr="009D4F03">
        <w:rPr>
          <w:i/>
        </w:rPr>
        <w:t>Bundesbank</w:t>
      </w:r>
      <w:r w:rsidR="006B47FC">
        <w:t>,</w:t>
      </w:r>
      <w:r w:rsidR="002217E7">
        <w:t xml:space="preserve"> </w:t>
      </w:r>
      <w:proofErr w:type="spellStart"/>
      <w:r w:rsidR="002217E7">
        <w:t>Jense</w:t>
      </w:r>
      <w:proofErr w:type="spellEnd"/>
      <w:r w:rsidR="002217E7">
        <w:t xml:space="preserve"> </w:t>
      </w:r>
      <w:proofErr w:type="spellStart"/>
      <w:r w:rsidR="002217E7">
        <w:t>Weidmanna</w:t>
      </w:r>
      <w:proofErr w:type="spellEnd"/>
      <w:r w:rsidR="002217E7">
        <w:t>,</w:t>
      </w:r>
      <w:r w:rsidR="006B47FC">
        <w:t xml:space="preserve"> který je jedním z uvažovaných kandidátů na nového prezidenta ECB,</w:t>
      </w:r>
      <w:r w:rsidR="006B47FC">
        <w:rPr>
          <w:rStyle w:val="Znakapoznpodarou"/>
        </w:rPr>
        <w:footnoteReference w:id="5"/>
      </w:r>
      <w:r w:rsidR="006B47FC">
        <w:t xml:space="preserve"> lze </w:t>
      </w:r>
      <w:r w:rsidR="0085006A">
        <w:t xml:space="preserve">prvních dvacet let existence eura charakterizovat tak, že </w:t>
      </w:r>
      <w:r w:rsidR="00AE7C2E" w:rsidRPr="00AE7C2E">
        <w:rPr>
          <w:i/>
        </w:rPr>
        <w:t>„</w:t>
      </w:r>
      <w:r w:rsidR="009D4F03" w:rsidRPr="00AE7C2E">
        <w:rPr>
          <w:i/>
        </w:rPr>
        <w:t xml:space="preserve">euro </w:t>
      </w:r>
      <w:r w:rsidR="0085006A" w:rsidRPr="00AE7C2E">
        <w:rPr>
          <w:i/>
        </w:rPr>
        <w:t>mělo jednoduché dětství, ale složité dospívání.</w:t>
      </w:r>
      <w:r w:rsidR="00AE7C2E" w:rsidRPr="00AE7C2E">
        <w:rPr>
          <w:i/>
        </w:rPr>
        <w:t>“</w:t>
      </w:r>
      <w:r w:rsidR="0085006A">
        <w:rPr>
          <w:rStyle w:val="Znakapoznpodarou"/>
        </w:rPr>
        <w:footnoteReference w:id="6"/>
      </w:r>
      <w:r w:rsidR="00310583">
        <w:t xml:space="preserve"> První úspěch</w:t>
      </w:r>
      <w:r w:rsidR="00342D03">
        <w:t>y a nadšení byly vystřídány efekty finanční krize více či méně přicházející z druhé strany Atlantického oceánu a související evropské dluhové krize</w:t>
      </w:r>
      <w:r w:rsidR="00E412B2">
        <w:t>.</w:t>
      </w:r>
      <w:r w:rsidR="00342D03">
        <w:t xml:space="preserve"> </w:t>
      </w:r>
      <w:r w:rsidR="00E412B2">
        <w:t>N</w:t>
      </w:r>
      <w:r w:rsidR="00E412B2" w:rsidRPr="006853FE">
        <w:t xml:space="preserve">ěmecká kancléřka Merkelová v roce 2010 </w:t>
      </w:r>
      <w:r w:rsidR="00E412B2">
        <w:t>konstatovala</w:t>
      </w:r>
      <w:r w:rsidR="00E412B2" w:rsidRPr="006853FE">
        <w:t xml:space="preserve">, že </w:t>
      </w:r>
      <w:r w:rsidR="00E412B2" w:rsidRPr="006853FE">
        <w:rPr>
          <w:i/>
        </w:rPr>
        <w:t xml:space="preserve">„krize eura </w:t>
      </w:r>
      <w:proofErr w:type="gramStart"/>
      <w:r w:rsidR="00E412B2" w:rsidRPr="006853FE">
        <w:rPr>
          <w:i/>
        </w:rPr>
        <w:t>je</w:t>
      </w:r>
      <w:r w:rsidR="00E412B2">
        <w:rPr>
          <w:i/>
        </w:rPr>
        <w:t xml:space="preserve"> ... existenciální</w:t>
      </w:r>
      <w:proofErr w:type="gramEnd"/>
      <w:r w:rsidR="00E412B2">
        <w:rPr>
          <w:i/>
        </w:rPr>
        <w:t xml:space="preserve"> výzvou ... a</w:t>
      </w:r>
      <w:r w:rsidR="00E412B2" w:rsidRPr="006853FE">
        <w:rPr>
          <w:i/>
        </w:rPr>
        <w:t xml:space="preserve"> nejtěžší zkouškou, které Evropa čelí od podpisu Římských smluv v roce 1957“</w:t>
      </w:r>
      <w:r w:rsidR="00E412B2" w:rsidRPr="006853FE">
        <w:t>.</w:t>
      </w:r>
      <w:r w:rsidR="00E412B2" w:rsidRPr="006853FE">
        <w:rPr>
          <w:rStyle w:val="Znakapoznpodarou"/>
        </w:rPr>
        <w:footnoteReference w:id="7"/>
      </w:r>
      <w:r w:rsidR="00E412B2">
        <w:t xml:space="preserve"> Krizová situace byla řešena </w:t>
      </w:r>
      <w:r w:rsidR="00342D03">
        <w:t>kroky</w:t>
      </w:r>
      <w:r w:rsidR="00E412B2">
        <w:t xml:space="preserve"> – krizovými opatřeními - k</w:t>
      </w:r>
      <w:r w:rsidR="00342D03">
        <w:t xml:space="preserve"> udržení eura, jakožto společné měny všech </w:t>
      </w:r>
      <w:r>
        <w:t xml:space="preserve">států, které jej dosud přijaly. </w:t>
      </w:r>
      <w:r w:rsidR="00342D03">
        <w:t xml:space="preserve">Tyto kroky lze dělit do několika oblastí, přičemž dvě základní jsou (i) </w:t>
      </w:r>
      <w:r w:rsidR="001A1A8C">
        <w:t xml:space="preserve">kroky spočívající v </w:t>
      </w:r>
      <w:r w:rsidR="00342D03">
        <w:t xml:space="preserve">použití některých nestandardních nástrojů měnové politiky </w:t>
      </w:r>
      <w:r w:rsidR="00342D03">
        <w:lastRenderedPageBreak/>
        <w:t>ECB</w:t>
      </w:r>
      <w:r w:rsidR="00342D03">
        <w:rPr>
          <w:rStyle w:val="Znakapoznpodarou"/>
        </w:rPr>
        <w:footnoteReference w:id="8"/>
      </w:r>
      <w:r w:rsidR="00183E04">
        <w:t xml:space="preserve"> a (</w:t>
      </w:r>
      <w:proofErr w:type="spellStart"/>
      <w:r w:rsidR="00183E04">
        <w:t>ii</w:t>
      </w:r>
      <w:proofErr w:type="spellEnd"/>
      <w:r w:rsidR="00183E04">
        <w:t xml:space="preserve">) </w:t>
      </w:r>
      <w:r w:rsidR="001A1A8C">
        <w:t xml:space="preserve">kroky týkající se </w:t>
      </w:r>
      <w:r w:rsidR="00183E04">
        <w:t>v</w:t>
      </w:r>
      <w:r w:rsidR="00333FDF">
        <w:t xml:space="preserve">ytváření </w:t>
      </w:r>
      <w:r w:rsidR="001A1A8C">
        <w:t xml:space="preserve">a využívání </w:t>
      </w:r>
      <w:r w:rsidR="00333FDF">
        <w:t xml:space="preserve">specializovaných fondů, tzv. záchranných či asistenčních fondů. </w:t>
      </w:r>
    </w:p>
    <w:p w:rsidR="00FE33B4" w:rsidRDefault="00333FDF" w:rsidP="00A21E43">
      <w:pPr>
        <w:spacing w:line="360" w:lineRule="auto"/>
        <w:ind w:firstLine="567"/>
        <w:jc w:val="both"/>
      </w:pPr>
      <w:r>
        <w:t xml:space="preserve">Tento </w:t>
      </w:r>
      <w:r w:rsidR="007A5ED7">
        <w:t>text</w:t>
      </w:r>
      <w:r>
        <w:t xml:space="preserve"> je zaměřen právě na oblast </w:t>
      </w:r>
      <w:r w:rsidR="001A1A8C">
        <w:t>uvedených</w:t>
      </w:r>
      <w:r>
        <w:t xml:space="preserve"> fondů. </w:t>
      </w:r>
      <w:r w:rsidR="00AF1448">
        <w:t xml:space="preserve">Účelem tohoto článku není hodnotit efektivitu těchto kroků ani zkoumat příčiny, které k nim vedly či makroekonomické následky, které mohou přivodit. Tento </w:t>
      </w:r>
      <w:r w:rsidR="007A5ED7">
        <w:t>text</w:t>
      </w:r>
      <w:r w:rsidR="00AF1448">
        <w:t xml:space="preserve"> je zaměřený</w:t>
      </w:r>
      <w:r w:rsidR="001A1A8C">
        <w:t xml:space="preserve"> zejm.</w:t>
      </w:r>
      <w:r w:rsidR="00AF1448">
        <w:t xml:space="preserve"> na </w:t>
      </w:r>
      <w:r w:rsidR="001A1A8C">
        <w:t xml:space="preserve">právní aspekty </w:t>
      </w:r>
      <w:r w:rsidR="00AF1448">
        <w:t>stále se formující a vyvíjející problematik</w:t>
      </w:r>
      <w:r w:rsidR="001A1A8C">
        <w:t>y</w:t>
      </w:r>
      <w:r w:rsidR="00AF1448">
        <w:t xml:space="preserve"> záchranných fondů</w:t>
      </w:r>
      <w:r w:rsidR="001A1A8C">
        <w:t xml:space="preserve">. </w:t>
      </w:r>
    </w:p>
    <w:p w:rsidR="007A5ED7" w:rsidRDefault="007A5ED7" w:rsidP="00A21E43">
      <w:pPr>
        <w:spacing w:line="360" w:lineRule="auto"/>
        <w:ind w:firstLine="567"/>
        <w:jc w:val="both"/>
      </w:pPr>
    </w:p>
    <w:p w:rsidR="00071DDB" w:rsidRPr="00833E3F" w:rsidRDefault="00071DDB" w:rsidP="00A21E43">
      <w:pPr>
        <w:spacing w:line="360" w:lineRule="auto"/>
        <w:ind w:firstLine="567"/>
        <w:jc w:val="both"/>
      </w:pPr>
    </w:p>
    <w:p w:rsidR="0047691E" w:rsidRPr="00833E3F" w:rsidRDefault="005A6885" w:rsidP="00A21E43">
      <w:pPr>
        <w:pStyle w:val="Nadpis1"/>
        <w:spacing w:before="0" w:after="0" w:line="360" w:lineRule="auto"/>
        <w:jc w:val="both"/>
        <w:rPr>
          <w:noProof w:val="0"/>
          <w:szCs w:val="24"/>
          <w:lang w:val="cs-CZ"/>
        </w:rPr>
      </w:pPr>
      <w:r>
        <w:rPr>
          <w:noProof w:val="0"/>
          <w:szCs w:val="24"/>
          <w:lang w:val="cs-CZ"/>
        </w:rPr>
        <w:t>fondy finanční asistence</w:t>
      </w:r>
    </w:p>
    <w:p w:rsidR="00DB5658" w:rsidRDefault="00D90099" w:rsidP="00DB5658">
      <w:pPr>
        <w:spacing w:line="360" w:lineRule="auto"/>
        <w:ind w:firstLine="540"/>
        <w:jc w:val="both"/>
      </w:pPr>
      <w:r>
        <w:t xml:space="preserve">V této části </w:t>
      </w:r>
      <w:r w:rsidR="001A1A8C">
        <w:t xml:space="preserve">jsou představeny </w:t>
      </w:r>
      <w:r>
        <w:t>tři</w:t>
      </w:r>
      <w:r w:rsidR="001A1A8C">
        <w:t xml:space="preserve"> asistenční</w:t>
      </w:r>
      <w:r>
        <w:t xml:space="preserve"> fondy, které vznikly ať již v rámci práva EU či na úrovni mezivl</w:t>
      </w:r>
      <w:r w:rsidR="00DB5658">
        <w:t>ádní (členských států eurozóny). Jejich vymezení bude provedeno ve vztahu k následujícím kritériím: (i) jsou či nejsou zřízeny v rámci právního rámce EU</w:t>
      </w:r>
      <w:r w:rsidR="00776FB2">
        <w:t xml:space="preserve">, </w:t>
      </w:r>
      <w:r w:rsidR="00501F47">
        <w:t>(</w:t>
      </w:r>
      <w:proofErr w:type="spellStart"/>
      <w:r w:rsidR="00501F47">
        <w:t>ii</w:t>
      </w:r>
      <w:proofErr w:type="spellEnd"/>
      <w:r w:rsidR="00501F47">
        <w:t xml:space="preserve">) mají či nemají právní osobnost (subjektivitu), </w:t>
      </w:r>
      <w:r w:rsidR="00DB5658">
        <w:t>(</w:t>
      </w:r>
      <w:proofErr w:type="spellStart"/>
      <w:r w:rsidR="00DB5658">
        <w:t>i</w:t>
      </w:r>
      <w:r w:rsidR="00501F47">
        <w:t>i</w:t>
      </w:r>
      <w:r w:rsidR="00DB5658">
        <w:t>i</w:t>
      </w:r>
      <w:proofErr w:type="spellEnd"/>
      <w:r w:rsidR="00DB5658">
        <w:t>) jsou po</w:t>
      </w:r>
      <w:r w:rsidR="00501F47">
        <w:t>vahy jednorázové či trvalé, (</w:t>
      </w:r>
      <w:proofErr w:type="spellStart"/>
      <w:r w:rsidR="00501F47">
        <w:t>iv</w:t>
      </w:r>
      <w:proofErr w:type="spellEnd"/>
      <w:r w:rsidR="00AE5388">
        <w:t>) pro</w:t>
      </w:r>
      <w:r w:rsidR="00E223BC">
        <w:t>klam</w:t>
      </w:r>
      <w:r w:rsidR="00501F47">
        <w:t xml:space="preserve">ované důvody jejich přijetí a </w:t>
      </w:r>
      <w:r w:rsidR="00AE5388">
        <w:t>legislativně vymezený účel těchto opatření.</w:t>
      </w:r>
      <w:r w:rsidR="00DB5658">
        <w:t xml:space="preserve"> Vedle tohoto hodnocení budou </w:t>
      </w:r>
      <w:r w:rsidR="00AD0B50">
        <w:t xml:space="preserve">jednotlivé fondy </w:t>
      </w:r>
      <w:r w:rsidR="00DB5658">
        <w:t>stručně popsány</w:t>
      </w:r>
      <w:r w:rsidR="00AE5388">
        <w:t>.</w:t>
      </w:r>
    </w:p>
    <w:p w:rsidR="00AE5388" w:rsidRDefault="00AE5388" w:rsidP="00DB5658">
      <w:pPr>
        <w:spacing w:line="360" w:lineRule="auto"/>
        <w:ind w:firstLine="540"/>
        <w:jc w:val="both"/>
      </w:pPr>
      <w:r>
        <w:t>Nad rámec výše uvedeného je však na místě uvést na to, že již před zřízením dále zkoumaných fondů existovaly různé formy finanční pomoci ať již mezi státy EHS již v době před vznikem eura,</w:t>
      </w:r>
      <w:r>
        <w:rPr>
          <w:rStyle w:val="Znakapoznpodarou"/>
        </w:rPr>
        <w:footnoteReference w:id="9"/>
      </w:r>
      <w:r>
        <w:t xml:space="preserve"> tak </w:t>
      </w:r>
      <w:r w:rsidR="003B6268">
        <w:t>na úrovni různých bilaterálních smluv již za existence jednotné měny.</w:t>
      </w:r>
      <w:r w:rsidR="003B6268">
        <w:rPr>
          <w:rStyle w:val="Znakapoznpodarou"/>
        </w:rPr>
        <w:footnoteReference w:id="10"/>
      </w:r>
    </w:p>
    <w:p w:rsidR="0047691E" w:rsidRPr="00833E3F" w:rsidRDefault="0047691E" w:rsidP="00D20493">
      <w:pPr>
        <w:spacing w:line="360" w:lineRule="auto"/>
        <w:jc w:val="both"/>
        <w:rPr>
          <w:szCs w:val="18"/>
        </w:rPr>
      </w:pPr>
    </w:p>
    <w:p w:rsidR="0047691E" w:rsidRPr="00833E3F" w:rsidRDefault="007302CD" w:rsidP="00D20493">
      <w:pPr>
        <w:pStyle w:val="Nadpis2"/>
        <w:spacing w:after="0" w:line="360" w:lineRule="auto"/>
        <w:rPr>
          <w:szCs w:val="24"/>
          <w:lang w:val="cs-CZ"/>
        </w:rPr>
      </w:pPr>
      <w:r>
        <w:rPr>
          <w:szCs w:val="24"/>
          <w:lang w:val="cs-CZ"/>
        </w:rPr>
        <w:t>EFSM a EFSF</w:t>
      </w:r>
    </w:p>
    <w:p w:rsidR="00E223BC" w:rsidRDefault="0075606D" w:rsidP="00222F06">
      <w:pPr>
        <w:spacing w:line="360" w:lineRule="auto"/>
        <w:ind w:firstLine="540"/>
        <w:jc w:val="both"/>
      </w:pPr>
      <w:r>
        <w:t xml:space="preserve">Vznik </w:t>
      </w:r>
      <w:r w:rsidR="00AE5388">
        <w:t>Evropsk</w:t>
      </w:r>
      <w:r>
        <w:t>ého mechanismu</w:t>
      </w:r>
      <w:r w:rsidR="00AE5388">
        <w:t xml:space="preserve"> finanční stabilizace (</w:t>
      </w:r>
      <w:proofErr w:type="spellStart"/>
      <w:r w:rsidR="00AE5388" w:rsidRPr="0049698F">
        <w:rPr>
          <w:i/>
        </w:rPr>
        <w:t>European</w:t>
      </w:r>
      <w:proofErr w:type="spellEnd"/>
      <w:r w:rsidR="00AE5388" w:rsidRPr="0049698F">
        <w:rPr>
          <w:i/>
        </w:rPr>
        <w:t xml:space="preserve"> </w:t>
      </w:r>
      <w:proofErr w:type="spellStart"/>
      <w:r w:rsidR="00AE5388" w:rsidRPr="0049698F">
        <w:rPr>
          <w:i/>
        </w:rPr>
        <w:t>financial</w:t>
      </w:r>
      <w:proofErr w:type="spellEnd"/>
      <w:r w:rsidR="00AE5388" w:rsidRPr="0049698F">
        <w:rPr>
          <w:i/>
        </w:rPr>
        <w:t xml:space="preserve"> </w:t>
      </w:r>
      <w:proofErr w:type="spellStart"/>
      <w:r w:rsidR="00AE5388" w:rsidRPr="0049698F">
        <w:rPr>
          <w:i/>
        </w:rPr>
        <w:t>stabilisat</w:t>
      </w:r>
      <w:r w:rsidRPr="0049698F">
        <w:rPr>
          <w:i/>
        </w:rPr>
        <w:t>ion</w:t>
      </w:r>
      <w:proofErr w:type="spellEnd"/>
      <w:r w:rsidRPr="0049698F">
        <w:rPr>
          <w:i/>
        </w:rPr>
        <w:t xml:space="preserve"> </w:t>
      </w:r>
      <w:proofErr w:type="spellStart"/>
      <w:r w:rsidRPr="0049698F">
        <w:rPr>
          <w:i/>
        </w:rPr>
        <w:t>mechanism</w:t>
      </w:r>
      <w:proofErr w:type="spellEnd"/>
      <w:r>
        <w:t xml:space="preserve">, EFSM) </w:t>
      </w:r>
      <w:r w:rsidR="00776FB2">
        <w:t>byl dojednán v květnu 2010 a do určité míry navazoval na předchozí programy finanční asistence, které čas od času byly v rámci EU (či ES, EHS) prováděny většinou při problémech týkajících se platební bilance. EFSM byl zřízen na základě nařízení rady (EU) č. 407/2010, o zavedení EFSM,</w:t>
      </w:r>
      <w:r w:rsidR="00776FB2">
        <w:rPr>
          <w:rStyle w:val="Znakapoznpodarou"/>
        </w:rPr>
        <w:footnoteReference w:id="11"/>
      </w:r>
      <w:r w:rsidR="00776FB2">
        <w:t xml:space="preserve"> vznikl tak </w:t>
      </w:r>
      <w:r w:rsidR="001A1A8C">
        <w:t>jako součást</w:t>
      </w:r>
      <w:r w:rsidR="00776FB2">
        <w:t xml:space="preserve"> právního rámce EU. Je</w:t>
      </w:r>
      <w:r w:rsidR="001A1A8C">
        <w:t>ho</w:t>
      </w:r>
      <w:r w:rsidR="00776FB2">
        <w:t xml:space="preserve"> ustavení se opíralo o čl. 122 Smlo</w:t>
      </w:r>
      <w:r w:rsidR="00CE49D7">
        <w:t>uvy o fungování Evropské unie (S</w:t>
      </w:r>
      <w:r w:rsidR="00776FB2">
        <w:t xml:space="preserve">FEU), které </w:t>
      </w:r>
      <w:r w:rsidR="00A91F23">
        <w:t>umožňuje p</w:t>
      </w:r>
      <w:r w:rsidR="00A91F23" w:rsidRPr="00A91F23">
        <w:t xml:space="preserve">oskytnout finanční pomoc </w:t>
      </w:r>
      <w:r w:rsidR="00A91F23">
        <w:t>EU</w:t>
      </w:r>
      <w:r w:rsidR="00E223BC">
        <w:t xml:space="preserve"> členskému státu v případě mimořádných událostí</w:t>
      </w:r>
      <w:r w:rsidR="00A91F23">
        <w:t>. Finanční krize a s ní spojený hospodářský útlum byly označeny za klíčové faktory zhoršení podmínek financování některých států eurozóny, což se odráželo i na míře finanční stability EU jako celku.</w:t>
      </w:r>
      <w:r w:rsidR="00922839">
        <w:t xml:space="preserve"> EFSM byl od samého počátku nástrojem, který bude aktivován v rámci společné podpory s Mezinárodním měnovým fondem (MMF).</w:t>
      </w:r>
    </w:p>
    <w:p w:rsidR="006775E7" w:rsidRDefault="00E223BC" w:rsidP="00CE49D7">
      <w:pPr>
        <w:spacing w:line="360" w:lineRule="auto"/>
        <w:ind w:firstLine="540"/>
        <w:jc w:val="both"/>
      </w:pPr>
      <w:r>
        <w:t>Účel EFSM byl formulován v souladu s uvedeným čl. 122 SFEU, nástroj k zachování</w:t>
      </w:r>
      <w:r w:rsidRPr="00E223BC">
        <w:t xml:space="preserve"> finanční stabilit</w:t>
      </w:r>
      <w:r>
        <w:t>y EU</w:t>
      </w:r>
      <w:r w:rsidRPr="00E223BC">
        <w:t xml:space="preserve">, </w:t>
      </w:r>
      <w:r>
        <w:t>jehož</w:t>
      </w:r>
      <w:r w:rsidRPr="00E223BC">
        <w:t xml:space="preserve"> prostřednictvím lze poskytnout finanční pomoc </w:t>
      </w:r>
      <w:r>
        <w:t>EU</w:t>
      </w:r>
      <w:r w:rsidRPr="00E223BC">
        <w:t xml:space="preserve"> členskému státu, který z důvodu mimořádných událostí, které nemůže ovlivnit, čelí vážným hospodářským nebo finančním obtížím nebo je z téhož důvodu takovými obtížemi vážně ohrožen</w:t>
      </w:r>
      <w:r>
        <w:t>. F</w:t>
      </w:r>
      <w:r w:rsidRPr="00E223BC">
        <w:t xml:space="preserve">inanční pomoc </w:t>
      </w:r>
      <w:r>
        <w:t xml:space="preserve">EU </w:t>
      </w:r>
      <w:r w:rsidRPr="00E223BC">
        <w:t xml:space="preserve">má </w:t>
      </w:r>
      <w:r>
        <w:t>být v podobě</w:t>
      </w:r>
      <w:r w:rsidRPr="00E223BC">
        <w:t xml:space="preserve"> půjčky nebo úvěrové linky poskytnuté dotčenému členskému státu</w:t>
      </w:r>
      <w:r>
        <w:t>. Nařízení zmocnilo Komisi EU k tomu, aby sjednávala jménem EU půjčky na kapitálových trzích, jinými slovy, aby emitovala jménem EU dluhopisy, nabízela je na finančních trzích a následně získané zdroje poskytla v rámci finanční asistence.</w:t>
      </w:r>
      <w:r>
        <w:rPr>
          <w:rStyle w:val="Znakapoznpodarou"/>
        </w:rPr>
        <w:footnoteReference w:id="12"/>
      </w:r>
      <w:r w:rsidR="006775E7">
        <w:t xml:space="preserve"> Za závazek vyplývající z vydaných dluhopisů ručil rozpočet EU. Komise EU byla </w:t>
      </w:r>
      <w:r w:rsidR="006775E7">
        <w:lastRenderedPageBreak/>
        <w:t xml:space="preserve">pověřena k tomu, </w:t>
      </w:r>
      <w:r w:rsidR="006C7FAD">
        <w:t xml:space="preserve">aby hodnotila, </w:t>
      </w:r>
      <w:r w:rsidR="006775E7">
        <w:t>zdali příjemce asistence plní podmínky programu, tj. zejm. zdali přijal úsporná opatření. EFSM byl chápán jako dočasný fond</w:t>
      </w:r>
      <w:r w:rsidR="00222F06">
        <w:t>.</w:t>
      </w:r>
      <w:r w:rsidR="00222F06">
        <w:rPr>
          <w:rStyle w:val="Znakapoznpodarou"/>
        </w:rPr>
        <w:footnoteReference w:id="13"/>
      </w:r>
    </w:p>
    <w:p w:rsidR="00CE49D7" w:rsidRDefault="00CE49D7" w:rsidP="00CE49D7">
      <w:pPr>
        <w:spacing w:line="360" w:lineRule="auto"/>
        <w:ind w:firstLine="540"/>
        <w:jc w:val="both"/>
      </w:pPr>
      <w:r>
        <w:t>Evropský nástroj finanční stabilizace (</w:t>
      </w:r>
      <w:proofErr w:type="spellStart"/>
      <w:r w:rsidRPr="0049698F">
        <w:rPr>
          <w:i/>
          <w:szCs w:val="20"/>
        </w:rPr>
        <w:t>European</w:t>
      </w:r>
      <w:proofErr w:type="spellEnd"/>
      <w:r w:rsidRPr="0049698F">
        <w:rPr>
          <w:i/>
          <w:szCs w:val="20"/>
        </w:rPr>
        <w:t xml:space="preserve"> </w:t>
      </w:r>
      <w:proofErr w:type="spellStart"/>
      <w:r w:rsidRPr="0049698F">
        <w:rPr>
          <w:i/>
          <w:szCs w:val="20"/>
        </w:rPr>
        <w:t>Financial</w:t>
      </w:r>
      <w:proofErr w:type="spellEnd"/>
      <w:r w:rsidRPr="0049698F">
        <w:rPr>
          <w:i/>
          <w:szCs w:val="20"/>
        </w:rPr>
        <w:t xml:space="preserve"> Stability </w:t>
      </w:r>
      <w:proofErr w:type="spellStart"/>
      <w:r w:rsidRPr="0049698F">
        <w:rPr>
          <w:i/>
          <w:szCs w:val="20"/>
        </w:rPr>
        <w:t>Facility</w:t>
      </w:r>
      <w:proofErr w:type="spellEnd"/>
      <w:r w:rsidRPr="00CE49D7">
        <w:rPr>
          <w:szCs w:val="20"/>
        </w:rPr>
        <w:t>, EFSF</w:t>
      </w:r>
      <w:r>
        <w:t xml:space="preserve">) byl sice dohodnut zároveň v EFSM v květnu 2010, byl </w:t>
      </w:r>
      <w:r w:rsidR="00A607BA">
        <w:t xml:space="preserve">však </w:t>
      </w:r>
      <w:r>
        <w:t>zřízen mimo právní rámec EU,</w:t>
      </w:r>
      <w:r w:rsidR="00743C7F">
        <w:t xml:space="preserve"> a to</w:t>
      </w:r>
      <w:r>
        <w:t xml:space="preserve"> jako kapitálová společnost (</w:t>
      </w:r>
      <w:proofErr w:type="spellStart"/>
      <w:r w:rsidRPr="00CE49D7">
        <w:rPr>
          <w:i/>
        </w:rPr>
        <w:t>société</w:t>
      </w:r>
      <w:proofErr w:type="spellEnd"/>
      <w:r w:rsidRPr="00CE49D7">
        <w:rPr>
          <w:i/>
        </w:rPr>
        <w:t xml:space="preserve"> anonyme</w:t>
      </w:r>
      <w:r w:rsidR="00FB2BB4">
        <w:t>) se sídlem v Lucembursku. Mezi EFSF a členskými státy eurozóny byla následně uzavřena mezinárodní smlouva</w:t>
      </w:r>
      <w:r w:rsidR="00A607BA">
        <w:t xml:space="preserve"> o podmínkách jeho využití</w:t>
      </w:r>
      <w:r w:rsidR="00FB2BB4">
        <w:t xml:space="preserve">. Účelem EFSF bylo </w:t>
      </w:r>
      <w:r w:rsidR="00743C7F">
        <w:t>opět</w:t>
      </w:r>
      <w:r w:rsidR="00FB2BB4">
        <w:t xml:space="preserve"> zajištění finanční stability EU</w:t>
      </w:r>
      <w:r w:rsidR="006E4769">
        <w:t>, a to opět ve vztahu k závazkům některých států eurozóny, resp. nákladům na jejich refinancování.</w:t>
      </w:r>
      <w:r w:rsidR="00FB2BB4">
        <w:t xml:space="preserve"> </w:t>
      </w:r>
      <w:r w:rsidR="006E4769">
        <w:t>D</w:t>
      </w:r>
      <w:r w:rsidR="00FB2BB4">
        <w:t>ůvody, které k</w:t>
      </w:r>
      <w:r w:rsidR="006E4769">
        <w:t>e</w:t>
      </w:r>
      <w:r w:rsidR="00FB2BB4">
        <w:t xml:space="preserve"> zřízení</w:t>
      </w:r>
      <w:r w:rsidR="006E4769">
        <w:t xml:space="preserve"> tohoto fondu</w:t>
      </w:r>
      <w:r w:rsidR="00FB2BB4">
        <w:t xml:space="preserve"> vedly</w:t>
      </w:r>
      <w:r w:rsidR="00A607BA">
        <w:t>,</w:t>
      </w:r>
      <w:r w:rsidR="00FB2BB4">
        <w:t xml:space="preserve"> byly více méně shodné, jako ty uvedené výše u EFSM. </w:t>
      </w:r>
      <w:r w:rsidR="00A607BA">
        <w:t>Byl to právě EFSF, který měl – ač zřízený jako toliko dočasný fond – hrát hlavní roli při řešení tehdejší makroekonomické situace.</w:t>
      </w:r>
      <w:r w:rsidR="006E4769">
        <w:t xml:space="preserve"> EFSF </w:t>
      </w:r>
      <w:r w:rsidR="00743C7F">
        <w:t>byl</w:t>
      </w:r>
      <w:r w:rsidR="006E4769">
        <w:t xml:space="preserve"> zejména oprávněn poskytnou</w:t>
      </w:r>
      <w:r w:rsidR="00743C7F">
        <w:t>t</w:t>
      </w:r>
      <w:r w:rsidR="006E4769">
        <w:t xml:space="preserve"> finanční asistenci ve formě nákupu státních dluhopisů na sekundárním trhu, resp. za určitých podmínek i na trhu primárním.</w:t>
      </w:r>
    </w:p>
    <w:p w:rsidR="00DB42D2" w:rsidRPr="00833E3F" w:rsidRDefault="006E4769" w:rsidP="00222F06">
      <w:pPr>
        <w:spacing w:line="360" w:lineRule="auto"/>
        <w:ind w:firstLine="540"/>
        <w:jc w:val="both"/>
      </w:pPr>
      <w:r>
        <w:t xml:space="preserve">Zdroje, ze kterých EFSF financuje asistenční programy, získává fond na finančních trzích, kde je oprávněn vydávat vlastní dluhové nástroje. Garance je dána členskými státy, tj. smluvními stranami výše uvedené mezinárodní smlouvy, přičemž tyto účastnící se státy poskytly garance v poměru ke svému podílu na základním kapitálu ECB. Na rozdíl od EFSM </w:t>
      </w:r>
      <w:r w:rsidR="00C77BD0">
        <w:t xml:space="preserve">ve vztahu k </w:t>
      </w:r>
      <w:r>
        <w:t xml:space="preserve">EFSF </w:t>
      </w:r>
      <w:r w:rsidR="00C77BD0">
        <w:t>není dáno</w:t>
      </w:r>
      <w:r>
        <w:t xml:space="preserve"> přímé ručení (rozpočtu) EU. Finanční instrumenty vydané EFSF jsou z pohledu požadavků kapitálové přiměřenosti považovány za bezpečné, tedy </w:t>
      </w:r>
      <w:r w:rsidR="00EF13FB">
        <w:t xml:space="preserve">– zjednodušeně řečeno - </w:t>
      </w:r>
      <w:r>
        <w:t>případní investoři z komerčního bankovního sektoru nemusí tvořit dodatečné kapitálové rezervy při nákupu těchto aktiv</w:t>
      </w:r>
      <w:r w:rsidR="004F21E4">
        <w:t>,</w:t>
      </w:r>
      <w:r w:rsidR="005A3E63">
        <w:rPr>
          <w:rStyle w:val="Znakapoznpodarou"/>
        </w:rPr>
        <w:footnoteReference w:id="14"/>
      </w:r>
      <w:r w:rsidR="004F21E4">
        <w:t xml:space="preserve"> což činí tyto instrumenty </w:t>
      </w:r>
      <w:r w:rsidR="004F21E4">
        <w:lastRenderedPageBreak/>
        <w:t>atraktivní pro tyto institucionální investory.</w:t>
      </w:r>
      <w:r w:rsidR="00495376">
        <w:t xml:space="preserve"> Mimo to jsou instrumenty vydávané EFSF akceptovány ze strany ECB jako přijatelný kolaterál.</w:t>
      </w:r>
      <w:r w:rsidR="00495376">
        <w:rPr>
          <w:rStyle w:val="Znakapoznpodarou"/>
        </w:rPr>
        <w:footnoteReference w:id="15"/>
      </w:r>
    </w:p>
    <w:p w:rsidR="008804E2" w:rsidRPr="00833E3F" w:rsidRDefault="008804E2" w:rsidP="00222F06">
      <w:pPr>
        <w:spacing w:line="360" w:lineRule="auto"/>
        <w:ind w:firstLine="540"/>
        <w:jc w:val="both"/>
        <w:rPr>
          <w:szCs w:val="18"/>
        </w:rPr>
      </w:pPr>
    </w:p>
    <w:p w:rsidR="0047691E" w:rsidRPr="00833E3F" w:rsidRDefault="007302CD" w:rsidP="00D20493">
      <w:pPr>
        <w:pStyle w:val="Nadpis2"/>
        <w:spacing w:after="0" w:line="360" w:lineRule="auto"/>
        <w:rPr>
          <w:szCs w:val="24"/>
          <w:lang w:val="cs-CZ"/>
        </w:rPr>
      </w:pPr>
      <w:r>
        <w:rPr>
          <w:szCs w:val="24"/>
          <w:lang w:val="cs-CZ"/>
        </w:rPr>
        <w:t>ESM</w:t>
      </w:r>
    </w:p>
    <w:p w:rsidR="006D7ADB" w:rsidRDefault="004F21E4" w:rsidP="006D7ADB">
      <w:pPr>
        <w:spacing w:line="360" w:lineRule="auto"/>
        <w:ind w:firstLine="540"/>
        <w:jc w:val="both"/>
      </w:pPr>
      <w:r>
        <w:t>Evropský stabilizační mechanismus (</w:t>
      </w:r>
      <w:proofErr w:type="spellStart"/>
      <w:r w:rsidRPr="004F21E4">
        <w:rPr>
          <w:i/>
        </w:rPr>
        <w:t>European</w:t>
      </w:r>
      <w:proofErr w:type="spellEnd"/>
      <w:r w:rsidRPr="004F21E4">
        <w:rPr>
          <w:i/>
        </w:rPr>
        <w:t xml:space="preserve"> stability </w:t>
      </w:r>
      <w:proofErr w:type="spellStart"/>
      <w:r w:rsidRPr="004F21E4">
        <w:rPr>
          <w:i/>
        </w:rPr>
        <w:t>mechanism</w:t>
      </w:r>
      <w:proofErr w:type="spellEnd"/>
      <w:r>
        <w:t xml:space="preserve">, ESM) byl </w:t>
      </w:r>
      <w:r w:rsidR="00463B21">
        <w:t>deklarován</w:t>
      </w:r>
      <w:r>
        <w:t xml:space="preserve"> jako trval</w:t>
      </w:r>
      <w:r w:rsidR="00463B21">
        <w:t>ý asistenční fond stojící – nicméně – mimo právní rámec EU, tj. byl zřízen na základě mezinárodní dohody. Z pohledu práva je tak povaha vzniku tohoto fondu odlišná od té EFSF. EFSF vznikl jako kapitálová společnost, která uzavřela smlouvu s jednotlivými státy, zatímco ESM vznikl na základě mezinárodní smlouvy, tj. fond jako takový vykazuje některé rysy typické pro mezinárodní organizace.</w:t>
      </w:r>
      <w:r w:rsidR="00463B21">
        <w:rPr>
          <w:rStyle w:val="Znakapoznpodarou"/>
        </w:rPr>
        <w:footnoteReference w:id="16"/>
      </w:r>
      <w:r w:rsidR="00463B21">
        <w:t xml:space="preserve"> Konečná verze smlouvy o zřízení ESM byla podepsána v únoru 2012</w:t>
      </w:r>
      <w:r w:rsidR="00187904">
        <w:t xml:space="preserve">. O záchranném fondu tohoto formátu ovšem bylo uvažováno už dříve. Již </w:t>
      </w:r>
      <w:r w:rsidR="00B67481">
        <w:t xml:space="preserve">v roce 2010 na jednání Evropské rady bylo diskutováno zřízení permanentního </w:t>
      </w:r>
      <w:r w:rsidR="002C61D7">
        <w:t>mechanismu</w:t>
      </w:r>
      <w:r w:rsidR="00B67481">
        <w:t>.</w:t>
      </w:r>
      <w:r w:rsidR="00B67481">
        <w:rPr>
          <w:rStyle w:val="Znakapoznpodarou"/>
        </w:rPr>
        <w:footnoteReference w:id="17"/>
      </w:r>
      <w:r w:rsidR="00B67481">
        <w:t xml:space="preserve"> </w:t>
      </w:r>
      <w:r w:rsidR="00C8701C">
        <w:t xml:space="preserve">Další kroky následovaly v relativně rychlém sledu. </w:t>
      </w:r>
      <w:r w:rsidR="00C8701C" w:rsidRPr="00C8701C">
        <w:t xml:space="preserve">Dne 16. prosince 2010 </w:t>
      </w:r>
      <w:r w:rsidR="00C8701C">
        <w:t>byl</w:t>
      </w:r>
      <w:r w:rsidR="00C8701C" w:rsidRPr="00C8701C">
        <w:t xml:space="preserve"> belgick</w:t>
      </w:r>
      <w:r w:rsidR="00C8701C">
        <w:t>ou</w:t>
      </w:r>
      <w:r w:rsidR="00C8701C" w:rsidRPr="00C8701C">
        <w:t xml:space="preserve"> vlád</w:t>
      </w:r>
      <w:r w:rsidR="00C8701C">
        <w:t>ou podle</w:t>
      </w:r>
      <w:r w:rsidR="00C8701C" w:rsidRPr="00C8701C">
        <w:t xml:space="preserve"> čl. 48 odst. 6 prvním pododstavcem Smlouvy o E</w:t>
      </w:r>
      <w:r w:rsidR="00C8701C">
        <w:t>vropské unii („Smlouva o EU“)</w:t>
      </w:r>
      <w:r w:rsidR="00C8701C" w:rsidRPr="00C8701C">
        <w:t xml:space="preserve"> návrh na změnu článku 136 </w:t>
      </w:r>
      <w:r w:rsidR="00C8701C">
        <w:t xml:space="preserve">SFEU. Změna měla spočívat v </w:t>
      </w:r>
      <w:r w:rsidR="00C8701C" w:rsidRPr="00C8701C">
        <w:t>doplnění odstavce, podle kterého by členské státy, jejichž měnou je euro, mohly zavést mechanismus stability</w:t>
      </w:r>
      <w:r w:rsidR="00C8701C">
        <w:t xml:space="preserve">. Tento mechanismus by měl být </w:t>
      </w:r>
      <w:r w:rsidR="00C8701C" w:rsidRPr="00C8701C">
        <w:t xml:space="preserve">aktivován v </w:t>
      </w:r>
      <w:r w:rsidR="00C8701C">
        <w:t>situaci</w:t>
      </w:r>
      <w:r w:rsidR="00C8701C" w:rsidRPr="00C8701C">
        <w:t>, kdy by to bylo nezbytné k zajištění finanční</w:t>
      </w:r>
      <w:r w:rsidR="00C8701C">
        <w:t xml:space="preserve"> stability eurozóny jako celku. Dne 25. března 2011 přijal</w:t>
      </w:r>
      <w:r w:rsidR="005B5BD3">
        <w:t>a</w:t>
      </w:r>
      <w:r w:rsidR="00C8701C">
        <w:t xml:space="preserve"> </w:t>
      </w:r>
      <w:r w:rsidR="005B5BD3">
        <w:t>Evropská rada rozhodnutí o požadované změně, tj. doplnění</w:t>
      </w:r>
      <w:r w:rsidR="00C8701C">
        <w:t xml:space="preserve"> čl. 136 SFEU.</w:t>
      </w:r>
      <w:r w:rsidR="005B5BD3">
        <w:t xml:space="preserve"> Ten byl doplněn o následující text: </w:t>
      </w:r>
      <w:r w:rsidR="005B5BD3" w:rsidRPr="005B5BD3">
        <w:rPr>
          <w:i/>
        </w:rPr>
        <w:t xml:space="preserve">„Členské státy, jejichž měnou je euro, mohou zavést mechanismus stability, který bude aktivován v případech, kdy to bude nezbytné k zajištění stability eurozóny jako celku. Poskytnutí jakékoli požadované finanční pomoci v </w:t>
      </w:r>
      <w:r w:rsidR="005B5BD3" w:rsidRPr="005B5BD3">
        <w:rPr>
          <w:i/>
        </w:rPr>
        <w:lastRenderedPageBreak/>
        <w:t>rámci tohoto mechanismu bude podléhat přísné podmíněnosti.“</w:t>
      </w:r>
      <w:r w:rsidR="005B5BD3">
        <w:t xml:space="preserve"> Toto nové ustanovení tak sloužilo jako právní rámec pro chystaný ESM.</w:t>
      </w:r>
      <w:r w:rsidR="00C8701C">
        <w:t xml:space="preserve"> </w:t>
      </w:r>
    </w:p>
    <w:p w:rsidR="002C61D7" w:rsidRDefault="002C61D7" w:rsidP="00462E1E">
      <w:pPr>
        <w:pStyle w:val="Normlnweb"/>
        <w:spacing w:before="0" w:beforeAutospacing="0" w:line="360" w:lineRule="auto"/>
        <w:ind w:firstLine="540"/>
        <w:jc w:val="both"/>
      </w:pPr>
      <w:r>
        <w:t>ESM má být</w:t>
      </w:r>
      <w:r w:rsidRPr="002C61D7">
        <w:t xml:space="preserve"> nástroj</w:t>
      </w:r>
      <w:r>
        <w:t>em</w:t>
      </w:r>
      <w:r w:rsidRPr="002C61D7">
        <w:t xml:space="preserve"> k řešení takových situací, kdy je ohrožena finančn</w:t>
      </w:r>
      <w:r>
        <w:t>í stabilita eurozóny jako celku</w:t>
      </w:r>
      <w:r w:rsidRPr="002C61D7">
        <w:t xml:space="preserve"> a </w:t>
      </w:r>
      <w:r>
        <w:t xml:space="preserve">potažmo má pomoci </w:t>
      </w:r>
      <w:r w:rsidRPr="002C61D7">
        <w:t>zachov</w:t>
      </w:r>
      <w:r>
        <w:t>ávat</w:t>
      </w:r>
      <w:r w:rsidRPr="002C61D7">
        <w:t xml:space="preserve"> hospodářskou a finanční stabilitu </w:t>
      </w:r>
      <w:r>
        <w:t>celé EU. U</w:t>
      </w:r>
      <w:r w:rsidRPr="002C61D7">
        <w:t>psaný kapitál</w:t>
      </w:r>
      <w:r>
        <w:t xml:space="preserve"> ESM</w:t>
      </w:r>
      <w:r w:rsidRPr="002C61D7">
        <w:t xml:space="preserve"> </w:t>
      </w:r>
      <w:r>
        <w:t>je</w:t>
      </w:r>
      <w:r w:rsidRPr="002C61D7">
        <w:t xml:space="preserve"> ve výši</w:t>
      </w:r>
      <w:r w:rsidR="009124D6">
        <w:t xml:space="preserve"> cca 705</w:t>
      </w:r>
      <w:r w:rsidRPr="002C61D7">
        <w:t xml:space="preserve"> </w:t>
      </w:r>
      <w:r w:rsidR="009124D6">
        <w:t>miliard</w:t>
      </w:r>
      <w:r w:rsidRPr="002C61D7">
        <w:t xml:space="preserve"> </w:t>
      </w:r>
      <w:r w:rsidR="009124D6">
        <w:t>euro</w:t>
      </w:r>
      <w:r>
        <w:t>, přičemž jeho podílníky („</w:t>
      </w:r>
      <w:r w:rsidRPr="00462E1E">
        <w:rPr>
          <w:i/>
        </w:rPr>
        <w:t>akcionáři</w:t>
      </w:r>
      <w:r>
        <w:t xml:space="preserve">“) jsou členské státy, smluvní strany smlouvy o ESM. Podíl na tomto kapitálu </w:t>
      </w:r>
      <w:r w:rsidRPr="002C61D7">
        <w:t xml:space="preserve">byl </w:t>
      </w:r>
      <w:r>
        <w:t>stanoven v zásadě</w:t>
      </w:r>
      <w:r>
        <w:rPr>
          <w:rStyle w:val="Znakapoznpodarou"/>
        </w:rPr>
        <w:footnoteReference w:id="18"/>
      </w:r>
      <w:r>
        <w:t xml:space="preserve"> </w:t>
      </w:r>
      <w:r w:rsidRPr="002C61D7">
        <w:t>podle klíče pro splacený kapitál ECB</w:t>
      </w:r>
      <w:r>
        <w:t xml:space="preserve">. </w:t>
      </w:r>
      <w:r w:rsidRPr="002C61D7">
        <w:t xml:space="preserve">Splacený kapitál </w:t>
      </w:r>
      <w:r>
        <w:t>byl ve výši</w:t>
      </w:r>
      <w:r w:rsidRPr="002C61D7">
        <w:t xml:space="preserve"> 80</w:t>
      </w:r>
      <w:r w:rsidR="009124D6">
        <w:t>,5</w:t>
      </w:r>
      <w:r w:rsidRPr="002C61D7">
        <w:t xml:space="preserve"> </w:t>
      </w:r>
      <w:r w:rsidR="009124D6">
        <w:t>miliard</w:t>
      </w:r>
      <w:r w:rsidRPr="002C61D7">
        <w:t xml:space="preserve"> </w:t>
      </w:r>
      <w:r>
        <w:t>euro, přičemž ostatní</w:t>
      </w:r>
      <w:r w:rsidR="00C00DAE">
        <w:t xml:space="preserve"> (nesplacený) kapitál může být požadován fondem ESM podle pravidel </w:t>
      </w:r>
      <w:r w:rsidR="003B0B9E">
        <w:t>obsažených ve smlouvě o ESM. Zápůjční kapacita fondu je max. 500 miliard euro. Ohledně pořadí seniority pohledávek je ESM preferovaným věřitelem, ovšem až druhý v pořadí po MMF.</w:t>
      </w:r>
    </w:p>
    <w:p w:rsidR="003B0B9E" w:rsidRDefault="003B0B9E" w:rsidP="00462E1E">
      <w:pPr>
        <w:pStyle w:val="Normlnweb"/>
        <w:spacing w:before="0" w:beforeAutospacing="0" w:line="360" w:lineRule="auto"/>
        <w:ind w:firstLine="540"/>
        <w:jc w:val="both"/>
      </w:pPr>
      <w:r>
        <w:t xml:space="preserve">ESM má k dispozici několik instrumentů, které jsou vymezeny v čl. 14 – 18 smlouvy o ESM. </w:t>
      </w:r>
      <w:r w:rsidR="00B7302E">
        <w:t>Tento fond může zejm. poskytovat preventivní finanční asistenci či přímý úvěr, intervenovat na finančních trzích (např. s cílem pořízení dluhopisů států, jimž má být poskytnuta asistence), podílet se na rekapitalizaci finančních institucí ze signatářských zemí. ESM má právní osobnost, může vstupovat do právních vztahů, nabývat majetek či být účastníkem soudního či obdobného řízení. Na druhou stranu, fond sám, ale i jeho majetek či zdroje, ať se nacház</w:t>
      </w:r>
      <w:r w:rsidR="00462E1E">
        <w:t>ej</w:t>
      </w:r>
      <w:r w:rsidR="00B7302E">
        <w:t>í kdekoli, nemohou být postiženy v rámci soudního řízení</w:t>
      </w:r>
      <w:r w:rsidR="00462E1E">
        <w:t xml:space="preserve"> či </w:t>
      </w:r>
      <w:r w:rsidR="00415D3C">
        <w:t>být předmětem výkonu rozhodnutí či vyvlastnění.</w:t>
      </w:r>
      <w:r w:rsidR="00BE7619">
        <w:rPr>
          <w:rStyle w:val="Znakapoznpodarou"/>
        </w:rPr>
        <w:footnoteReference w:id="19"/>
      </w:r>
      <w:r w:rsidR="00415D3C">
        <w:t xml:space="preserve"> Nicméně, ono „kdekoli“ je, s ohledem na povahu </w:t>
      </w:r>
      <w:r w:rsidR="00415D3C" w:rsidRPr="00415D3C">
        <w:rPr>
          <w:i/>
        </w:rPr>
        <w:t xml:space="preserve">lex </w:t>
      </w:r>
      <w:proofErr w:type="spellStart"/>
      <w:r w:rsidR="00415D3C" w:rsidRPr="00415D3C">
        <w:rPr>
          <w:i/>
        </w:rPr>
        <w:t>contractus</w:t>
      </w:r>
      <w:proofErr w:type="spellEnd"/>
      <w:r w:rsidR="00462E1E">
        <w:rPr>
          <w:i/>
        </w:rPr>
        <w:t>,</w:t>
      </w:r>
      <w:r w:rsidR="00415D3C">
        <w:t xml:space="preserve"> omezeno jen na účastníky smlouvy o ESM. Ačkoli byl tento fond označován na fond trvalé povahy, bylo již před jeho zřízením zřejmé, že v budoucnu bude třeba jej buď integrovat do právního rámce EU či nahradit jej jiným, obdobným fondem zřízeným právem EU, tj</w:t>
      </w:r>
      <w:r w:rsidR="00C8129A">
        <w:t>. pravděpodobně formou nařízení</w:t>
      </w:r>
      <w:r w:rsidR="00415D3C">
        <w:t xml:space="preserve">. </w:t>
      </w:r>
      <w:r w:rsidR="008C0CF9">
        <w:t xml:space="preserve">V současné době (2020) se však zdá být tato myšlenka stále v nedohledu. Úvahy z minulých let o zřízení tzv. Evropského měnového fondu, který by ESM </w:t>
      </w:r>
      <w:r w:rsidR="008C0CF9">
        <w:lastRenderedPageBreak/>
        <w:t>nahradil, se dosud nerealizovali a nyní probíhají diskuze o reformě stávající ESM, nikoli o jejím nahrazení novým fondem zřízeným v rámci práva EU.</w:t>
      </w:r>
    </w:p>
    <w:p w:rsidR="00E0432C" w:rsidRDefault="00E0432C" w:rsidP="00D20493">
      <w:pPr>
        <w:spacing w:line="360" w:lineRule="auto"/>
        <w:jc w:val="both"/>
        <w:rPr>
          <w:b/>
        </w:rPr>
      </w:pPr>
    </w:p>
    <w:p w:rsidR="009829CB" w:rsidRDefault="009829CB" w:rsidP="006163C6">
      <w:pPr>
        <w:spacing w:line="360" w:lineRule="auto"/>
        <w:ind w:firstLine="567"/>
        <w:jc w:val="both"/>
        <w:rPr>
          <w:sz w:val="23"/>
          <w:szCs w:val="23"/>
        </w:rPr>
      </w:pPr>
    </w:p>
    <w:p w:rsidR="00AE60D7" w:rsidRPr="00833E3F" w:rsidRDefault="00AE60D7" w:rsidP="00AE60D7">
      <w:pPr>
        <w:pStyle w:val="Nadpis1"/>
        <w:tabs>
          <w:tab w:val="num" w:pos="567"/>
        </w:tabs>
        <w:spacing w:before="0" w:after="0" w:line="360" w:lineRule="auto"/>
        <w:jc w:val="both"/>
        <w:rPr>
          <w:noProof w:val="0"/>
          <w:szCs w:val="24"/>
          <w:lang w:val="cs-CZ"/>
        </w:rPr>
      </w:pPr>
      <w:r>
        <w:rPr>
          <w:noProof w:val="0"/>
          <w:szCs w:val="24"/>
          <w:lang w:val="cs-CZ"/>
        </w:rPr>
        <w:t>stručné shrnutí komparace</w:t>
      </w:r>
    </w:p>
    <w:p w:rsidR="00C86F5A" w:rsidRDefault="00AE60D7" w:rsidP="006163C6">
      <w:pPr>
        <w:spacing w:line="360" w:lineRule="auto"/>
        <w:ind w:firstLine="567"/>
        <w:jc w:val="both"/>
        <w:rPr>
          <w:sz w:val="23"/>
          <w:szCs w:val="23"/>
        </w:rPr>
      </w:pPr>
      <w:r>
        <w:rPr>
          <w:sz w:val="23"/>
          <w:szCs w:val="23"/>
        </w:rPr>
        <w:t>Na tomto místě je předloženo shrnutí</w:t>
      </w:r>
      <w:r w:rsidR="00C86F5A">
        <w:rPr>
          <w:sz w:val="23"/>
          <w:szCs w:val="23"/>
        </w:rPr>
        <w:t xml:space="preserve"> výše vymezených kritérií</w:t>
      </w:r>
      <w:r>
        <w:rPr>
          <w:sz w:val="23"/>
          <w:szCs w:val="23"/>
        </w:rPr>
        <w:t>, která byla komparována.</w:t>
      </w:r>
      <w:r>
        <w:rPr>
          <w:rStyle w:val="Znakapoznpodarou"/>
          <w:sz w:val="23"/>
          <w:szCs w:val="23"/>
        </w:rPr>
        <w:footnoteReference w:id="20"/>
      </w:r>
    </w:p>
    <w:p w:rsidR="00071DDB" w:rsidRDefault="00071DDB" w:rsidP="006163C6">
      <w:pPr>
        <w:spacing w:line="360" w:lineRule="auto"/>
        <w:ind w:firstLine="567"/>
        <w:jc w:val="both"/>
        <w:rPr>
          <w:sz w:val="23"/>
          <w:szCs w:val="23"/>
        </w:rPr>
      </w:pPr>
    </w:p>
    <w:p w:rsidR="00AE60D7" w:rsidRDefault="00AE60D7" w:rsidP="006163C6">
      <w:pPr>
        <w:spacing w:line="360" w:lineRule="auto"/>
        <w:ind w:firstLine="567"/>
        <w:jc w:val="both"/>
        <w:rPr>
          <w:sz w:val="23"/>
          <w:szCs w:val="23"/>
        </w:rPr>
      </w:pPr>
      <w:r w:rsidRPr="00AE60D7">
        <w:rPr>
          <w:b/>
          <w:sz w:val="23"/>
          <w:szCs w:val="23"/>
        </w:rPr>
        <w:t>Kritérium č</w:t>
      </w:r>
      <w:r w:rsidRPr="004F66E4">
        <w:rPr>
          <w:b/>
          <w:sz w:val="23"/>
          <w:szCs w:val="23"/>
        </w:rPr>
        <w:t>. 1 – Je či není příslušný asistenční fond součást právního rámce EU?</w:t>
      </w:r>
    </w:p>
    <w:p w:rsidR="004F66E4" w:rsidRDefault="007A5ED7" w:rsidP="006163C6">
      <w:pPr>
        <w:spacing w:line="360" w:lineRule="auto"/>
        <w:ind w:firstLine="567"/>
        <w:jc w:val="both"/>
        <w:rPr>
          <w:sz w:val="23"/>
          <w:szCs w:val="23"/>
        </w:rPr>
      </w:pPr>
      <w:r>
        <w:rPr>
          <w:sz w:val="23"/>
          <w:szCs w:val="23"/>
        </w:rPr>
        <w:t>EFSM</w:t>
      </w:r>
      <w:r w:rsidR="00AE60D7">
        <w:rPr>
          <w:sz w:val="23"/>
          <w:szCs w:val="23"/>
        </w:rPr>
        <w:t xml:space="preserve"> </w:t>
      </w:r>
      <w:r>
        <w:rPr>
          <w:sz w:val="23"/>
          <w:szCs w:val="23"/>
        </w:rPr>
        <w:t>je</w:t>
      </w:r>
      <w:r w:rsidR="00AE60D7">
        <w:rPr>
          <w:sz w:val="23"/>
          <w:szCs w:val="23"/>
        </w:rPr>
        <w:t xml:space="preserve"> </w:t>
      </w:r>
      <w:r w:rsidR="004F66E4">
        <w:rPr>
          <w:sz w:val="23"/>
          <w:szCs w:val="23"/>
        </w:rPr>
        <w:t xml:space="preserve">součástí právního rámce EU. </w:t>
      </w:r>
      <w:r>
        <w:rPr>
          <w:sz w:val="23"/>
          <w:szCs w:val="23"/>
        </w:rPr>
        <w:t>Jeho</w:t>
      </w:r>
      <w:r w:rsidR="004F66E4">
        <w:rPr>
          <w:sz w:val="23"/>
          <w:szCs w:val="23"/>
        </w:rPr>
        <w:t xml:space="preserve"> vznik je spojen s právním aktem, nařízením rady. EFSF a ESM nejsou přímou součástí</w:t>
      </w:r>
      <w:r w:rsidR="000308D7">
        <w:rPr>
          <w:sz w:val="23"/>
          <w:szCs w:val="23"/>
        </w:rPr>
        <w:t xml:space="preserve"> práva EU. EFSF vznikla jako kapitálová společnost, asistenční mechanismus EFSF byl ustanoven na základě smlouvy mezi EFSF a účastnícími se státy. ESM vznikl na základě mezivládní smlouvy.</w:t>
      </w:r>
    </w:p>
    <w:p w:rsidR="004F66E4" w:rsidRDefault="004F66E4" w:rsidP="006163C6">
      <w:pPr>
        <w:spacing w:line="360" w:lineRule="auto"/>
        <w:ind w:firstLine="567"/>
        <w:jc w:val="both"/>
        <w:rPr>
          <w:sz w:val="23"/>
          <w:szCs w:val="23"/>
        </w:rPr>
      </w:pPr>
    </w:p>
    <w:p w:rsidR="004F66E4" w:rsidRPr="004F66E4" w:rsidRDefault="004F66E4" w:rsidP="006163C6">
      <w:pPr>
        <w:spacing w:line="360" w:lineRule="auto"/>
        <w:ind w:firstLine="567"/>
        <w:jc w:val="both"/>
        <w:rPr>
          <w:b/>
          <w:sz w:val="23"/>
          <w:szCs w:val="23"/>
        </w:rPr>
      </w:pPr>
      <w:r w:rsidRPr="004F66E4">
        <w:rPr>
          <w:b/>
          <w:sz w:val="23"/>
          <w:szCs w:val="23"/>
        </w:rPr>
        <w:t>Kritérium č. 2 – Je dána právní osobnost (subjektivita) asistenčního fondu?</w:t>
      </w:r>
    </w:p>
    <w:p w:rsidR="004C7C05" w:rsidRDefault="004F66E4" w:rsidP="006163C6">
      <w:pPr>
        <w:spacing w:line="360" w:lineRule="auto"/>
        <w:ind w:firstLine="567"/>
        <w:jc w:val="both"/>
        <w:rPr>
          <w:sz w:val="23"/>
          <w:szCs w:val="23"/>
        </w:rPr>
      </w:pPr>
      <w:r>
        <w:rPr>
          <w:sz w:val="23"/>
          <w:szCs w:val="23"/>
        </w:rPr>
        <w:t>EFSM byl zřízen toliko jako speciální mechanismus. EFSF byl zřízen ve formě kapitálové společnosti, která uzavřela smlouvu s jednotlivými státy, tedy EFSF</w:t>
      </w:r>
      <w:r w:rsidR="00E40B97">
        <w:rPr>
          <w:sz w:val="23"/>
          <w:szCs w:val="23"/>
        </w:rPr>
        <w:t xml:space="preserve"> (jako kapitálová společnost)</w:t>
      </w:r>
      <w:r>
        <w:rPr>
          <w:sz w:val="23"/>
          <w:szCs w:val="23"/>
        </w:rPr>
        <w:t xml:space="preserve"> má právní osobnost. ESM má právní osobnost, lze jej chápat jako subjekt mezinárodního</w:t>
      </w:r>
      <w:r>
        <w:rPr>
          <w:rStyle w:val="Znakapoznpodarou"/>
          <w:sz w:val="23"/>
          <w:szCs w:val="23"/>
        </w:rPr>
        <w:footnoteReference w:id="21"/>
      </w:r>
      <w:r>
        <w:rPr>
          <w:sz w:val="23"/>
          <w:szCs w:val="23"/>
        </w:rPr>
        <w:t xml:space="preserve"> práva. </w:t>
      </w:r>
    </w:p>
    <w:p w:rsidR="007A5ED7" w:rsidRDefault="007A5ED7" w:rsidP="006163C6">
      <w:pPr>
        <w:spacing w:line="360" w:lineRule="auto"/>
        <w:ind w:firstLine="567"/>
        <w:jc w:val="both"/>
        <w:rPr>
          <w:sz w:val="23"/>
          <w:szCs w:val="23"/>
        </w:rPr>
      </w:pPr>
    </w:p>
    <w:p w:rsidR="004C7C05" w:rsidRPr="004C7C05" w:rsidRDefault="004C7C05" w:rsidP="006163C6">
      <w:pPr>
        <w:spacing w:line="360" w:lineRule="auto"/>
        <w:ind w:firstLine="567"/>
        <w:jc w:val="both"/>
        <w:rPr>
          <w:b/>
          <w:sz w:val="23"/>
          <w:szCs w:val="23"/>
        </w:rPr>
      </w:pPr>
      <w:r w:rsidRPr="004C7C05">
        <w:rPr>
          <w:b/>
          <w:sz w:val="23"/>
          <w:szCs w:val="23"/>
        </w:rPr>
        <w:t>Kritérium č. 3 – Jedná se o dočasný asistenční fond či trvalý?</w:t>
      </w:r>
    </w:p>
    <w:p w:rsidR="004C7C05" w:rsidRDefault="004C7C05" w:rsidP="006163C6">
      <w:pPr>
        <w:spacing w:line="360" w:lineRule="auto"/>
        <w:ind w:firstLine="567"/>
        <w:jc w:val="both"/>
        <w:rPr>
          <w:sz w:val="23"/>
          <w:szCs w:val="23"/>
        </w:rPr>
      </w:pPr>
      <w:r>
        <w:rPr>
          <w:sz w:val="23"/>
          <w:szCs w:val="23"/>
        </w:rPr>
        <w:t xml:space="preserve">EFSM a EFSF byly od počátku </w:t>
      </w:r>
      <w:r w:rsidR="002E6C1A">
        <w:rPr>
          <w:sz w:val="23"/>
          <w:szCs w:val="23"/>
        </w:rPr>
        <w:t>zřízeny jako fondy dočasné povahy. ESM byl sice označen za asistenční fond trvalý (</w:t>
      </w:r>
      <w:r w:rsidR="002E6C1A" w:rsidRPr="002E6C1A">
        <w:rPr>
          <w:i/>
          <w:sz w:val="23"/>
          <w:szCs w:val="23"/>
        </w:rPr>
        <w:t>permanent</w:t>
      </w:r>
      <w:r w:rsidR="002E6C1A">
        <w:rPr>
          <w:sz w:val="23"/>
          <w:szCs w:val="23"/>
        </w:rPr>
        <w:t xml:space="preserve">), ovšem na tomto místě je třeba poukázat na to, že již před jeho zřízením bylo uvažováno o vytvoření obdobného </w:t>
      </w:r>
      <w:r w:rsidR="002E6C1A">
        <w:rPr>
          <w:sz w:val="23"/>
          <w:szCs w:val="23"/>
        </w:rPr>
        <w:lastRenderedPageBreak/>
        <w:t xml:space="preserve">fondu v rámci </w:t>
      </w:r>
      <w:r w:rsidR="00315563">
        <w:rPr>
          <w:sz w:val="23"/>
          <w:szCs w:val="23"/>
        </w:rPr>
        <w:t>práva EU</w:t>
      </w:r>
      <w:r w:rsidR="00636C87">
        <w:rPr>
          <w:sz w:val="23"/>
          <w:szCs w:val="23"/>
        </w:rPr>
        <w:t>, zejm. v roce 2010</w:t>
      </w:r>
      <w:r w:rsidR="00E40B97">
        <w:rPr>
          <w:sz w:val="23"/>
          <w:szCs w:val="23"/>
        </w:rPr>
        <w:t>,</w:t>
      </w:r>
      <w:r w:rsidR="00315563">
        <w:rPr>
          <w:rStyle w:val="Znakapoznpodarou"/>
          <w:sz w:val="23"/>
          <w:szCs w:val="23"/>
        </w:rPr>
        <w:footnoteReference w:id="22"/>
      </w:r>
      <w:r w:rsidR="00E40B97">
        <w:rPr>
          <w:sz w:val="23"/>
          <w:szCs w:val="23"/>
        </w:rPr>
        <w:t xml:space="preserve"> tedy o jeho transformaci v asistenční fond práva EU bylo uvažováno ještě před jeho vznikem.</w:t>
      </w:r>
      <w:r w:rsidR="00636C87">
        <w:rPr>
          <w:sz w:val="23"/>
          <w:szCs w:val="23"/>
        </w:rPr>
        <w:t xml:space="preserve"> </w:t>
      </w:r>
    </w:p>
    <w:p w:rsidR="007A5ED7" w:rsidRDefault="007A5ED7" w:rsidP="006163C6">
      <w:pPr>
        <w:spacing w:line="360" w:lineRule="auto"/>
        <w:ind w:firstLine="567"/>
        <w:jc w:val="both"/>
        <w:rPr>
          <w:sz w:val="23"/>
          <w:szCs w:val="23"/>
        </w:rPr>
      </w:pPr>
    </w:p>
    <w:p w:rsidR="004C7C05" w:rsidRPr="00636C87" w:rsidRDefault="004C7C05" w:rsidP="006163C6">
      <w:pPr>
        <w:spacing w:line="360" w:lineRule="auto"/>
        <w:ind w:firstLine="567"/>
        <w:jc w:val="both"/>
        <w:rPr>
          <w:b/>
          <w:sz w:val="23"/>
          <w:szCs w:val="23"/>
        </w:rPr>
      </w:pPr>
      <w:r w:rsidRPr="00636C87">
        <w:rPr>
          <w:b/>
          <w:sz w:val="23"/>
          <w:szCs w:val="23"/>
        </w:rPr>
        <w:t xml:space="preserve">Kritérium č. 4 – Jaké byly </w:t>
      </w:r>
      <w:r w:rsidR="00636C87" w:rsidRPr="00636C87">
        <w:rPr>
          <w:b/>
          <w:sz w:val="23"/>
          <w:szCs w:val="23"/>
        </w:rPr>
        <w:t>důvody ke vzniku jednotlivých asistenčních fondů?</w:t>
      </w:r>
      <w:r w:rsidR="00A0733F">
        <w:rPr>
          <w:b/>
          <w:sz w:val="23"/>
          <w:szCs w:val="23"/>
        </w:rPr>
        <w:t xml:space="preserve"> A jaký je jejich účel?</w:t>
      </w:r>
    </w:p>
    <w:p w:rsidR="004C7C05" w:rsidRDefault="00636C87" w:rsidP="00636C87">
      <w:pPr>
        <w:spacing w:line="360" w:lineRule="auto"/>
        <w:ind w:firstLine="567"/>
        <w:jc w:val="both"/>
        <w:rPr>
          <w:sz w:val="23"/>
          <w:szCs w:val="23"/>
        </w:rPr>
      </w:pPr>
      <w:r>
        <w:rPr>
          <w:sz w:val="23"/>
          <w:szCs w:val="23"/>
        </w:rPr>
        <w:t xml:space="preserve">V obecné rovině lze konstatovat, že všechny hodnocené asistenční fondy byly vytvořeny v reakci na finanční krizi z let 2008-9 v USA a její dopady v EU, tj. zejm. v podobě „dluhové“ krize. V nařízení o zřízení EFSM byl důvod vymezen </w:t>
      </w:r>
      <w:r w:rsidR="00A0733F">
        <w:rPr>
          <w:sz w:val="23"/>
          <w:szCs w:val="23"/>
        </w:rPr>
        <w:t>tak, že v</w:t>
      </w:r>
      <w:r w:rsidRPr="00636C87">
        <w:rPr>
          <w:sz w:val="23"/>
          <w:szCs w:val="23"/>
        </w:rPr>
        <w:t xml:space="preserve"> důsledku prohloubení finanční krize došlo u několika členských států k tomu, že se podmínky pro získávání půjček výrazně zhoršily, a to ve větší míře, než lze přičítat vývoji základních ekonomických veličin. Pokud by nyní stávající situace nebyla urychleně vyřešena, mohla by vážně ohrozit finanční stabilitu Evropské unie jako celku.</w:t>
      </w:r>
      <w:r w:rsidR="00A0733F">
        <w:rPr>
          <w:sz w:val="23"/>
          <w:szCs w:val="23"/>
        </w:rPr>
        <w:t xml:space="preserve"> Obdobně byl důvod vymezen i ve smlouvě o EFSF a ESM. </w:t>
      </w:r>
      <w:r w:rsidR="00AD0B50">
        <w:rPr>
          <w:sz w:val="23"/>
          <w:szCs w:val="23"/>
        </w:rPr>
        <w:t xml:space="preserve">Z důvodu pro jejich vytvoření plyne i jejich účel, který lze obecně shrnout jako opatření k zajištění finanční stability eurozóny, resp. celé EU. </w:t>
      </w:r>
    </w:p>
    <w:p w:rsidR="004C7C05" w:rsidRDefault="004C7C05" w:rsidP="006163C6">
      <w:pPr>
        <w:spacing w:line="360" w:lineRule="auto"/>
        <w:ind w:firstLine="567"/>
        <w:jc w:val="both"/>
        <w:rPr>
          <w:sz w:val="23"/>
          <w:szCs w:val="23"/>
        </w:rPr>
      </w:pPr>
    </w:p>
    <w:p w:rsidR="00F870F1" w:rsidRPr="00AD0B50" w:rsidRDefault="00F870F1" w:rsidP="00AD0B50">
      <w:pPr>
        <w:spacing w:line="360" w:lineRule="auto"/>
        <w:ind w:firstLine="567"/>
        <w:jc w:val="both"/>
      </w:pPr>
    </w:p>
    <w:p w:rsidR="003E1D0E" w:rsidRPr="00833E3F" w:rsidRDefault="007A5ED7" w:rsidP="00D20493">
      <w:pPr>
        <w:spacing w:line="360" w:lineRule="auto"/>
        <w:jc w:val="both"/>
        <w:rPr>
          <w:b/>
        </w:rPr>
      </w:pPr>
      <w:r>
        <w:rPr>
          <w:b/>
        </w:rPr>
        <w:t>Literatura</w:t>
      </w:r>
      <w:r w:rsidR="003E1D0E" w:rsidRPr="00833E3F">
        <w:rPr>
          <w:b/>
        </w:rPr>
        <w:t>:</w:t>
      </w:r>
    </w:p>
    <w:p w:rsidR="00FC19C6" w:rsidRPr="00071DDB" w:rsidRDefault="00FC19C6" w:rsidP="00FC19C6">
      <w:pPr>
        <w:pStyle w:val="Textpoznpodarou"/>
        <w:spacing w:line="360" w:lineRule="auto"/>
        <w:jc w:val="both"/>
      </w:pPr>
      <w:r w:rsidRPr="00071DDB">
        <w:t xml:space="preserve">A Report to </w:t>
      </w:r>
      <w:proofErr w:type="spellStart"/>
      <w:r w:rsidRPr="00071DDB">
        <w:t>the</w:t>
      </w:r>
      <w:proofErr w:type="spellEnd"/>
      <w:r w:rsidRPr="00071DDB">
        <w:t xml:space="preserve"> </w:t>
      </w:r>
      <w:proofErr w:type="spellStart"/>
      <w:r w:rsidRPr="00071DDB">
        <w:t>Council</w:t>
      </w:r>
      <w:proofErr w:type="spellEnd"/>
      <w:r w:rsidRPr="00071DDB">
        <w:t xml:space="preserve"> and </w:t>
      </w:r>
      <w:proofErr w:type="spellStart"/>
      <w:r w:rsidRPr="00071DDB">
        <w:t>the</w:t>
      </w:r>
      <w:proofErr w:type="spellEnd"/>
      <w:r w:rsidRPr="00071DDB">
        <w:t xml:space="preserve"> </w:t>
      </w:r>
      <w:proofErr w:type="spellStart"/>
      <w:r w:rsidRPr="00071DDB">
        <w:t>Commission</w:t>
      </w:r>
      <w:proofErr w:type="spellEnd"/>
      <w:r w:rsidRPr="00071DDB">
        <w:t xml:space="preserve"> on </w:t>
      </w:r>
      <w:proofErr w:type="spellStart"/>
      <w:r w:rsidRPr="00071DDB">
        <w:t>the</w:t>
      </w:r>
      <w:proofErr w:type="spellEnd"/>
      <w:r w:rsidRPr="00071DDB">
        <w:t xml:space="preserve"> </w:t>
      </w:r>
      <w:proofErr w:type="spellStart"/>
      <w:r w:rsidRPr="00071DDB">
        <w:t>Realisation</w:t>
      </w:r>
      <w:proofErr w:type="spellEnd"/>
      <w:r w:rsidRPr="00071DDB">
        <w:t xml:space="preserve"> by </w:t>
      </w:r>
      <w:proofErr w:type="spellStart"/>
      <w:r w:rsidRPr="00071DDB">
        <w:t>Stages</w:t>
      </w:r>
      <w:proofErr w:type="spellEnd"/>
      <w:r w:rsidRPr="00071DDB">
        <w:t xml:space="preserve"> </w:t>
      </w:r>
      <w:proofErr w:type="spellStart"/>
      <w:r w:rsidRPr="00071DDB">
        <w:t>of</w:t>
      </w:r>
      <w:proofErr w:type="spellEnd"/>
      <w:r w:rsidRPr="00071DDB">
        <w:t xml:space="preserve"> </w:t>
      </w:r>
      <w:proofErr w:type="spellStart"/>
      <w:r w:rsidRPr="00071DDB">
        <w:t>Economic</w:t>
      </w:r>
      <w:proofErr w:type="spellEnd"/>
      <w:r w:rsidRPr="00071DDB">
        <w:t xml:space="preserve"> and </w:t>
      </w:r>
      <w:proofErr w:type="spellStart"/>
      <w:r w:rsidRPr="00071DDB">
        <w:t>Monetary</w:t>
      </w:r>
      <w:proofErr w:type="spellEnd"/>
      <w:r w:rsidRPr="00071DDB">
        <w:t xml:space="preserve"> Union in </w:t>
      </w:r>
      <w:proofErr w:type="spellStart"/>
      <w:r w:rsidRPr="00071DDB">
        <w:t>the</w:t>
      </w:r>
      <w:proofErr w:type="spellEnd"/>
      <w:r w:rsidRPr="00071DDB">
        <w:t xml:space="preserve"> </w:t>
      </w:r>
      <w:proofErr w:type="spellStart"/>
      <w:r w:rsidRPr="00071DDB">
        <w:t>Community</w:t>
      </w:r>
      <w:proofErr w:type="spellEnd"/>
      <w:r w:rsidRPr="00071DDB">
        <w:t>. Dostupný zde: http://aei.pitt.edu/1002/1/monetary_werner_final.pdf.</w:t>
      </w:r>
    </w:p>
    <w:p w:rsidR="00AB5C5F" w:rsidRPr="00071DDB" w:rsidRDefault="00AB5C5F" w:rsidP="00FC19C6">
      <w:pPr>
        <w:pStyle w:val="Textpoznpodarou"/>
        <w:spacing w:line="360" w:lineRule="auto"/>
        <w:jc w:val="both"/>
      </w:pPr>
    </w:p>
    <w:p w:rsidR="00387DA6" w:rsidRPr="00071DDB" w:rsidRDefault="00387DA6" w:rsidP="00FC19C6">
      <w:pPr>
        <w:pStyle w:val="Textpoznpodarou"/>
        <w:spacing w:line="360" w:lineRule="auto"/>
        <w:jc w:val="both"/>
      </w:pPr>
      <w:r w:rsidRPr="00071DDB">
        <w:t xml:space="preserve">BIS. </w:t>
      </w:r>
      <w:r w:rsidRPr="00071DDB">
        <w:rPr>
          <w:i/>
        </w:rPr>
        <w:t xml:space="preserve">Risk </w:t>
      </w:r>
      <w:proofErr w:type="spellStart"/>
      <w:r w:rsidRPr="00071DDB">
        <w:rPr>
          <w:i/>
        </w:rPr>
        <w:t>Weight</w:t>
      </w:r>
      <w:proofErr w:type="spellEnd"/>
      <w:r w:rsidRPr="00071DDB">
        <w:rPr>
          <w:i/>
        </w:rPr>
        <w:t xml:space="preserve"> </w:t>
      </w:r>
      <w:proofErr w:type="spellStart"/>
      <w:r w:rsidRPr="00071DDB">
        <w:rPr>
          <w:i/>
        </w:rPr>
        <w:t>for</w:t>
      </w:r>
      <w:proofErr w:type="spellEnd"/>
      <w:r w:rsidRPr="00071DDB">
        <w:rPr>
          <w:i/>
        </w:rPr>
        <w:t xml:space="preserve"> </w:t>
      </w:r>
      <w:proofErr w:type="spellStart"/>
      <w:r w:rsidRPr="00071DDB">
        <w:rPr>
          <w:i/>
        </w:rPr>
        <w:t>the</w:t>
      </w:r>
      <w:proofErr w:type="spellEnd"/>
      <w:r w:rsidRPr="00071DDB">
        <w:rPr>
          <w:i/>
        </w:rPr>
        <w:t xml:space="preserve"> ESM and EFSF</w:t>
      </w:r>
      <w:r w:rsidRPr="00071DDB">
        <w:t xml:space="preserve">. In: Bank </w:t>
      </w:r>
      <w:proofErr w:type="spellStart"/>
      <w:r w:rsidRPr="00071DDB">
        <w:t>for</w:t>
      </w:r>
      <w:proofErr w:type="spellEnd"/>
      <w:r w:rsidRPr="00071DDB">
        <w:t xml:space="preserve"> International </w:t>
      </w:r>
      <w:proofErr w:type="spellStart"/>
      <w:r w:rsidRPr="00071DDB">
        <w:t>Settlements</w:t>
      </w:r>
      <w:proofErr w:type="spellEnd"/>
      <w:r w:rsidRPr="00071DDB">
        <w:t xml:space="preserve"> web. </w:t>
      </w:r>
      <w:proofErr w:type="spellStart"/>
      <w:r w:rsidRPr="00071DDB">
        <w:t>Posl</w:t>
      </w:r>
      <w:proofErr w:type="spellEnd"/>
      <w:r w:rsidRPr="00071DDB">
        <w:t xml:space="preserve">. </w:t>
      </w:r>
      <w:proofErr w:type="spellStart"/>
      <w:r w:rsidRPr="00071DDB">
        <w:t>úpr</w:t>
      </w:r>
      <w:proofErr w:type="spellEnd"/>
      <w:r w:rsidRPr="00071DDB">
        <w:t>. 18. 3. 2014.</w:t>
      </w:r>
    </w:p>
    <w:p w:rsidR="00387DA6" w:rsidRPr="00071DDB" w:rsidRDefault="00387DA6" w:rsidP="00FC19C6">
      <w:pPr>
        <w:pStyle w:val="Textpoznpodarou"/>
        <w:spacing w:line="360" w:lineRule="auto"/>
        <w:jc w:val="both"/>
      </w:pPr>
      <w:r w:rsidRPr="00071DDB">
        <w:t>Dostupné zde: https://</w:t>
      </w:r>
      <w:proofErr w:type="gramStart"/>
      <w:r w:rsidRPr="00071DDB">
        <w:t>www</w:t>
      </w:r>
      <w:proofErr w:type="gramEnd"/>
      <w:r w:rsidRPr="00071DDB">
        <w:t>.</w:t>
      </w:r>
      <w:proofErr w:type="gramStart"/>
      <w:r w:rsidRPr="00071DDB">
        <w:t>bis</w:t>
      </w:r>
      <w:proofErr w:type="gramEnd"/>
      <w:r w:rsidRPr="00071DDB">
        <w:t>.org/publ/bcbs_nl17.htm</w:t>
      </w:r>
    </w:p>
    <w:p w:rsidR="00387DA6" w:rsidRPr="00071DDB" w:rsidRDefault="00387DA6" w:rsidP="00FC19C6">
      <w:pPr>
        <w:pStyle w:val="Textpoznpodarou"/>
        <w:spacing w:line="360" w:lineRule="auto"/>
        <w:jc w:val="both"/>
      </w:pPr>
    </w:p>
    <w:p w:rsidR="00AB5C5F" w:rsidRPr="00071DDB" w:rsidRDefault="00AB5C5F" w:rsidP="00FC19C6">
      <w:pPr>
        <w:pStyle w:val="Textpoznpodarou"/>
        <w:spacing w:line="360" w:lineRule="auto"/>
        <w:jc w:val="both"/>
      </w:pPr>
      <w:r w:rsidRPr="00071DDB">
        <w:t xml:space="preserve">DĚDEK, O. </w:t>
      </w:r>
      <w:r w:rsidRPr="00071DDB">
        <w:rPr>
          <w:i/>
        </w:rPr>
        <w:t>Záchranné mechanismy</w:t>
      </w:r>
      <w:r w:rsidRPr="00071DDB">
        <w:t xml:space="preserve">. In: Web MFČR, </w:t>
      </w:r>
      <w:proofErr w:type="spellStart"/>
      <w:r w:rsidRPr="00071DDB">
        <w:t>posl</w:t>
      </w:r>
      <w:proofErr w:type="spellEnd"/>
      <w:r w:rsidRPr="00071DDB">
        <w:t xml:space="preserve">. </w:t>
      </w:r>
      <w:proofErr w:type="spellStart"/>
      <w:r w:rsidRPr="00071DDB">
        <w:t>zm</w:t>
      </w:r>
      <w:proofErr w:type="spellEnd"/>
      <w:r w:rsidRPr="00071DDB">
        <w:t>. 21. 10. 2015. Dostupné zde: https://www.zavedenieura.cz/cs/euro/eurozona/zachranne-mechanismy.</w:t>
      </w:r>
    </w:p>
    <w:p w:rsidR="00AB5C5F" w:rsidRPr="00071DDB" w:rsidRDefault="00AB5C5F" w:rsidP="00FC19C6">
      <w:pPr>
        <w:pStyle w:val="Textpoznpodarou"/>
        <w:spacing w:line="360" w:lineRule="auto"/>
        <w:jc w:val="both"/>
      </w:pPr>
    </w:p>
    <w:p w:rsidR="00387DA6" w:rsidRPr="00071DDB" w:rsidRDefault="00387DA6" w:rsidP="00FC19C6">
      <w:pPr>
        <w:pStyle w:val="Textpoznpodarou"/>
        <w:spacing w:line="360" w:lineRule="auto"/>
        <w:jc w:val="both"/>
      </w:pPr>
      <w:r w:rsidRPr="00071DDB">
        <w:t xml:space="preserve">ECB. </w:t>
      </w:r>
      <w:r w:rsidRPr="00071DDB">
        <w:rPr>
          <w:i/>
        </w:rPr>
        <w:t>Přehled akceptovatelných kolaterálů</w:t>
      </w:r>
      <w:r w:rsidRPr="00071DDB">
        <w:t>. ECB web, 2018.</w:t>
      </w:r>
    </w:p>
    <w:p w:rsidR="00387DA6" w:rsidRPr="00071DDB" w:rsidRDefault="00387DA6" w:rsidP="00FC19C6">
      <w:pPr>
        <w:pStyle w:val="Textpoznpodarou"/>
        <w:spacing w:line="360" w:lineRule="auto"/>
        <w:jc w:val="both"/>
      </w:pPr>
      <w:r w:rsidRPr="00071DDB">
        <w:t>Dostupné zde: https://www.ecb.europa.eu/paym/coll/assets/html/index.</w:t>
      </w:r>
      <w:proofErr w:type="gramStart"/>
      <w:r w:rsidRPr="00071DDB">
        <w:t>en</w:t>
      </w:r>
      <w:proofErr w:type="gramEnd"/>
      <w:r w:rsidRPr="00071DDB">
        <w:t>.</w:t>
      </w:r>
      <w:proofErr w:type="gramStart"/>
      <w:r w:rsidRPr="00071DDB">
        <w:t>html</w:t>
      </w:r>
      <w:proofErr w:type="gramEnd"/>
    </w:p>
    <w:p w:rsidR="00387DA6" w:rsidRPr="00071DDB" w:rsidRDefault="00387DA6" w:rsidP="00FC19C6">
      <w:pPr>
        <w:pStyle w:val="Textpoznpodarou"/>
        <w:spacing w:line="360" w:lineRule="auto"/>
        <w:jc w:val="both"/>
      </w:pPr>
    </w:p>
    <w:p w:rsidR="00387DA6" w:rsidRPr="00071DDB" w:rsidRDefault="00387DA6" w:rsidP="00387DA6">
      <w:pPr>
        <w:pStyle w:val="Textpoznpodarou"/>
        <w:jc w:val="both"/>
      </w:pPr>
      <w:r w:rsidRPr="00071DDB">
        <w:t xml:space="preserve">Evropská rada. </w:t>
      </w:r>
      <w:r w:rsidRPr="00071DDB">
        <w:rPr>
          <w:i/>
        </w:rPr>
        <w:t>Výstupy jednání Evropské rady z </w:t>
      </w:r>
      <w:proofErr w:type="gramStart"/>
      <w:r w:rsidRPr="00071DDB">
        <w:rPr>
          <w:i/>
        </w:rPr>
        <w:t>16.-17</w:t>
      </w:r>
      <w:proofErr w:type="gramEnd"/>
      <w:r w:rsidRPr="00071DDB">
        <w:rPr>
          <w:i/>
        </w:rPr>
        <w:t>. prosince 2010</w:t>
      </w:r>
      <w:r w:rsidRPr="00071DDB">
        <w:t xml:space="preserve">, EUCO 30/1/10, </w:t>
      </w:r>
      <w:proofErr w:type="spellStart"/>
      <w:r w:rsidRPr="00071DDB">
        <w:t>rev</w:t>
      </w:r>
      <w:proofErr w:type="spellEnd"/>
      <w:r w:rsidRPr="00071DDB">
        <w:t xml:space="preserve"> 1. </w:t>
      </w:r>
    </w:p>
    <w:p w:rsidR="00387DA6" w:rsidRPr="00071DDB" w:rsidRDefault="00387DA6" w:rsidP="00387DA6">
      <w:pPr>
        <w:pStyle w:val="Textpoznpodarou"/>
        <w:jc w:val="both"/>
      </w:pPr>
      <w:r w:rsidRPr="00071DDB">
        <w:t xml:space="preserve">Dostupné zde: </w:t>
      </w:r>
    </w:p>
    <w:p w:rsidR="00387DA6" w:rsidRPr="00071DDB" w:rsidRDefault="00387DA6" w:rsidP="00387DA6">
      <w:pPr>
        <w:pStyle w:val="Textpoznpodarou"/>
        <w:spacing w:line="360" w:lineRule="auto"/>
        <w:jc w:val="both"/>
      </w:pPr>
      <w:r w:rsidRPr="00071DDB">
        <w:t xml:space="preserve">https://www.consilium.europa.eu/uedocs/cms_data/docs/pressdata/en/ec/118578.pdf.  </w:t>
      </w:r>
    </w:p>
    <w:p w:rsidR="00387DA6" w:rsidRPr="00071DDB" w:rsidRDefault="00387DA6" w:rsidP="00FC19C6">
      <w:pPr>
        <w:pStyle w:val="Textpoznpodarou"/>
        <w:spacing w:line="360" w:lineRule="auto"/>
        <w:jc w:val="both"/>
      </w:pPr>
    </w:p>
    <w:p w:rsidR="00FC19C6" w:rsidRPr="00071DDB" w:rsidRDefault="00FC19C6" w:rsidP="00FC19C6">
      <w:pPr>
        <w:pStyle w:val="Textpoznpodarou"/>
        <w:spacing w:line="360" w:lineRule="auto"/>
        <w:jc w:val="both"/>
      </w:pPr>
      <w:r w:rsidRPr="00071DDB">
        <w:t>MERKEL, A. Projev z </w:t>
      </w:r>
      <w:proofErr w:type="spellStart"/>
      <w:r w:rsidRPr="00071DDB">
        <w:t>Bundestagu</w:t>
      </w:r>
      <w:proofErr w:type="spellEnd"/>
      <w:r w:rsidRPr="00071DDB">
        <w:t xml:space="preserve"> ze dne 19. 5. 2010, Dostupné zde: https://www.bundesregierung.de/ContentArchiv/DE/Archiv17/Regierungserklaerung/2010/2010-05-19-merkel-erklaerung-eu-stabilisierungsmassnahmen.html</w:t>
      </w:r>
    </w:p>
    <w:p w:rsidR="00AB5C5F" w:rsidRPr="00071DDB" w:rsidRDefault="00AB5C5F" w:rsidP="00FC19C6">
      <w:pPr>
        <w:pStyle w:val="Textpoznpodarou"/>
        <w:spacing w:line="360" w:lineRule="auto"/>
        <w:jc w:val="both"/>
      </w:pPr>
    </w:p>
    <w:p w:rsidR="002C2B8C" w:rsidRPr="00071DDB" w:rsidRDefault="002C2B8C" w:rsidP="00FC19C6">
      <w:pPr>
        <w:pStyle w:val="Textpoznpodarou"/>
        <w:spacing w:line="360" w:lineRule="auto"/>
        <w:jc w:val="both"/>
      </w:pPr>
      <w:r w:rsidRPr="00071DDB">
        <w:t xml:space="preserve">Single </w:t>
      </w:r>
      <w:proofErr w:type="spellStart"/>
      <w:r w:rsidRPr="00071DDB">
        <w:t>Resolution</w:t>
      </w:r>
      <w:proofErr w:type="spellEnd"/>
      <w:r w:rsidRPr="00071DDB">
        <w:t xml:space="preserve"> </w:t>
      </w:r>
      <w:proofErr w:type="spellStart"/>
      <w:r w:rsidRPr="00071DDB">
        <w:t>Board</w:t>
      </w:r>
      <w:proofErr w:type="spellEnd"/>
      <w:r w:rsidRPr="00071DDB">
        <w:t xml:space="preserve">. </w:t>
      </w:r>
      <w:proofErr w:type="spellStart"/>
      <w:r w:rsidRPr="00071DDB">
        <w:rPr>
          <w:i/>
        </w:rPr>
        <w:t>What</w:t>
      </w:r>
      <w:proofErr w:type="spellEnd"/>
      <w:r w:rsidRPr="00071DDB">
        <w:rPr>
          <w:i/>
        </w:rPr>
        <w:t xml:space="preserve"> </w:t>
      </w:r>
      <w:proofErr w:type="spellStart"/>
      <w:r w:rsidRPr="00071DDB">
        <w:rPr>
          <w:i/>
        </w:rPr>
        <w:t>is</w:t>
      </w:r>
      <w:proofErr w:type="spellEnd"/>
      <w:r w:rsidRPr="00071DDB">
        <w:rPr>
          <w:i/>
        </w:rPr>
        <w:t xml:space="preserve"> </w:t>
      </w:r>
      <w:proofErr w:type="spellStart"/>
      <w:r w:rsidRPr="00071DDB">
        <w:rPr>
          <w:i/>
        </w:rPr>
        <w:t>the</w:t>
      </w:r>
      <w:proofErr w:type="spellEnd"/>
      <w:r w:rsidRPr="00071DDB">
        <w:rPr>
          <w:i/>
        </w:rPr>
        <w:t xml:space="preserve"> Single </w:t>
      </w:r>
      <w:proofErr w:type="spellStart"/>
      <w:r w:rsidRPr="00071DDB">
        <w:rPr>
          <w:i/>
        </w:rPr>
        <w:t>Resolution</w:t>
      </w:r>
      <w:proofErr w:type="spellEnd"/>
      <w:r w:rsidRPr="00071DDB">
        <w:rPr>
          <w:i/>
        </w:rPr>
        <w:t xml:space="preserve"> </w:t>
      </w:r>
      <w:proofErr w:type="spellStart"/>
      <w:r w:rsidRPr="00071DDB">
        <w:rPr>
          <w:i/>
        </w:rPr>
        <w:t>Fund</w:t>
      </w:r>
      <w:proofErr w:type="spellEnd"/>
      <w:r w:rsidRPr="00071DDB">
        <w:t>. In: SRB web</w:t>
      </w:r>
      <w:r w:rsidR="00596D0A" w:rsidRPr="00071DDB">
        <w:t>, 2018</w:t>
      </w:r>
      <w:r w:rsidRPr="00071DDB">
        <w:t>.</w:t>
      </w:r>
    </w:p>
    <w:p w:rsidR="002C2B8C" w:rsidRPr="00071DDB" w:rsidRDefault="002C2B8C" w:rsidP="00FC19C6">
      <w:pPr>
        <w:pStyle w:val="Textpoznpodarou"/>
        <w:spacing w:line="360" w:lineRule="auto"/>
        <w:jc w:val="both"/>
      </w:pPr>
      <w:r w:rsidRPr="00071DDB">
        <w:t>Dostupné zde: https://srb.europa.eu/en/content/single-resolution-fund</w:t>
      </w:r>
    </w:p>
    <w:p w:rsidR="002C2B8C" w:rsidRPr="00071DDB" w:rsidRDefault="002C2B8C" w:rsidP="00FC19C6">
      <w:pPr>
        <w:pStyle w:val="Textpoznpodarou"/>
        <w:spacing w:line="360" w:lineRule="auto"/>
        <w:jc w:val="both"/>
      </w:pPr>
    </w:p>
    <w:p w:rsidR="00FC19C6" w:rsidRPr="00071DDB" w:rsidRDefault="00FC19C6" w:rsidP="00FC19C6">
      <w:pPr>
        <w:pStyle w:val="Textpoznpodarou"/>
        <w:spacing w:line="360" w:lineRule="auto"/>
        <w:jc w:val="both"/>
      </w:pPr>
      <w:r w:rsidRPr="00071DDB">
        <w:t xml:space="preserve">WEIDMANN, J. </w:t>
      </w:r>
      <w:proofErr w:type="spellStart"/>
      <w:r w:rsidRPr="00071DDB">
        <w:rPr>
          <w:i/>
        </w:rPr>
        <w:t>Reforms</w:t>
      </w:r>
      <w:proofErr w:type="spellEnd"/>
      <w:r w:rsidRPr="00071DDB">
        <w:rPr>
          <w:i/>
        </w:rPr>
        <w:t xml:space="preserve"> </w:t>
      </w:r>
      <w:proofErr w:type="spellStart"/>
      <w:r w:rsidRPr="00071DDB">
        <w:rPr>
          <w:i/>
        </w:rPr>
        <w:t>for</w:t>
      </w:r>
      <w:proofErr w:type="spellEnd"/>
      <w:r w:rsidRPr="00071DDB">
        <w:rPr>
          <w:i/>
        </w:rPr>
        <w:t xml:space="preserve"> a </w:t>
      </w:r>
      <w:proofErr w:type="spellStart"/>
      <w:r w:rsidRPr="00071DDB">
        <w:rPr>
          <w:i/>
        </w:rPr>
        <w:t>Stable</w:t>
      </w:r>
      <w:proofErr w:type="spellEnd"/>
      <w:r w:rsidRPr="00071DDB">
        <w:rPr>
          <w:i/>
        </w:rPr>
        <w:t xml:space="preserve"> </w:t>
      </w:r>
      <w:proofErr w:type="spellStart"/>
      <w:r w:rsidRPr="00071DDB">
        <w:rPr>
          <w:i/>
        </w:rPr>
        <w:t>Monetary</w:t>
      </w:r>
      <w:proofErr w:type="spellEnd"/>
      <w:r w:rsidRPr="00071DDB">
        <w:rPr>
          <w:i/>
        </w:rPr>
        <w:t xml:space="preserve"> Union.</w:t>
      </w:r>
      <w:r w:rsidRPr="00071DDB">
        <w:t xml:space="preserve"> Projev z 5. 6. 2018. Dostupné zde: https://</w:t>
      </w:r>
      <w:proofErr w:type="gramStart"/>
      <w:r w:rsidRPr="00071DDB">
        <w:t>www</w:t>
      </w:r>
      <w:proofErr w:type="gramEnd"/>
      <w:r w:rsidRPr="00071DDB">
        <w:t>.</w:t>
      </w:r>
      <w:proofErr w:type="gramStart"/>
      <w:r w:rsidRPr="00071DDB">
        <w:t>bis</w:t>
      </w:r>
      <w:proofErr w:type="gramEnd"/>
      <w:r w:rsidRPr="00071DDB">
        <w:t>.org/review/r180606b.htm.</w:t>
      </w:r>
    </w:p>
    <w:p w:rsidR="00FC19C6" w:rsidRPr="00FC19C6" w:rsidRDefault="00FC19C6" w:rsidP="00FC19C6">
      <w:pPr>
        <w:pStyle w:val="Textpoznpodarou"/>
        <w:spacing w:line="360" w:lineRule="auto"/>
        <w:jc w:val="both"/>
        <w:rPr>
          <w:sz w:val="24"/>
          <w:szCs w:val="24"/>
        </w:rPr>
      </w:pPr>
    </w:p>
    <w:p w:rsidR="008E350E" w:rsidRPr="00833E3F" w:rsidRDefault="008E350E" w:rsidP="00D20493">
      <w:pPr>
        <w:spacing w:line="360" w:lineRule="auto"/>
        <w:jc w:val="both"/>
      </w:pPr>
    </w:p>
    <w:sectPr w:rsidR="008E350E" w:rsidRPr="00833E3F" w:rsidSect="00165084">
      <w:endnotePr>
        <w:numFmt w:val="decimal"/>
        <w:numStart w:val="2"/>
      </w:endnotePr>
      <w:pgSz w:w="9979" w:h="14175" w:code="13"/>
      <w:pgMar w:top="1134" w:right="851" w:bottom="851"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DF" w:rsidRDefault="00A55FDF" w:rsidP="00AD3BCB">
      <w:r>
        <w:separator/>
      </w:r>
    </w:p>
  </w:endnote>
  <w:endnote w:type="continuationSeparator" w:id="0">
    <w:p w:rsidR="00A55FDF" w:rsidRDefault="00A55FDF" w:rsidP="00AD3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DF" w:rsidRDefault="00A55FDF" w:rsidP="00AD3BCB">
      <w:r>
        <w:separator/>
      </w:r>
    </w:p>
  </w:footnote>
  <w:footnote w:type="continuationSeparator" w:id="0">
    <w:p w:rsidR="00A55FDF" w:rsidRDefault="00A55FDF" w:rsidP="00AD3BCB">
      <w:r>
        <w:continuationSeparator/>
      </w:r>
    </w:p>
  </w:footnote>
  <w:footnote w:id="1">
    <w:p w:rsidR="00BA717E" w:rsidRPr="008D16E3" w:rsidRDefault="00BA717E" w:rsidP="0032720A">
      <w:pPr>
        <w:spacing w:line="276" w:lineRule="auto"/>
        <w:jc w:val="both"/>
        <w:rPr>
          <w:sz w:val="20"/>
          <w:szCs w:val="20"/>
        </w:rPr>
      </w:pPr>
      <w:r w:rsidRPr="008D16E3">
        <w:rPr>
          <w:rFonts w:cs="Calibri"/>
          <w:sz w:val="20"/>
          <w:szCs w:val="20"/>
          <w:vertAlign w:val="superscript"/>
        </w:rPr>
        <w:footnoteRef/>
      </w:r>
      <w:r w:rsidRPr="008D16E3">
        <w:rPr>
          <w:rFonts w:cs="Calibri"/>
          <w:sz w:val="20"/>
          <w:szCs w:val="20"/>
        </w:rPr>
        <w:t xml:space="preserve"> Např. Německo-rakouská mincovní unie (1857-1867), která zahrnovala německé státy, Rakousko a Lichtenštejnsko, či Rakousko-maďarská měnová unie (1880-1920), Latinská měnová unie (1865-1927), zahrnující Francii, Itálii, Belgii, Švýcarsko a Řecko, či Skandinávská měnová unie (1873-1920) mezi Švédskem a Dánskem. Počátkem 20. století vznikla Belgicko-Lucemburská měnová unie (1921-1998). V rámci těchto měnových unií nebylo podmínkou zřízení jedné společné měny – většinou docházelo „toliko“ k pevnému navázání jedné měny na druhou.</w:t>
      </w:r>
    </w:p>
  </w:footnote>
  <w:footnote w:id="2">
    <w:p w:rsidR="008D16E3" w:rsidRPr="008D16E3" w:rsidRDefault="008D16E3" w:rsidP="0032720A">
      <w:pPr>
        <w:pStyle w:val="Textpoznpodarou"/>
        <w:jc w:val="both"/>
      </w:pPr>
      <w:r w:rsidRPr="008D16E3">
        <w:rPr>
          <w:rStyle w:val="Znakapoznpodarou"/>
        </w:rPr>
        <w:footnoteRef/>
      </w:r>
      <w:r w:rsidRPr="008D16E3">
        <w:t xml:space="preserve"> Příkladem lze zmínit období zlatého standardu, resp. různé jeho modifikace. Např. v rámci tzv. </w:t>
      </w:r>
      <w:proofErr w:type="spellStart"/>
      <w:r w:rsidRPr="008D16E3">
        <w:t>brettonwoodského</w:t>
      </w:r>
      <w:proofErr w:type="spellEnd"/>
      <w:r w:rsidRPr="008D16E3">
        <w:t xml:space="preserve"> systému musela být hodnota amerického dolaru udržována v pevném poměru ke zlatu a měny ostatních států účastnících se tohoto systému byly zas udržovány v určitém poměru vůči </w:t>
      </w:r>
      <w:r w:rsidR="0032720A">
        <w:t>dolaru</w:t>
      </w:r>
      <w:r w:rsidRPr="008D16E3">
        <w:t>.</w:t>
      </w:r>
    </w:p>
  </w:footnote>
  <w:footnote w:id="3">
    <w:p w:rsidR="00A74217" w:rsidRPr="008D16E3" w:rsidRDefault="00A74217" w:rsidP="0032720A">
      <w:pPr>
        <w:pStyle w:val="Textpoznpodarou"/>
        <w:jc w:val="both"/>
        <w:rPr>
          <w:rFonts w:cs="Calibri"/>
        </w:rPr>
      </w:pPr>
      <w:r w:rsidRPr="008D16E3">
        <w:rPr>
          <w:rStyle w:val="Znakapoznpodarou"/>
          <w:rFonts w:cs="Calibri"/>
        </w:rPr>
        <w:footnoteRef/>
      </w:r>
      <w:r w:rsidRPr="008D16E3">
        <w:rPr>
          <w:rFonts w:cs="Calibri"/>
        </w:rPr>
        <w:t xml:space="preserve"> Lucemburský ministerský předseda a ministr financí.</w:t>
      </w:r>
      <w:r w:rsidR="006B47FC" w:rsidRPr="008D16E3">
        <w:rPr>
          <w:rFonts w:cs="Calibri"/>
        </w:rPr>
        <w:t xml:space="preserve"> Oficiální název zprávy: A Report to </w:t>
      </w:r>
      <w:proofErr w:type="spellStart"/>
      <w:r w:rsidR="006B47FC" w:rsidRPr="008D16E3">
        <w:rPr>
          <w:rFonts w:cs="Calibri"/>
        </w:rPr>
        <w:t>the</w:t>
      </w:r>
      <w:proofErr w:type="spellEnd"/>
      <w:r w:rsidR="006B47FC" w:rsidRPr="008D16E3">
        <w:rPr>
          <w:rFonts w:cs="Calibri"/>
        </w:rPr>
        <w:t xml:space="preserve"> </w:t>
      </w:r>
      <w:proofErr w:type="spellStart"/>
      <w:r w:rsidR="006B47FC" w:rsidRPr="008D16E3">
        <w:rPr>
          <w:rFonts w:cs="Calibri"/>
        </w:rPr>
        <w:t>Council</w:t>
      </w:r>
      <w:proofErr w:type="spellEnd"/>
      <w:r w:rsidR="006B47FC" w:rsidRPr="008D16E3">
        <w:rPr>
          <w:rFonts w:cs="Calibri"/>
        </w:rPr>
        <w:t xml:space="preserve"> and </w:t>
      </w:r>
      <w:proofErr w:type="spellStart"/>
      <w:r w:rsidR="006B47FC" w:rsidRPr="008D16E3">
        <w:rPr>
          <w:rFonts w:cs="Calibri"/>
        </w:rPr>
        <w:t>the</w:t>
      </w:r>
      <w:proofErr w:type="spellEnd"/>
      <w:r w:rsidR="006B47FC" w:rsidRPr="008D16E3">
        <w:rPr>
          <w:rFonts w:cs="Calibri"/>
        </w:rPr>
        <w:t xml:space="preserve"> </w:t>
      </w:r>
      <w:proofErr w:type="spellStart"/>
      <w:r w:rsidR="006B47FC" w:rsidRPr="008D16E3">
        <w:rPr>
          <w:rFonts w:cs="Calibri"/>
        </w:rPr>
        <w:t>Commission</w:t>
      </w:r>
      <w:proofErr w:type="spellEnd"/>
      <w:r w:rsidR="006B47FC" w:rsidRPr="008D16E3">
        <w:rPr>
          <w:rFonts w:cs="Calibri"/>
        </w:rPr>
        <w:t xml:space="preserve"> on </w:t>
      </w:r>
      <w:proofErr w:type="spellStart"/>
      <w:r w:rsidR="006B47FC" w:rsidRPr="008D16E3">
        <w:rPr>
          <w:rFonts w:cs="Calibri"/>
        </w:rPr>
        <w:t>the</w:t>
      </w:r>
      <w:proofErr w:type="spellEnd"/>
      <w:r w:rsidR="006B47FC" w:rsidRPr="008D16E3">
        <w:rPr>
          <w:rFonts w:cs="Calibri"/>
        </w:rPr>
        <w:t xml:space="preserve"> </w:t>
      </w:r>
      <w:proofErr w:type="spellStart"/>
      <w:r w:rsidR="006B47FC" w:rsidRPr="008D16E3">
        <w:rPr>
          <w:rFonts w:cs="Calibri"/>
        </w:rPr>
        <w:t>Realisation</w:t>
      </w:r>
      <w:proofErr w:type="spellEnd"/>
      <w:r w:rsidR="006B47FC" w:rsidRPr="008D16E3">
        <w:rPr>
          <w:rFonts w:cs="Calibri"/>
        </w:rPr>
        <w:t xml:space="preserve"> by </w:t>
      </w:r>
      <w:proofErr w:type="spellStart"/>
      <w:r w:rsidR="006B47FC" w:rsidRPr="008D16E3">
        <w:rPr>
          <w:rFonts w:cs="Calibri"/>
        </w:rPr>
        <w:t>Stages</w:t>
      </w:r>
      <w:proofErr w:type="spellEnd"/>
      <w:r w:rsidR="006B47FC" w:rsidRPr="008D16E3">
        <w:rPr>
          <w:rFonts w:cs="Calibri"/>
        </w:rPr>
        <w:t xml:space="preserve"> </w:t>
      </w:r>
      <w:proofErr w:type="spellStart"/>
      <w:r w:rsidR="006B47FC" w:rsidRPr="008D16E3">
        <w:rPr>
          <w:rFonts w:cs="Calibri"/>
        </w:rPr>
        <w:t>of</w:t>
      </w:r>
      <w:proofErr w:type="spellEnd"/>
      <w:r w:rsidR="006B47FC" w:rsidRPr="008D16E3">
        <w:rPr>
          <w:rFonts w:cs="Calibri"/>
        </w:rPr>
        <w:t xml:space="preserve"> </w:t>
      </w:r>
      <w:proofErr w:type="spellStart"/>
      <w:r w:rsidR="006B47FC" w:rsidRPr="008D16E3">
        <w:rPr>
          <w:rFonts w:cs="Calibri"/>
        </w:rPr>
        <w:t>Economic</w:t>
      </w:r>
      <w:proofErr w:type="spellEnd"/>
      <w:r w:rsidR="006B47FC" w:rsidRPr="008D16E3">
        <w:rPr>
          <w:rFonts w:cs="Calibri"/>
        </w:rPr>
        <w:t xml:space="preserve"> and </w:t>
      </w:r>
      <w:proofErr w:type="spellStart"/>
      <w:r w:rsidR="006B47FC" w:rsidRPr="008D16E3">
        <w:rPr>
          <w:rFonts w:cs="Calibri"/>
        </w:rPr>
        <w:t>Monetary</w:t>
      </w:r>
      <w:proofErr w:type="spellEnd"/>
      <w:r w:rsidR="006B47FC" w:rsidRPr="008D16E3">
        <w:rPr>
          <w:rFonts w:cs="Calibri"/>
        </w:rPr>
        <w:t xml:space="preserve"> Union in </w:t>
      </w:r>
      <w:proofErr w:type="spellStart"/>
      <w:r w:rsidR="006B47FC" w:rsidRPr="008D16E3">
        <w:rPr>
          <w:rFonts w:cs="Calibri"/>
        </w:rPr>
        <w:t>the</w:t>
      </w:r>
      <w:proofErr w:type="spellEnd"/>
      <w:r w:rsidR="006B47FC" w:rsidRPr="008D16E3">
        <w:rPr>
          <w:rFonts w:cs="Calibri"/>
        </w:rPr>
        <w:t xml:space="preserve"> </w:t>
      </w:r>
      <w:proofErr w:type="spellStart"/>
      <w:r w:rsidR="006B47FC" w:rsidRPr="008D16E3">
        <w:rPr>
          <w:rFonts w:cs="Calibri"/>
        </w:rPr>
        <w:t>Community</w:t>
      </w:r>
      <w:proofErr w:type="spellEnd"/>
      <w:r w:rsidR="006B47FC" w:rsidRPr="008D16E3">
        <w:rPr>
          <w:rFonts w:cs="Calibri"/>
        </w:rPr>
        <w:t>, zde: http://aei.pitt.edu/1002/1/monetary_werner_final.pdf.</w:t>
      </w:r>
    </w:p>
  </w:footnote>
  <w:footnote w:id="4">
    <w:p w:rsidR="00A74217" w:rsidRPr="006853FE" w:rsidRDefault="00A74217" w:rsidP="0032720A">
      <w:pPr>
        <w:pStyle w:val="Textpoznpodarou"/>
        <w:jc w:val="both"/>
        <w:rPr>
          <w:rFonts w:cs="Calibri"/>
          <w:sz w:val="18"/>
          <w:szCs w:val="18"/>
        </w:rPr>
      </w:pPr>
      <w:r w:rsidRPr="008D16E3">
        <w:rPr>
          <w:rStyle w:val="Znakapoznpodarou"/>
          <w:rFonts w:cs="Calibri"/>
        </w:rPr>
        <w:footnoteRef/>
      </w:r>
      <w:r w:rsidRPr="008D16E3">
        <w:rPr>
          <w:rFonts w:cs="Calibri"/>
        </w:rPr>
        <w:t xml:space="preserve"> Bylo navrhováno zavedení neodvolatelné směnitelnosti národních měn, což mělo vyústit v nahrazení národních měn společnou měnou. Jeden z důvodů, pro který nebyl tento záměr realizován, byl pád</w:t>
      </w:r>
      <w:r w:rsidR="0032720A">
        <w:rPr>
          <w:rFonts w:cs="Calibri"/>
        </w:rPr>
        <w:t xml:space="preserve"> </w:t>
      </w:r>
      <w:proofErr w:type="spellStart"/>
      <w:r w:rsidRPr="008D16E3">
        <w:rPr>
          <w:rFonts w:cs="Calibri"/>
        </w:rPr>
        <w:t>brettonwoodského</w:t>
      </w:r>
      <w:proofErr w:type="spellEnd"/>
      <w:r w:rsidRPr="008D16E3">
        <w:rPr>
          <w:rFonts w:cs="Calibri"/>
        </w:rPr>
        <w:t xml:space="preserve"> systému.</w:t>
      </w:r>
    </w:p>
  </w:footnote>
  <w:footnote w:id="5">
    <w:p w:rsidR="006B47FC" w:rsidRDefault="006B47FC" w:rsidP="0032720A">
      <w:pPr>
        <w:pStyle w:val="Textpoznpodarou"/>
        <w:jc w:val="both"/>
      </w:pPr>
      <w:r>
        <w:rPr>
          <w:rStyle w:val="Znakapoznpodarou"/>
        </w:rPr>
        <w:footnoteRef/>
      </w:r>
      <w:r>
        <w:t xml:space="preserve"> Článek </w:t>
      </w:r>
      <w:r w:rsidR="0085006A">
        <w:t xml:space="preserve">je psán v </w:t>
      </w:r>
      <w:r>
        <w:t xml:space="preserve">září </w:t>
      </w:r>
      <w:r w:rsidR="0085006A">
        <w:t>2018.</w:t>
      </w:r>
    </w:p>
  </w:footnote>
  <w:footnote w:id="6">
    <w:p w:rsidR="0085006A" w:rsidRDefault="0085006A" w:rsidP="0032720A">
      <w:pPr>
        <w:pStyle w:val="Textpoznpodarou"/>
        <w:jc w:val="both"/>
      </w:pPr>
      <w:r>
        <w:rPr>
          <w:rStyle w:val="Znakapoznpodarou"/>
        </w:rPr>
        <w:footnoteRef/>
      </w:r>
      <w:r>
        <w:t xml:space="preserve"> Viz projev J. </w:t>
      </w:r>
      <w:proofErr w:type="spellStart"/>
      <w:r>
        <w:t>Weidmanna</w:t>
      </w:r>
      <w:proofErr w:type="spellEnd"/>
      <w:r>
        <w:t xml:space="preserve"> z 5. června 2018</w:t>
      </w:r>
      <w:r w:rsidR="004244A0">
        <w:t xml:space="preserve">, </w:t>
      </w:r>
      <w:proofErr w:type="spellStart"/>
      <w:r w:rsidR="004244A0">
        <w:t>Reforms</w:t>
      </w:r>
      <w:proofErr w:type="spellEnd"/>
      <w:r w:rsidR="004244A0">
        <w:t xml:space="preserve"> </w:t>
      </w:r>
      <w:proofErr w:type="spellStart"/>
      <w:r w:rsidR="004244A0">
        <w:t>for</w:t>
      </w:r>
      <w:proofErr w:type="spellEnd"/>
      <w:r w:rsidR="004244A0">
        <w:t xml:space="preserve"> a </w:t>
      </w:r>
      <w:proofErr w:type="spellStart"/>
      <w:r w:rsidR="004244A0">
        <w:t>Stable</w:t>
      </w:r>
      <w:proofErr w:type="spellEnd"/>
      <w:r w:rsidR="004244A0">
        <w:t xml:space="preserve"> </w:t>
      </w:r>
      <w:proofErr w:type="spellStart"/>
      <w:r w:rsidR="004244A0">
        <w:t>Monetary</w:t>
      </w:r>
      <w:proofErr w:type="spellEnd"/>
      <w:r w:rsidR="004244A0">
        <w:t xml:space="preserve"> Union</w:t>
      </w:r>
      <w:r>
        <w:t xml:space="preserve">. Dostupné zde: </w:t>
      </w:r>
      <w:r w:rsidRPr="0085006A">
        <w:t>https://</w:t>
      </w:r>
      <w:proofErr w:type="gramStart"/>
      <w:r w:rsidRPr="0085006A">
        <w:t>www</w:t>
      </w:r>
      <w:proofErr w:type="gramEnd"/>
      <w:r w:rsidRPr="0085006A">
        <w:t>.</w:t>
      </w:r>
      <w:proofErr w:type="gramStart"/>
      <w:r w:rsidRPr="0085006A">
        <w:t>bis</w:t>
      </w:r>
      <w:proofErr w:type="gramEnd"/>
      <w:r w:rsidRPr="0085006A">
        <w:t>.org/review/r180606b.htm</w:t>
      </w:r>
      <w:r>
        <w:t>.</w:t>
      </w:r>
    </w:p>
  </w:footnote>
  <w:footnote w:id="7">
    <w:p w:rsidR="00E412B2" w:rsidRPr="006853FE" w:rsidRDefault="00E412B2" w:rsidP="0032720A">
      <w:pPr>
        <w:pStyle w:val="Textpoznpodarou"/>
        <w:jc w:val="both"/>
        <w:rPr>
          <w:rFonts w:cs="Calibri"/>
          <w:sz w:val="18"/>
          <w:szCs w:val="18"/>
        </w:rPr>
      </w:pPr>
      <w:r w:rsidRPr="006853FE">
        <w:rPr>
          <w:rStyle w:val="Znakapoznpodarou"/>
          <w:rFonts w:cs="Calibri"/>
          <w:sz w:val="18"/>
          <w:szCs w:val="18"/>
        </w:rPr>
        <w:footnoteRef/>
      </w:r>
      <w:r w:rsidRPr="006853FE">
        <w:rPr>
          <w:rFonts w:cs="Calibri"/>
          <w:sz w:val="18"/>
          <w:szCs w:val="18"/>
        </w:rPr>
        <w:t xml:space="preserve"> Projev</w:t>
      </w:r>
      <w:r w:rsidR="00FC19C6">
        <w:rPr>
          <w:rFonts w:cs="Calibri"/>
          <w:sz w:val="18"/>
          <w:szCs w:val="18"/>
        </w:rPr>
        <w:t xml:space="preserve"> A. Merkel</w:t>
      </w:r>
      <w:r w:rsidRPr="006853FE">
        <w:rPr>
          <w:rFonts w:cs="Calibri"/>
          <w:sz w:val="18"/>
          <w:szCs w:val="18"/>
        </w:rPr>
        <w:t xml:space="preserve"> z </w:t>
      </w:r>
      <w:proofErr w:type="spellStart"/>
      <w:r w:rsidRPr="006853FE">
        <w:rPr>
          <w:rFonts w:cs="Calibri"/>
          <w:sz w:val="18"/>
          <w:szCs w:val="18"/>
        </w:rPr>
        <w:t>Bundestagu</w:t>
      </w:r>
      <w:proofErr w:type="spellEnd"/>
      <w:r w:rsidRPr="006853FE">
        <w:rPr>
          <w:rFonts w:cs="Calibri"/>
          <w:sz w:val="18"/>
          <w:szCs w:val="18"/>
        </w:rPr>
        <w:t xml:space="preserve"> ze dne 19. května 2010, zde: https://www.bundesregierung.de/ContentArchiv/DE/Archiv17/Regierungserklaerung/2010/2010-05-19-merkel-erklaerung-eu-stabilisierungsmassnahmen.html</w:t>
      </w:r>
    </w:p>
  </w:footnote>
  <w:footnote w:id="8">
    <w:p w:rsidR="00342D03" w:rsidRDefault="00342D03" w:rsidP="0032720A">
      <w:pPr>
        <w:pStyle w:val="Textpoznpodarou"/>
        <w:jc w:val="both"/>
      </w:pPr>
      <w:r>
        <w:rPr>
          <w:rStyle w:val="Znakapoznpodarou"/>
        </w:rPr>
        <w:footnoteRef/>
      </w:r>
      <w:r>
        <w:t xml:space="preserve"> Příkladem na tomto místě zmiňme různé měnověpolitické programy, které ECB ve spolupráci s ostatními členy </w:t>
      </w:r>
      <w:proofErr w:type="spellStart"/>
      <w:r>
        <w:t>Eurosystému</w:t>
      </w:r>
      <w:proofErr w:type="spellEnd"/>
      <w:r>
        <w:t xml:space="preserve"> činí od roku 2010, v obecné rovině spočívající v nákupech dluhopisů některých států potýkajících se s nadměrným veřejným či zahraničním dluhem a souvisejícími vysokými náklady spojenými se správou a „rolováním“ existujících závazků či dokonce s omezeným vstupem na finanční trhy. </w:t>
      </w:r>
    </w:p>
  </w:footnote>
  <w:footnote w:id="9">
    <w:p w:rsidR="00AE5388" w:rsidRDefault="00AE5388" w:rsidP="0032720A">
      <w:pPr>
        <w:pStyle w:val="Textpoznpodarou"/>
        <w:jc w:val="both"/>
      </w:pPr>
      <w:r>
        <w:rPr>
          <w:rStyle w:val="Znakapoznpodarou"/>
        </w:rPr>
        <w:footnoteRef/>
      </w:r>
      <w:r>
        <w:t xml:space="preserve"> Srov. např. </w:t>
      </w:r>
      <w:r w:rsidRPr="00AE5388">
        <w:t xml:space="preserve">Nařízení rady (EHS) č. 397/75 týkající se úvěrů v rámci společenství, nařízení rady (EHS) č. 398/75 implementující nařízení č. </w:t>
      </w:r>
      <w:r>
        <w:t>397/75 či nařízení rady (EHS) č. 682/81 o upravení úvěrového mechanismu společenství za účelem podpory platební bilance mezi členskými státy či nařízení rady (EHS) č. 1969/88 o řízení jednotného nástroje poskytování střednědobé finanční asistence členským státům ve vztahu k platební bilanci či nařízení rady (ES) č. 332/2002 o zřízení nástroje poskytujícího střednědobou finanční asistenci členským státům ve vztahu k platební bilanci, a další.</w:t>
      </w:r>
    </w:p>
  </w:footnote>
  <w:footnote w:id="10">
    <w:p w:rsidR="003B6268" w:rsidRDefault="003B6268" w:rsidP="0032720A">
      <w:pPr>
        <w:pStyle w:val="Textpoznpodarou"/>
        <w:jc w:val="both"/>
      </w:pPr>
      <w:r>
        <w:rPr>
          <w:rStyle w:val="Znakapoznpodarou"/>
        </w:rPr>
        <w:footnoteRef/>
      </w:r>
      <w:r>
        <w:t xml:space="preserve"> Např. půjčky Řecku z první poloviny roky 2010, kdy </w:t>
      </w:r>
    </w:p>
  </w:footnote>
  <w:footnote w:id="11">
    <w:p w:rsidR="00776FB2" w:rsidRDefault="00776FB2" w:rsidP="0032720A">
      <w:pPr>
        <w:pStyle w:val="Textpoznpodarou"/>
        <w:jc w:val="both"/>
      </w:pPr>
      <w:r>
        <w:rPr>
          <w:rStyle w:val="Znakapoznpodarou"/>
        </w:rPr>
        <w:footnoteRef/>
      </w:r>
      <w:r>
        <w:t xml:space="preserve"> Nařízení rady (EU) ze dne 11. května 2010, o zavedení Evropského mechanismu finanční stabilizace.</w:t>
      </w:r>
    </w:p>
  </w:footnote>
  <w:footnote w:id="12">
    <w:p w:rsidR="00E223BC" w:rsidRDefault="00E223BC" w:rsidP="0032720A">
      <w:pPr>
        <w:pStyle w:val="Textpoznpodarou"/>
        <w:jc w:val="both"/>
      </w:pPr>
      <w:r>
        <w:rPr>
          <w:rStyle w:val="Znakapoznpodarou"/>
        </w:rPr>
        <w:footnoteRef/>
      </w:r>
      <w:r>
        <w:t xml:space="preserve"> Srov. např. DĚDEK, Oldřich. </w:t>
      </w:r>
      <w:r w:rsidRPr="00235BDC">
        <w:rPr>
          <w:i/>
        </w:rPr>
        <w:t>Záchranné mechanismy</w:t>
      </w:r>
      <w:r>
        <w:t xml:space="preserve">. In: Web MFČR, </w:t>
      </w:r>
      <w:proofErr w:type="spellStart"/>
      <w:r>
        <w:t>posl</w:t>
      </w:r>
      <w:proofErr w:type="spellEnd"/>
      <w:r>
        <w:t xml:space="preserve">. </w:t>
      </w:r>
      <w:proofErr w:type="spellStart"/>
      <w:r>
        <w:t>zm</w:t>
      </w:r>
      <w:proofErr w:type="spellEnd"/>
      <w:r>
        <w:t xml:space="preserve">. 21. 10. 2015. Dostupné zde: </w:t>
      </w:r>
      <w:r w:rsidRPr="00E223BC">
        <w:t>https://www.zavedenieura.cz/cs/euro/eurozona/zachranne-mechanismy</w:t>
      </w:r>
      <w:r>
        <w:t>.</w:t>
      </w:r>
    </w:p>
  </w:footnote>
  <w:footnote w:id="13">
    <w:p w:rsidR="00222F06" w:rsidRPr="00387DA6" w:rsidRDefault="00222F06" w:rsidP="00387DA6">
      <w:pPr>
        <w:pStyle w:val="normal"/>
        <w:spacing w:before="104" w:beforeAutospacing="0" w:after="0" w:afterAutospacing="0" w:line="276" w:lineRule="auto"/>
        <w:jc w:val="both"/>
        <w:rPr>
          <w:sz w:val="20"/>
          <w:szCs w:val="20"/>
        </w:rPr>
      </w:pPr>
      <w:r>
        <w:rPr>
          <w:rStyle w:val="Znakapoznpodarou"/>
        </w:rPr>
        <w:footnoteRef/>
      </w:r>
      <w:r w:rsidRPr="00222F06">
        <w:rPr>
          <w:sz w:val="20"/>
          <w:szCs w:val="20"/>
        </w:rPr>
        <w:t xml:space="preserve"> </w:t>
      </w:r>
      <w:r>
        <w:rPr>
          <w:sz w:val="20"/>
          <w:szCs w:val="20"/>
        </w:rPr>
        <w:t>Fa</w:t>
      </w:r>
      <w:r w:rsidRPr="00222F06">
        <w:rPr>
          <w:sz w:val="20"/>
          <w:szCs w:val="20"/>
        </w:rPr>
        <w:t>kticky</w:t>
      </w:r>
      <w:r>
        <w:rPr>
          <w:sz w:val="20"/>
          <w:szCs w:val="20"/>
        </w:rPr>
        <w:t xml:space="preserve"> byl</w:t>
      </w:r>
      <w:r w:rsidRPr="00222F06">
        <w:rPr>
          <w:sz w:val="20"/>
          <w:szCs w:val="20"/>
        </w:rPr>
        <w:t xml:space="preserve"> aktivován pro Irsko a Portugalsko s částkou 46,8 miliardy EUR (22,5 miliardy EUR pro Irsko a 24,3</w:t>
      </w:r>
      <w:r>
        <w:rPr>
          <w:sz w:val="20"/>
          <w:szCs w:val="20"/>
        </w:rPr>
        <w:t xml:space="preserve"> miliardy EUR pro Portugalsko), která byla </w:t>
      </w:r>
      <w:r w:rsidRPr="00222F06">
        <w:rPr>
          <w:sz w:val="20"/>
          <w:szCs w:val="20"/>
        </w:rPr>
        <w:t>vyplácen</w:t>
      </w:r>
      <w:r>
        <w:rPr>
          <w:sz w:val="20"/>
          <w:szCs w:val="20"/>
        </w:rPr>
        <w:t>a</w:t>
      </w:r>
      <w:r w:rsidRPr="00222F06">
        <w:rPr>
          <w:sz w:val="20"/>
          <w:szCs w:val="20"/>
        </w:rPr>
        <w:t xml:space="preserve"> po dobu 3 let (2011-2014).</w:t>
      </w:r>
      <w:r>
        <w:rPr>
          <w:sz w:val="20"/>
          <w:szCs w:val="20"/>
        </w:rPr>
        <w:t xml:space="preserve"> </w:t>
      </w:r>
      <w:r w:rsidRPr="00222F06">
        <w:rPr>
          <w:sz w:val="20"/>
          <w:szCs w:val="20"/>
        </w:rPr>
        <w:t xml:space="preserve">V červenci 2015 byl EFSM využit na </w:t>
      </w:r>
      <w:r>
        <w:rPr>
          <w:sz w:val="20"/>
          <w:szCs w:val="20"/>
        </w:rPr>
        <w:t>překlenovací úvěr Řecku</w:t>
      </w:r>
      <w:r w:rsidRPr="00222F06">
        <w:rPr>
          <w:sz w:val="20"/>
          <w:szCs w:val="20"/>
        </w:rPr>
        <w:t xml:space="preserve"> ve výši 7,16 miliardy EUR.</w:t>
      </w:r>
    </w:p>
  </w:footnote>
  <w:footnote w:id="14">
    <w:p w:rsidR="005A3E63" w:rsidRDefault="005A3E63" w:rsidP="0032720A">
      <w:pPr>
        <w:pStyle w:val="Textpoznpodarou"/>
        <w:jc w:val="both"/>
      </w:pPr>
      <w:r>
        <w:rPr>
          <w:rStyle w:val="Znakapoznpodarou"/>
        </w:rPr>
        <w:footnoteRef/>
      </w:r>
      <w:r>
        <w:t xml:space="preserve"> Srov. např. </w:t>
      </w:r>
      <w:r w:rsidR="00145977" w:rsidRPr="00AB5C5F">
        <w:rPr>
          <w:i/>
        </w:rPr>
        <w:t xml:space="preserve">Risk </w:t>
      </w:r>
      <w:proofErr w:type="spellStart"/>
      <w:r w:rsidR="00145977" w:rsidRPr="00AB5C5F">
        <w:rPr>
          <w:i/>
        </w:rPr>
        <w:t>Weight</w:t>
      </w:r>
      <w:proofErr w:type="spellEnd"/>
      <w:r w:rsidR="00145977" w:rsidRPr="00AB5C5F">
        <w:rPr>
          <w:i/>
        </w:rPr>
        <w:t xml:space="preserve"> </w:t>
      </w:r>
      <w:proofErr w:type="spellStart"/>
      <w:r w:rsidR="00145977" w:rsidRPr="00AB5C5F">
        <w:rPr>
          <w:i/>
        </w:rPr>
        <w:t>for</w:t>
      </w:r>
      <w:proofErr w:type="spellEnd"/>
      <w:r w:rsidR="00145977" w:rsidRPr="00AB5C5F">
        <w:rPr>
          <w:i/>
        </w:rPr>
        <w:t xml:space="preserve"> </w:t>
      </w:r>
      <w:proofErr w:type="spellStart"/>
      <w:r w:rsidR="00145977" w:rsidRPr="00AB5C5F">
        <w:rPr>
          <w:i/>
        </w:rPr>
        <w:t>the</w:t>
      </w:r>
      <w:proofErr w:type="spellEnd"/>
      <w:r w:rsidR="00145977" w:rsidRPr="00AB5C5F">
        <w:rPr>
          <w:i/>
        </w:rPr>
        <w:t xml:space="preserve"> ESM and EFSF</w:t>
      </w:r>
      <w:r w:rsidR="00145977">
        <w:t xml:space="preserve">. In: Bank </w:t>
      </w:r>
      <w:proofErr w:type="spellStart"/>
      <w:r w:rsidR="00145977">
        <w:t>for</w:t>
      </w:r>
      <w:proofErr w:type="spellEnd"/>
      <w:r w:rsidR="00145977">
        <w:t xml:space="preserve"> International </w:t>
      </w:r>
      <w:proofErr w:type="spellStart"/>
      <w:r w:rsidR="00145977">
        <w:t>Settlements</w:t>
      </w:r>
      <w:proofErr w:type="spellEnd"/>
      <w:r w:rsidR="00145977">
        <w:t xml:space="preserve"> web. </w:t>
      </w:r>
      <w:proofErr w:type="spellStart"/>
      <w:r w:rsidR="00145977">
        <w:t>Posl</w:t>
      </w:r>
      <w:proofErr w:type="spellEnd"/>
      <w:r w:rsidR="00145977">
        <w:t xml:space="preserve">. </w:t>
      </w:r>
      <w:proofErr w:type="spellStart"/>
      <w:r w:rsidR="00145977">
        <w:t>úpr</w:t>
      </w:r>
      <w:proofErr w:type="spellEnd"/>
      <w:r w:rsidR="00145977">
        <w:t xml:space="preserve">. 18. 3. 2014. </w:t>
      </w:r>
      <w:r>
        <w:t xml:space="preserve">Dostupné zde: </w:t>
      </w:r>
      <w:r w:rsidRPr="005A3E63">
        <w:t>https://</w:t>
      </w:r>
      <w:proofErr w:type="gramStart"/>
      <w:r w:rsidRPr="005A3E63">
        <w:t>www</w:t>
      </w:r>
      <w:proofErr w:type="gramEnd"/>
      <w:r w:rsidRPr="005A3E63">
        <w:t>.</w:t>
      </w:r>
      <w:proofErr w:type="gramStart"/>
      <w:r w:rsidRPr="005A3E63">
        <w:t>bis</w:t>
      </w:r>
      <w:proofErr w:type="gramEnd"/>
      <w:r w:rsidRPr="005A3E63">
        <w:t>.org/publ/bcbs_nl17.htm</w:t>
      </w:r>
      <w:r>
        <w:t>.</w:t>
      </w:r>
    </w:p>
  </w:footnote>
  <w:footnote w:id="15">
    <w:p w:rsidR="00495376" w:rsidRDefault="00495376" w:rsidP="0032720A">
      <w:pPr>
        <w:pStyle w:val="Textpoznpodarou"/>
        <w:jc w:val="both"/>
      </w:pPr>
      <w:r>
        <w:rPr>
          <w:rStyle w:val="Znakapoznpodarou"/>
        </w:rPr>
        <w:footnoteRef/>
      </w:r>
      <w:r>
        <w:t xml:space="preserve"> Srov. </w:t>
      </w:r>
      <w:r w:rsidRPr="002C77C3">
        <w:rPr>
          <w:i/>
        </w:rPr>
        <w:t>Přehled akceptovatelných kolaterálů</w:t>
      </w:r>
      <w:r>
        <w:t xml:space="preserve">. ECB web, 2018. Dostupné zde: </w:t>
      </w:r>
      <w:r w:rsidRPr="00495376">
        <w:t>https://www.ecb.europa.eu/paym/coll/assets/html/index.</w:t>
      </w:r>
      <w:proofErr w:type="gramStart"/>
      <w:r w:rsidRPr="00495376">
        <w:t>en</w:t>
      </w:r>
      <w:proofErr w:type="gramEnd"/>
      <w:r w:rsidRPr="00495376">
        <w:t>.</w:t>
      </w:r>
      <w:proofErr w:type="gramStart"/>
      <w:r w:rsidRPr="00495376">
        <w:t>html</w:t>
      </w:r>
      <w:proofErr w:type="gramEnd"/>
      <w:r>
        <w:t>.</w:t>
      </w:r>
    </w:p>
  </w:footnote>
  <w:footnote w:id="16">
    <w:p w:rsidR="00463B21" w:rsidRDefault="00463B21" w:rsidP="0032720A">
      <w:pPr>
        <w:pStyle w:val="Textpoznpodarou"/>
        <w:jc w:val="both"/>
      </w:pPr>
      <w:r>
        <w:rPr>
          <w:rStyle w:val="Znakapoznpodarou"/>
        </w:rPr>
        <w:footnoteRef/>
      </w:r>
      <w:r>
        <w:t xml:space="preserve"> Někteří dokonce uvádí, že jej lze považovat za</w:t>
      </w:r>
      <w:r w:rsidR="002C77C3">
        <w:t xml:space="preserve"> instituci „nadnárodní“ povahy; srov. </w:t>
      </w:r>
      <w:r>
        <w:t xml:space="preserve">např. DĚDEK, 2015, op. </w:t>
      </w:r>
      <w:proofErr w:type="gramStart"/>
      <w:r>
        <w:t>cit</w:t>
      </w:r>
      <w:proofErr w:type="gramEnd"/>
      <w:r>
        <w:t>.</w:t>
      </w:r>
    </w:p>
  </w:footnote>
  <w:footnote w:id="17">
    <w:p w:rsidR="00D41B34" w:rsidRDefault="00B67481" w:rsidP="0032720A">
      <w:pPr>
        <w:pStyle w:val="Textpoznpodarou"/>
        <w:jc w:val="both"/>
      </w:pPr>
      <w:r>
        <w:rPr>
          <w:rStyle w:val="Znakapoznpodarou"/>
        </w:rPr>
        <w:footnoteRef/>
      </w:r>
      <w:r>
        <w:t xml:space="preserve"> Srov. např. </w:t>
      </w:r>
      <w:r w:rsidRPr="00D41B34">
        <w:rPr>
          <w:i/>
        </w:rPr>
        <w:t>Výstupy jednání Evropské rady z </w:t>
      </w:r>
      <w:proofErr w:type="gramStart"/>
      <w:r w:rsidRPr="00D41B34">
        <w:rPr>
          <w:i/>
        </w:rPr>
        <w:t>16.-17</w:t>
      </w:r>
      <w:proofErr w:type="gramEnd"/>
      <w:r w:rsidRPr="00D41B34">
        <w:rPr>
          <w:i/>
        </w:rPr>
        <w:t>. prosince 2010</w:t>
      </w:r>
      <w:r>
        <w:t xml:space="preserve">, EUCO 30/1/10, </w:t>
      </w:r>
      <w:proofErr w:type="spellStart"/>
      <w:r>
        <w:t>rev</w:t>
      </w:r>
      <w:proofErr w:type="spellEnd"/>
      <w:r>
        <w:t xml:space="preserve"> 1. Dostupné zde: </w:t>
      </w:r>
    </w:p>
    <w:p w:rsidR="00B67481" w:rsidRDefault="00B67481" w:rsidP="0032720A">
      <w:pPr>
        <w:pStyle w:val="Textpoznpodarou"/>
        <w:jc w:val="both"/>
      </w:pPr>
      <w:r w:rsidRPr="00B67481">
        <w:t>https://www.consilium.europa.eu/uedocs/cms_data/docs/pressdata/en/ec/118578.pdf</w:t>
      </w:r>
      <w:r>
        <w:t xml:space="preserve">.  </w:t>
      </w:r>
    </w:p>
  </w:footnote>
  <w:footnote w:id="18">
    <w:p w:rsidR="002C61D7" w:rsidRDefault="002C61D7" w:rsidP="0032720A">
      <w:pPr>
        <w:pStyle w:val="Textpoznpodarou"/>
        <w:jc w:val="both"/>
      </w:pPr>
      <w:r>
        <w:rPr>
          <w:rStyle w:val="Znakapoznpodarou"/>
        </w:rPr>
        <w:footnoteRef/>
      </w:r>
      <w:r>
        <w:t xml:space="preserve"> S drobnými odchylkami.</w:t>
      </w:r>
    </w:p>
  </w:footnote>
  <w:footnote w:id="19">
    <w:p w:rsidR="00BE7619" w:rsidRDefault="00BE7619" w:rsidP="0032720A">
      <w:pPr>
        <w:pStyle w:val="Textpoznpodarou"/>
        <w:jc w:val="both"/>
      </w:pPr>
      <w:r>
        <w:rPr>
          <w:rStyle w:val="Znakapoznpodarou"/>
        </w:rPr>
        <w:footnoteRef/>
      </w:r>
      <w:r>
        <w:t xml:space="preserve"> Srov. čl. 32 smlouvy o ESM.</w:t>
      </w:r>
    </w:p>
  </w:footnote>
  <w:footnote w:id="20">
    <w:p w:rsidR="00AE60D7" w:rsidRDefault="00AE60D7" w:rsidP="0032720A">
      <w:pPr>
        <w:pStyle w:val="Textpoznpodarou"/>
        <w:jc w:val="both"/>
      </w:pPr>
      <w:r>
        <w:rPr>
          <w:rStyle w:val="Znakapoznpodarou"/>
        </w:rPr>
        <w:footnoteRef/>
      </w:r>
      <w:r>
        <w:t xml:space="preserve"> U EMF je vycházeno z návrhu nařízení o zřízení EMF a jeho statutu</w:t>
      </w:r>
      <w:r w:rsidR="004F66E4">
        <w:t>; je zřejmé, že návrh ještě může být upraven, nicméně zřejmě nebude měněn ve vztahu ke zkoumaným kritériím.</w:t>
      </w:r>
    </w:p>
  </w:footnote>
  <w:footnote w:id="21">
    <w:p w:rsidR="004F66E4" w:rsidRDefault="004F66E4" w:rsidP="0032720A">
      <w:pPr>
        <w:pStyle w:val="Textpoznpodarou"/>
        <w:jc w:val="both"/>
      </w:pPr>
      <w:r>
        <w:rPr>
          <w:rStyle w:val="Znakapoznpodarou"/>
        </w:rPr>
        <w:footnoteRef/>
      </w:r>
      <w:r>
        <w:t xml:space="preserve"> Někteří jej považují za </w:t>
      </w:r>
      <w:proofErr w:type="spellStart"/>
      <w:r>
        <w:t>subjek</w:t>
      </w:r>
      <w:proofErr w:type="spellEnd"/>
      <w:r>
        <w:t xml:space="preserve"> nadnárodního práva – viz výše.</w:t>
      </w:r>
    </w:p>
  </w:footnote>
  <w:footnote w:id="22">
    <w:p w:rsidR="00315563" w:rsidRDefault="00315563" w:rsidP="0032720A">
      <w:pPr>
        <w:pStyle w:val="Textpoznpodarou"/>
        <w:jc w:val="both"/>
      </w:pPr>
      <w:r>
        <w:rPr>
          <w:rStyle w:val="Znakapoznpodarou"/>
        </w:rPr>
        <w:footnoteRef/>
      </w:r>
      <w:r>
        <w:t xml:space="preserve"> Srov. např. zde: </w:t>
      </w:r>
      <w:r w:rsidRPr="00315563">
        <w:rPr>
          <w:i/>
        </w:rPr>
        <w:t>Evropský měnový fond</w:t>
      </w:r>
      <w:r>
        <w:t xml:space="preserve">. ČNB web, rozhovor z 27. 5. 2010. Dostupné zde: </w:t>
      </w:r>
      <w:r w:rsidRPr="00315563">
        <w:t>https://www.cnb.cz/cs/verejnost/pro_media/clanky_rozhovory/media_2010/cl_10_100527.html</w:t>
      </w:r>
      <w:r>
        <w:t xml:space="preserve"> či zde: </w:t>
      </w:r>
      <w:proofErr w:type="spellStart"/>
      <w:r w:rsidRPr="009C2A51">
        <w:rPr>
          <w:i/>
        </w:rPr>
        <w:t>Proposal</w:t>
      </w:r>
      <w:proofErr w:type="spellEnd"/>
      <w:r w:rsidRPr="009C2A51">
        <w:rPr>
          <w:i/>
        </w:rPr>
        <w:t xml:space="preserve"> </w:t>
      </w:r>
      <w:proofErr w:type="spellStart"/>
      <w:r w:rsidRPr="009C2A51">
        <w:rPr>
          <w:i/>
        </w:rPr>
        <w:t>for</w:t>
      </w:r>
      <w:proofErr w:type="spellEnd"/>
      <w:r w:rsidRPr="009C2A51">
        <w:rPr>
          <w:i/>
        </w:rPr>
        <w:t xml:space="preserve"> </w:t>
      </w:r>
      <w:proofErr w:type="spellStart"/>
      <w:r w:rsidRPr="009C2A51">
        <w:rPr>
          <w:i/>
        </w:rPr>
        <w:t>the</w:t>
      </w:r>
      <w:proofErr w:type="spellEnd"/>
      <w:r w:rsidRPr="009C2A51">
        <w:rPr>
          <w:i/>
        </w:rPr>
        <w:t xml:space="preserve"> </w:t>
      </w:r>
      <w:proofErr w:type="spellStart"/>
      <w:r w:rsidRPr="009C2A51">
        <w:rPr>
          <w:i/>
        </w:rPr>
        <w:t>European</w:t>
      </w:r>
      <w:proofErr w:type="spellEnd"/>
      <w:r w:rsidRPr="009C2A51">
        <w:rPr>
          <w:i/>
        </w:rPr>
        <w:t xml:space="preserve"> </w:t>
      </w:r>
      <w:proofErr w:type="spellStart"/>
      <w:r w:rsidRPr="009C2A51">
        <w:rPr>
          <w:i/>
        </w:rPr>
        <w:t>Monetary</w:t>
      </w:r>
      <w:proofErr w:type="spellEnd"/>
      <w:r w:rsidRPr="009C2A51">
        <w:rPr>
          <w:i/>
        </w:rPr>
        <w:t xml:space="preserve"> </w:t>
      </w:r>
      <w:proofErr w:type="spellStart"/>
      <w:r w:rsidRPr="009C2A51">
        <w:rPr>
          <w:i/>
        </w:rPr>
        <w:t>Fund</w:t>
      </w:r>
      <w:proofErr w:type="spellEnd"/>
      <w:r w:rsidRPr="009C2A51">
        <w:rPr>
          <w:i/>
        </w:rPr>
        <w:t xml:space="preserve"> </w:t>
      </w:r>
      <w:proofErr w:type="spellStart"/>
      <w:r w:rsidRPr="009C2A51">
        <w:rPr>
          <w:i/>
        </w:rPr>
        <w:t>Wins</w:t>
      </w:r>
      <w:proofErr w:type="spellEnd"/>
      <w:r w:rsidRPr="009C2A51">
        <w:rPr>
          <w:i/>
        </w:rPr>
        <w:t xml:space="preserve"> EU Support</w:t>
      </w:r>
      <w:r>
        <w:t xml:space="preserve">. </w:t>
      </w:r>
      <w:proofErr w:type="spellStart"/>
      <w:r>
        <w:t>Spiegel</w:t>
      </w:r>
      <w:proofErr w:type="spellEnd"/>
      <w:r>
        <w:t xml:space="preserve"> online, článek z 8. 3. 2010. Dostupné zde: </w:t>
      </w:r>
      <w:r w:rsidRPr="00315563">
        <w:t>http://www.spiegel.de/international/europe/greek-debt-crisis-proposal-for-european-monetary-fund-wins-eu-support-a-682296.html</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C2195"/>
    <w:multiLevelType w:val="multilevel"/>
    <w:tmpl w:val="DAFA213C"/>
    <w:lvl w:ilvl="0">
      <w:start w:val="1"/>
      <w:numFmt w:val="none"/>
      <w:pStyle w:val="NzevPspvku"/>
      <w:suff w:val="space"/>
      <w:lvlText w:val="%1"/>
      <w:lvlJc w:val="center"/>
      <w:pPr>
        <w:ind w:left="0" w:firstLine="0"/>
      </w:pPr>
      <w:rPr>
        <w:rFonts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suff w:val="space"/>
      <w:lvlText w:val="%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88F062F"/>
    <w:multiLevelType w:val="multilevel"/>
    <w:tmpl w:val="5462B154"/>
    <w:lvl w:ilvl="0">
      <w:start w:val="1"/>
      <w:numFmt w:val="decimal"/>
      <w:pStyle w:val="Nadpis1"/>
      <w:lvlText w:val="%1"/>
      <w:lvlJc w:val="left"/>
      <w:pPr>
        <w:tabs>
          <w:tab w:val="num" w:pos="855"/>
        </w:tabs>
        <w:ind w:left="855" w:hanging="855"/>
      </w:pPr>
      <w:rPr>
        <w:rFonts w:hint="default"/>
      </w:rPr>
    </w:lvl>
    <w:lvl w:ilvl="1">
      <w:start w:val="1"/>
      <w:numFmt w:val="decimal"/>
      <w:pStyle w:val="Nadpis2"/>
      <w:lvlText w:val="%1.%2"/>
      <w:lvlJc w:val="left"/>
      <w:pPr>
        <w:tabs>
          <w:tab w:val="num" w:pos="855"/>
        </w:tabs>
        <w:ind w:left="855" w:hanging="855"/>
      </w:pPr>
      <w:rPr>
        <w:rFonts w:hint="default"/>
      </w:rPr>
    </w:lvl>
    <w:lvl w:ilvl="2">
      <w:start w:val="1"/>
      <w:numFmt w:val="decimal"/>
      <w:pStyle w:val="Nadpis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707E5302"/>
    <w:multiLevelType w:val="singleLevel"/>
    <w:tmpl w:val="DCF677BC"/>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stylePaneFormatFilter w:val="3F01"/>
  <w:defaultTabStop w:val="708"/>
  <w:hyphenationZone w:val="425"/>
  <w:noPunctuationKerning/>
  <w:characterSpacingControl w:val="doNotCompress"/>
  <w:footnotePr>
    <w:footnote w:id="-1"/>
    <w:footnote w:id="0"/>
  </w:footnotePr>
  <w:endnotePr>
    <w:numFmt w:val="decimal"/>
    <w:numStart w:val="2"/>
    <w:endnote w:id="-1"/>
    <w:endnote w:id="0"/>
  </w:endnotePr>
  <w:compat/>
  <w:rsids>
    <w:rsidRoot w:val="008E350E"/>
    <w:rsid w:val="00025DD4"/>
    <w:rsid w:val="000308D7"/>
    <w:rsid w:val="00041749"/>
    <w:rsid w:val="000539D4"/>
    <w:rsid w:val="00071DDB"/>
    <w:rsid w:val="0008627A"/>
    <w:rsid w:val="000A2454"/>
    <w:rsid w:val="000B02A8"/>
    <w:rsid w:val="000C6202"/>
    <w:rsid w:val="000D0819"/>
    <w:rsid w:val="000D1D93"/>
    <w:rsid w:val="000D5CBB"/>
    <w:rsid w:val="000E1325"/>
    <w:rsid w:val="0013603B"/>
    <w:rsid w:val="00143785"/>
    <w:rsid w:val="00145977"/>
    <w:rsid w:val="00163823"/>
    <w:rsid w:val="00164120"/>
    <w:rsid w:val="00165084"/>
    <w:rsid w:val="00175766"/>
    <w:rsid w:val="00175777"/>
    <w:rsid w:val="00183E04"/>
    <w:rsid w:val="00187904"/>
    <w:rsid w:val="001A1A8C"/>
    <w:rsid w:val="001A5B2E"/>
    <w:rsid w:val="001B4686"/>
    <w:rsid w:val="001C515D"/>
    <w:rsid w:val="001E6B1B"/>
    <w:rsid w:val="002217E7"/>
    <w:rsid w:val="00222A6C"/>
    <w:rsid w:val="00222F06"/>
    <w:rsid w:val="002331ED"/>
    <w:rsid w:val="00235BDC"/>
    <w:rsid w:val="00240B28"/>
    <w:rsid w:val="00254B55"/>
    <w:rsid w:val="00275995"/>
    <w:rsid w:val="00285F66"/>
    <w:rsid w:val="002A1397"/>
    <w:rsid w:val="002A1AD8"/>
    <w:rsid w:val="002B46CC"/>
    <w:rsid w:val="002C2B8C"/>
    <w:rsid w:val="002C61D7"/>
    <w:rsid w:val="002C77C3"/>
    <w:rsid w:val="002D7086"/>
    <w:rsid w:val="002E6C1A"/>
    <w:rsid w:val="002F1CF2"/>
    <w:rsid w:val="00310583"/>
    <w:rsid w:val="00315563"/>
    <w:rsid w:val="0032720A"/>
    <w:rsid w:val="00333FDF"/>
    <w:rsid w:val="00342D03"/>
    <w:rsid w:val="00345427"/>
    <w:rsid w:val="00347583"/>
    <w:rsid w:val="00376177"/>
    <w:rsid w:val="00387DA6"/>
    <w:rsid w:val="003A18EB"/>
    <w:rsid w:val="003B0B9E"/>
    <w:rsid w:val="003B6268"/>
    <w:rsid w:val="003E1D0E"/>
    <w:rsid w:val="003F4D70"/>
    <w:rsid w:val="0040484D"/>
    <w:rsid w:val="00415D3C"/>
    <w:rsid w:val="004244A0"/>
    <w:rsid w:val="00434479"/>
    <w:rsid w:val="00444EC0"/>
    <w:rsid w:val="00454B6B"/>
    <w:rsid w:val="00462E1E"/>
    <w:rsid w:val="00463B21"/>
    <w:rsid w:val="0047691E"/>
    <w:rsid w:val="00487784"/>
    <w:rsid w:val="00492068"/>
    <w:rsid w:val="00495376"/>
    <w:rsid w:val="0049698F"/>
    <w:rsid w:val="00496ABD"/>
    <w:rsid w:val="004971E0"/>
    <w:rsid w:val="004A0061"/>
    <w:rsid w:val="004C3D7E"/>
    <w:rsid w:val="004C7636"/>
    <w:rsid w:val="004C7C05"/>
    <w:rsid w:val="004F21E4"/>
    <w:rsid w:val="004F66E4"/>
    <w:rsid w:val="00501F47"/>
    <w:rsid w:val="0052155F"/>
    <w:rsid w:val="0054152A"/>
    <w:rsid w:val="00541730"/>
    <w:rsid w:val="0054412A"/>
    <w:rsid w:val="005714C4"/>
    <w:rsid w:val="00581E1B"/>
    <w:rsid w:val="00596D0A"/>
    <w:rsid w:val="005A04EE"/>
    <w:rsid w:val="005A1823"/>
    <w:rsid w:val="005A1FF9"/>
    <w:rsid w:val="005A3E63"/>
    <w:rsid w:val="005A6885"/>
    <w:rsid w:val="005B5BD3"/>
    <w:rsid w:val="005C2CBF"/>
    <w:rsid w:val="005C5E47"/>
    <w:rsid w:val="005E331F"/>
    <w:rsid w:val="005F30AA"/>
    <w:rsid w:val="006026E2"/>
    <w:rsid w:val="006163C6"/>
    <w:rsid w:val="00621B7D"/>
    <w:rsid w:val="00636C87"/>
    <w:rsid w:val="0064665B"/>
    <w:rsid w:val="006528C3"/>
    <w:rsid w:val="006775E7"/>
    <w:rsid w:val="006A0EA0"/>
    <w:rsid w:val="006B47FC"/>
    <w:rsid w:val="006C7FAD"/>
    <w:rsid w:val="006D7ADB"/>
    <w:rsid w:val="006E4769"/>
    <w:rsid w:val="006F1C5C"/>
    <w:rsid w:val="00701331"/>
    <w:rsid w:val="007302CD"/>
    <w:rsid w:val="00743C7F"/>
    <w:rsid w:val="00747D4E"/>
    <w:rsid w:val="00751881"/>
    <w:rsid w:val="0075606D"/>
    <w:rsid w:val="00756D2E"/>
    <w:rsid w:val="00772180"/>
    <w:rsid w:val="00776FB2"/>
    <w:rsid w:val="0078312F"/>
    <w:rsid w:val="00786A54"/>
    <w:rsid w:val="007A5ED7"/>
    <w:rsid w:val="007B6EDF"/>
    <w:rsid w:val="007C498E"/>
    <w:rsid w:val="007C5152"/>
    <w:rsid w:val="007D10B2"/>
    <w:rsid w:val="007D56D1"/>
    <w:rsid w:val="007E21A4"/>
    <w:rsid w:val="00816C7E"/>
    <w:rsid w:val="00824231"/>
    <w:rsid w:val="00830B6A"/>
    <w:rsid w:val="00833E3F"/>
    <w:rsid w:val="0085006A"/>
    <w:rsid w:val="0086098B"/>
    <w:rsid w:val="00862794"/>
    <w:rsid w:val="008663E3"/>
    <w:rsid w:val="008708B3"/>
    <w:rsid w:val="00876C12"/>
    <w:rsid w:val="008804E2"/>
    <w:rsid w:val="008822AB"/>
    <w:rsid w:val="008B24C8"/>
    <w:rsid w:val="008C0CF9"/>
    <w:rsid w:val="008C44E4"/>
    <w:rsid w:val="008D16E3"/>
    <w:rsid w:val="008E350E"/>
    <w:rsid w:val="009124D6"/>
    <w:rsid w:val="00922839"/>
    <w:rsid w:val="009230EB"/>
    <w:rsid w:val="00926ADF"/>
    <w:rsid w:val="009717F2"/>
    <w:rsid w:val="009829CB"/>
    <w:rsid w:val="00984F17"/>
    <w:rsid w:val="009A063D"/>
    <w:rsid w:val="009B0FD4"/>
    <w:rsid w:val="009B166C"/>
    <w:rsid w:val="009C2A51"/>
    <w:rsid w:val="009D4F03"/>
    <w:rsid w:val="009F0A83"/>
    <w:rsid w:val="00A04FDF"/>
    <w:rsid w:val="00A054B1"/>
    <w:rsid w:val="00A0733F"/>
    <w:rsid w:val="00A21E43"/>
    <w:rsid w:val="00A55FDF"/>
    <w:rsid w:val="00A607BA"/>
    <w:rsid w:val="00A71159"/>
    <w:rsid w:val="00A74217"/>
    <w:rsid w:val="00A91F23"/>
    <w:rsid w:val="00AB5C5F"/>
    <w:rsid w:val="00AD0B50"/>
    <w:rsid w:val="00AD3BCB"/>
    <w:rsid w:val="00AE5388"/>
    <w:rsid w:val="00AE60D7"/>
    <w:rsid w:val="00AE7C2E"/>
    <w:rsid w:val="00AF1448"/>
    <w:rsid w:val="00B67481"/>
    <w:rsid w:val="00B7302E"/>
    <w:rsid w:val="00B7648D"/>
    <w:rsid w:val="00B954D3"/>
    <w:rsid w:val="00BA717E"/>
    <w:rsid w:val="00BB659F"/>
    <w:rsid w:val="00BD00A7"/>
    <w:rsid w:val="00BD1604"/>
    <w:rsid w:val="00BE7619"/>
    <w:rsid w:val="00BF0865"/>
    <w:rsid w:val="00C00DAE"/>
    <w:rsid w:val="00C30C29"/>
    <w:rsid w:val="00C76984"/>
    <w:rsid w:val="00C77BD0"/>
    <w:rsid w:val="00C8129A"/>
    <w:rsid w:val="00C86F5A"/>
    <w:rsid w:val="00C8701C"/>
    <w:rsid w:val="00CA23B1"/>
    <w:rsid w:val="00CA3B13"/>
    <w:rsid w:val="00CE49D7"/>
    <w:rsid w:val="00CE666A"/>
    <w:rsid w:val="00D20493"/>
    <w:rsid w:val="00D26C6B"/>
    <w:rsid w:val="00D41B34"/>
    <w:rsid w:val="00D545A0"/>
    <w:rsid w:val="00D56841"/>
    <w:rsid w:val="00D65F40"/>
    <w:rsid w:val="00D84F58"/>
    <w:rsid w:val="00D90099"/>
    <w:rsid w:val="00DA1F83"/>
    <w:rsid w:val="00DA39CE"/>
    <w:rsid w:val="00DB42D2"/>
    <w:rsid w:val="00DB5658"/>
    <w:rsid w:val="00E03DCA"/>
    <w:rsid w:val="00E0432C"/>
    <w:rsid w:val="00E04EC9"/>
    <w:rsid w:val="00E223BC"/>
    <w:rsid w:val="00E40B97"/>
    <w:rsid w:val="00E412B2"/>
    <w:rsid w:val="00E7181F"/>
    <w:rsid w:val="00EA2348"/>
    <w:rsid w:val="00EF13FB"/>
    <w:rsid w:val="00F10F23"/>
    <w:rsid w:val="00F51547"/>
    <w:rsid w:val="00F67713"/>
    <w:rsid w:val="00F870F1"/>
    <w:rsid w:val="00FB2BB4"/>
    <w:rsid w:val="00FC19C6"/>
    <w:rsid w:val="00FC402C"/>
    <w:rsid w:val="00FE33B4"/>
    <w:rsid w:val="00FE3B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next w:val="Normln"/>
    <w:qFormat/>
    <w:rsid w:val="0047691E"/>
    <w:pPr>
      <w:keepNext/>
      <w:numPr>
        <w:numId w:val="2"/>
      </w:numPr>
      <w:tabs>
        <w:tab w:val="clear" w:pos="855"/>
      </w:tabs>
      <w:spacing w:before="240" w:after="240"/>
      <w:ind w:left="567" w:hanging="567"/>
      <w:outlineLvl w:val="0"/>
    </w:pPr>
    <w:rPr>
      <w:b/>
      <w:caps/>
      <w:noProof/>
      <w:sz w:val="24"/>
      <w:lang w:val="en-US" w:eastAsia="en-US"/>
    </w:rPr>
  </w:style>
  <w:style w:type="paragraph" w:styleId="Nadpis2">
    <w:name w:val="heading 2"/>
    <w:basedOn w:val="Normln"/>
    <w:next w:val="Normln"/>
    <w:qFormat/>
    <w:rsid w:val="0047691E"/>
    <w:pPr>
      <w:keepNext/>
      <w:numPr>
        <w:ilvl w:val="1"/>
        <w:numId w:val="2"/>
      </w:numPr>
      <w:tabs>
        <w:tab w:val="clear" w:pos="855"/>
      </w:tabs>
      <w:spacing w:after="240"/>
      <w:ind w:left="567" w:hanging="567"/>
      <w:jc w:val="both"/>
      <w:outlineLvl w:val="1"/>
    </w:pPr>
    <w:rPr>
      <w:b/>
      <w:szCs w:val="20"/>
      <w:lang w:val="en-GB" w:eastAsia="en-US"/>
    </w:rPr>
  </w:style>
  <w:style w:type="paragraph" w:styleId="Nadpis3">
    <w:name w:val="heading 3"/>
    <w:basedOn w:val="Normln"/>
    <w:next w:val="Normln"/>
    <w:qFormat/>
    <w:rsid w:val="0047691E"/>
    <w:pPr>
      <w:keepNext/>
      <w:numPr>
        <w:ilvl w:val="2"/>
        <w:numId w:val="2"/>
      </w:numPr>
      <w:tabs>
        <w:tab w:val="clear" w:pos="855"/>
      </w:tabs>
      <w:spacing w:after="240"/>
      <w:ind w:left="567" w:hanging="567"/>
      <w:jc w:val="both"/>
      <w:outlineLvl w:val="2"/>
    </w:pPr>
    <w:rPr>
      <w:szCs w:val="20"/>
      <w:lang w:val="en-GB"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zevPspvku">
    <w:name w:val="Název Příspěvku"/>
    <w:basedOn w:val="Normln"/>
    <w:semiHidden/>
    <w:locked/>
    <w:rsid w:val="008E350E"/>
    <w:pPr>
      <w:keepNext/>
      <w:pageBreakBefore/>
      <w:numPr>
        <w:numId w:val="1"/>
      </w:numPr>
      <w:spacing w:after="240"/>
      <w:jc w:val="center"/>
      <w:outlineLvl w:val="0"/>
    </w:pPr>
    <w:rPr>
      <w:b/>
      <w:caps/>
      <w:sz w:val="28"/>
    </w:rPr>
  </w:style>
  <w:style w:type="paragraph" w:customStyle="1" w:styleId="Jmnoapijmen">
    <w:name w:val="Jméno a přijmení"/>
    <w:basedOn w:val="Normln"/>
    <w:semiHidden/>
    <w:locked/>
    <w:rsid w:val="008E350E"/>
    <w:pPr>
      <w:keepNext/>
      <w:spacing w:after="240"/>
      <w:jc w:val="center"/>
    </w:pPr>
    <w:rPr>
      <w:caps/>
    </w:rPr>
  </w:style>
  <w:style w:type="paragraph" w:customStyle="1" w:styleId="Fakulta">
    <w:name w:val="Fakulta"/>
    <w:basedOn w:val="Normln"/>
    <w:semiHidden/>
    <w:locked/>
    <w:rsid w:val="008E350E"/>
    <w:pPr>
      <w:spacing w:after="480"/>
      <w:jc w:val="center"/>
    </w:pPr>
  </w:style>
  <w:style w:type="paragraph" w:customStyle="1" w:styleId="Dalinformace">
    <w:name w:val="Další informace"/>
    <w:basedOn w:val="Normln"/>
    <w:semiHidden/>
    <w:locked/>
    <w:rsid w:val="008E350E"/>
    <w:pPr>
      <w:keepNext/>
    </w:pPr>
    <w:rPr>
      <w:b/>
    </w:rPr>
  </w:style>
  <w:style w:type="paragraph" w:customStyle="1" w:styleId="dajeesky">
    <w:name w:val="Údaje_česky"/>
    <w:basedOn w:val="Normln"/>
    <w:semiHidden/>
    <w:locked/>
    <w:rsid w:val="008E350E"/>
    <w:pPr>
      <w:spacing w:after="240"/>
      <w:jc w:val="both"/>
    </w:pPr>
  </w:style>
  <w:style w:type="paragraph" w:styleId="Zhlav">
    <w:name w:val="header"/>
    <w:basedOn w:val="Normln"/>
    <w:rsid w:val="0047691E"/>
    <w:pPr>
      <w:tabs>
        <w:tab w:val="center" w:pos="4153"/>
        <w:tab w:val="right" w:pos="9072"/>
      </w:tabs>
      <w:ind w:firstLine="567"/>
      <w:jc w:val="both"/>
    </w:pPr>
    <w:rPr>
      <w:sz w:val="18"/>
      <w:szCs w:val="20"/>
      <w:lang w:val="en-US" w:eastAsia="en-US"/>
    </w:rPr>
  </w:style>
  <w:style w:type="paragraph" w:customStyle="1" w:styleId="TableCaption">
    <w:name w:val="Table_Caption"/>
    <w:basedOn w:val="Normln"/>
    <w:rsid w:val="0047691E"/>
    <w:pPr>
      <w:keepNext/>
      <w:spacing w:before="240" w:after="120"/>
      <w:jc w:val="center"/>
    </w:pPr>
    <w:rPr>
      <w:sz w:val="20"/>
      <w:lang w:val="en-GB" w:eastAsia="en-US"/>
    </w:rPr>
  </w:style>
  <w:style w:type="paragraph" w:customStyle="1" w:styleId="FigureCaption">
    <w:name w:val="Figure_Caption"/>
    <w:basedOn w:val="Normln"/>
    <w:rsid w:val="00275995"/>
    <w:pPr>
      <w:spacing w:before="120" w:after="120"/>
      <w:jc w:val="center"/>
    </w:pPr>
    <w:rPr>
      <w:iCs/>
      <w:sz w:val="20"/>
      <w:lang w:val="en-GB" w:eastAsia="en-US"/>
    </w:rPr>
  </w:style>
  <w:style w:type="character" w:customStyle="1" w:styleId="CharChar">
    <w:name w:val=" Char Char"/>
    <w:rsid w:val="00275995"/>
    <w:rPr>
      <w:sz w:val="24"/>
      <w:lang w:val="en-US" w:eastAsia="en-US" w:bidi="ar-SA"/>
    </w:rPr>
  </w:style>
  <w:style w:type="paragraph" w:styleId="Textpoznpodarou">
    <w:name w:val="footnote text"/>
    <w:basedOn w:val="Normln"/>
    <w:link w:val="TextpoznpodarouChar"/>
    <w:uiPriority w:val="99"/>
    <w:semiHidden/>
    <w:rsid w:val="00275995"/>
    <w:rPr>
      <w:sz w:val="20"/>
      <w:szCs w:val="20"/>
    </w:rPr>
  </w:style>
  <w:style w:type="character" w:styleId="Znakapoznpodarou">
    <w:name w:val="footnote reference"/>
    <w:uiPriority w:val="99"/>
    <w:semiHidden/>
    <w:rsid w:val="00275995"/>
    <w:rPr>
      <w:vertAlign w:val="superscript"/>
    </w:rPr>
  </w:style>
  <w:style w:type="paragraph" w:styleId="Textvysvtlivek">
    <w:name w:val="endnote text"/>
    <w:basedOn w:val="Normln"/>
    <w:semiHidden/>
    <w:rsid w:val="00275995"/>
    <w:rPr>
      <w:sz w:val="20"/>
      <w:szCs w:val="20"/>
    </w:rPr>
  </w:style>
  <w:style w:type="character" w:styleId="Odkaznavysvtlivky">
    <w:name w:val="endnote reference"/>
    <w:semiHidden/>
    <w:rsid w:val="00275995"/>
    <w:rPr>
      <w:vertAlign w:val="superscript"/>
    </w:rPr>
  </w:style>
  <w:style w:type="character" w:styleId="Hypertextovodkaz">
    <w:name w:val="Hyperlink"/>
    <w:rsid w:val="002F1CF2"/>
    <w:rPr>
      <w:color w:val="0000FF"/>
      <w:u w:val="single"/>
    </w:rPr>
  </w:style>
  <w:style w:type="character" w:customStyle="1" w:styleId="Nevyrieenzmienka">
    <w:name w:val="Nevyriešená zmienka"/>
    <w:uiPriority w:val="99"/>
    <w:semiHidden/>
    <w:unhideWhenUsed/>
    <w:rsid w:val="00222A6C"/>
    <w:rPr>
      <w:color w:val="808080"/>
      <w:shd w:val="clear" w:color="auto" w:fill="E6E6E6"/>
    </w:rPr>
  </w:style>
  <w:style w:type="character" w:styleId="Odkaznakoment">
    <w:name w:val="annotation reference"/>
    <w:uiPriority w:val="99"/>
    <w:semiHidden/>
    <w:unhideWhenUsed/>
    <w:rsid w:val="00D20493"/>
    <w:rPr>
      <w:sz w:val="16"/>
      <w:szCs w:val="16"/>
    </w:rPr>
  </w:style>
  <w:style w:type="paragraph" w:styleId="Textkomente">
    <w:name w:val="annotation text"/>
    <w:basedOn w:val="Normln"/>
    <w:link w:val="TextkomenteChar"/>
    <w:uiPriority w:val="99"/>
    <w:semiHidden/>
    <w:unhideWhenUsed/>
    <w:rsid w:val="00D20493"/>
    <w:rPr>
      <w:sz w:val="20"/>
      <w:szCs w:val="20"/>
    </w:rPr>
  </w:style>
  <w:style w:type="character" w:customStyle="1" w:styleId="TextkomenteChar">
    <w:name w:val="Text komentáře Char"/>
    <w:link w:val="Textkomente"/>
    <w:uiPriority w:val="99"/>
    <w:semiHidden/>
    <w:rsid w:val="00D20493"/>
    <w:rPr>
      <w:lang w:val="cs-CZ" w:eastAsia="cs-CZ"/>
    </w:rPr>
  </w:style>
  <w:style w:type="paragraph" w:styleId="Pedmtkomente">
    <w:name w:val="annotation subject"/>
    <w:basedOn w:val="Textkomente"/>
    <w:next w:val="Textkomente"/>
    <w:link w:val="PedmtkomenteChar"/>
    <w:uiPriority w:val="99"/>
    <w:semiHidden/>
    <w:unhideWhenUsed/>
    <w:rsid w:val="00D20493"/>
    <w:rPr>
      <w:b/>
      <w:bCs/>
    </w:rPr>
  </w:style>
  <w:style w:type="character" w:customStyle="1" w:styleId="PedmtkomenteChar">
    <w:name w:val="Předmět komentáře Char"/>
    <w:link w:val="Pedmtkomente"/>
    <w:uiPriority w:val="99"/>
    <w:semiHidden/>
    <w:rsid w:val="00D20493"/>
    <w:rPr>
      <w:b/>
      <w:bCs/>
      <w:lang w:val="cs-CZ" w:eastAsia="cs-CZ"/>
    </w:rPr>
  </w:style>
  <w:style w:type="paragraph" w:styleId="Textbubliny">
    <w:name w:val="Balloon Text"/>
    <w:basedOn w:val="Normln"/>
    <w:link w:val="TextbublinyChar"/>
    <w:uiPriority w:val="99"/>
    <w:semiHidden/>
    <w:unhideWhenUsed/>
    <w:rsid w:val="00D20493"/>
    <w:rPr>
      <w:rFonts w:ascii="Segoe UI" w:hAnsi="Segoe UI"/>
      <w:sz w:val="18"/>
      <w:szCs w:val="18"/>
    </w:rPr>
  </w:style>
  <w:style w:type="character" w:customStyle="1" w:styleId="TextbublinyChar">
    <w:name w:val="Text bubliny Char"/>
    <w:link w:val="Textbubliny"/>
    <w:uiPriority w:val="99"/>
    <w:semiHidden/>
    <w:rsid w:val="00D20493"/>
    <w:rPr>
      <w:rFonts w:ascii="Segoe UI" w:hAnsi="Segoe UI" w:cs="Segoe UI"/>
      <w:sz w:val="18"/>
      <w:szCs w:val="18"/>
      <w:lang w:val="cs-CZ" w:eastAsia="cs-CZ"/>
    </w:rPr>
  </w:style>
  <w:style w:type="character" w:customStyle="1" w:styleId="TextpoznpodarouChar">
    <w:name w:val="Text pozn. pod čarou Char"/>
    <w:basedOn w:val="Standardnpsmoodstavce"/>
    <w:link w:val="Textpoznpodarou"/>
    <w:uiPriority w:val="99"/>
    <w:semiHidden/>
    <w:rsid w:val="00347583"/>
  </w:style>
  <w:style w:type="paragraph" w:customStyle="1" w:styleId="normal">
    <w:name w:val="normal"/>
    <w:basedOn w:val="Normln"/>
    <w:rsid w:val="006775E7"/>
    <w:pPr>
      <w:spacing w:before="100" w:beforeAutospacing="1" w:after="100" w:afterAutospacing="1"/>
    </w:pPr>
  </w:style>
  <w:style w:type="paragraph" w:styleId="Normlnweb">
    <w:name w:val="Normal (Web)"/>
    <w:basedOn w:val="Normln"/>
    <w:uiPriority w:val="99"/>
    <w:semiHidden/>
    <w:unhideWhenUsed/>
    <w:rsid w:val="002C61D7"/>
    <w:pPr>
      <w:spacing w:before="100" w:beforeAutospacing="1" w:after="100" w:afterAutospacing="1"/>
    </w:pPr>
  </w:style>
  <w:style w:type="paragraph" w:customStyle="1" w:styleId="doc-ti">
    <w:name w:val="doc-ti"/>
    <w:basedOn w:val="Normln"/>
    <w:rsid w:val="003A18EB"/>
    <w:pPr>
      <w:spacing w:before="100" w:beforeAutospacing="1" w:after="100" w:afterAutospacing="1"/>
    </w:pPr>
  </w:style>
  <w:style w:type="table" w:styleId="Mkatabulky">
    <w:name w:val="Table Grid"/>
    <w:basedOn w:val="Normlntabulka"/>
    <w:uiPriority w:val="59"/>
    <w:rsid w:val="00C86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7061409">
      <w:bodyDiv w:val="1"/>
      <w:marLeft w:val="0"/>
      <w:marRight w:val="0"/>
      <w:marTop w:val="0"/>
      <w:marBottom w:val="0"/>
      <w:divBdr>
        <w:top w:val="none" w:sz="0" w:space="0" w:color="auto"/>
        <w:left w:val="none" w:sz="0" w:space="0" w:color="auto"/>
        <w:bottom w:val="none" w:sz="0" w:space="0" w:color="auto"/>
        <w:right w:val="none" w:sz="0" w:space="0" w:color="auto"/>
      </w:divBdr>
    </w:div>
    <w:div w:id="541984083">
      <w:bodyDiv w:val="1"/>
      <w:marLeft w:val="0"/>
      <w:marRight w:val="0"/>
      <w:marTop w:val="0"/>
      <w:marBottom w:val="0"/>
      <w:divBdr>
        <w:top w:val="none" w:sz="0" w:space="0" w:color="auto"/>
        <w:left w:val="none" w:sz="0" w:space="0" w:color="auto"/>
        <w:bottom w:val="none" w:sz="0" w:space="0" w:color="auto"/>
        <w:right w:val="none" w:sz="0" w:space="0" w:color="auto"/>
      </w:divBdr>
    </w:div>
    <w:div w:id="1314136174">
      <w:bodyDiv w:val="1"/>
      <w:marLeft w:val="0"/>
      <w:marRight w:val="0"/>
      <w:marTop w:val="0"/>
      <w:marBottom w:val="0"/>
      <w:divBdr>
        <w:top w:val="none" w:sz="0" w:space="0" w:color="auto"/>
        <w:left w:val="none" w:sz="0" w:space="0" w:color="auto"/>
        <w:bottom w:val="none" w:sz="0" w:space="0" w:color="auto"/>
        <w:right w:val="none" w:sz="0" w:space="0" w:color="auto"/>
      </w:divBdr>
    </w:div>
    <w:div w:id="170354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8D0B9-62D3-45BF-A8D0-F51EC145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2112</Words>
  <Characters>12464</Characters>
  <Application>Microsoft Office Word</Application>
  <DocSecurity>0</DocSecurity>
  <Lines>103</Lines>
  <Paragraphs>29</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NÁZOV PRÍSPEVKU</vt:lpstr>
      <vt:lpstr>NÁZOV PRÍSPEVKU</vt:lpstr>
      <vt:lpstr>NÁZOV PRÍSPEVKU</vt:lpstr>
    </vt:vector>
  </TitlesOfParts>
  <Company/>
  <LinksUpToDate>false</LinksUpToDate>
  <CharactersWithSpaces>14547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PRÍSPEVKU</dc:title>
  <dc:creator>Maroš Katkovčin</dc:creator>
  <cp:lastModifiedBy>Windows User</cp:lastModifiedBy>
  <cp:revision>6</cp:revision>
  <cp:lastPrinted>2010-09-05T15:46:00Z</cp:lastPrinted>
  <dcterms:created xsi:type="dcterms:W3CDTF">2020-04-05T07:14:00Z</dcterms:created>
  <dcterms:modified xsi:type="dcterms:W3CDTF">2020-04-05T08:11:00Z</dcterms:modified>
</cp:coreProperties>
</file>