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973" w:rsidRDefault="00C11973" w:rsidP="00C11973">
      <w:pPr>
        <w:pStyle w:val="Nadpis1"/>
      </w:pPr>
      <w:r w:rsidRPr="00C11973">
        <w:t>Přechod</w:t>
      </w:r>
      <w:r>
        <w:t>y k demokracii</w:t>
      </w:r>
    </w:p>
    <w:p w:rsidR="00553B09" w:rsidRDefault="00CB17C5" w:rsidP="00C11973">
      <w:pPr>
        <w:jc w:val="center"/>
      </w:pPr>
      <w:r>
        <w:t>22</w:t>
      </w:r>
      <w:r w:rsidR="00C11973" w:rsidRPr="00C11973">
        <w:t>.</w:t>
      </w:r>
      <w:r w:rsidR="00C11973">
        <w:t xml:space="preserve"> </w:t>
      </w:r>
      <w:r>
        <w:t>4</w:t>
      </w:r>
      <w:r w:rsidR="00C11973" w:rsidRPr="00C11973">
        <w:t>.</w:t>
      </w:r>
      <w:r w:rsidR="00C11973">
        <w:t xml:space="preserve"> </w:t>
      </w:r>
      <w:r w:rsidR="00C11973" w:rsidRPr="00C11973">
        <w:t>20</w:t>
      </w:r>
      <w:r>
        <w:t>20</w:t>
      </w:r>
    </w:p>
    <w:p w:rsidR="005B53D1" w:rsidRDefault="005B53D1" w:rsidP="004418B4"/>
    <w:p w:rsidR="005B53D1" w:rsidRDefault="005B53D1" w:rsidP="005B53D1">
      <w:r>
        <w:t xml:space="preserve">Téma: Přechody k demokracii: celý obor politologie: </w:t>
      </w:r>
      <w:proofErr w:type="spellStart"/>
      <w:r>
        <w:t>tranzitologie</w:t>
      </w:r>
      <w:proofErr w:type="spellEnd"/>
      <w:r>
        <w:t>, čili nauka o přechodech mezi režimy</w:t>
      </w:r>
    </w:p>
    <w:p w:rsidR="005B53D1" w:rsidRDefault="005B53D1" w:rsidP="004418B4"/>
    <w:p w:rsidR="004418B4" w:rsidRPr="001B3AC1" w:rsidRDefault="004418B4" w:rsidP="004418B4">
      <w:pPr>
        <w:rPr>
          <w:b/>
        </w:rPr>
      </w:pPr>
      <w:r w:rsidRPr="001B3AC1">
        <w:rPr>
          <w:b/>
        </w:rPr>
        <w:t xml:space="preserve">Francis </w:t>
      </w:r>
      <w:proofErr w:type="spellStart"/>
      <w:r w:rsidRPr="001B3AC1">
        <w:rPr>
          <w:b/>
        </w:rPr>
        <w:t>Fukuyama</w:t>
      </w:r>
      <w:proofErr w:type="spellEnd"/>
      <w:r w:rsidRPr="001B3AC1">
        <w:rPr>
          <w:b/>
        </w:rPr>
        <w:t>:</w:t>
      </w:r>
    </w:p>
    <w:p w:rsidR="00CB17C5" w:rsidRDefault="004418B4" w:rsidP="004418B4">
      <w:pPr>
        <w:numPr>
          <w:ilvl w:val="0"/>
          <w:numId w:val="5"/>
        </w:numPr>
      </w:pPr>
      <w:r>
        <w:t xml:space="preserve">Po pádu </w:t>
      </w:r>
      <w:r w:rsidR="00CB17C5">
        <w:t>komunismu a konci studené války vydal článek</w:t>
      </w:r>
      <w:r>
        <w:t xml:space="preserve"> </w:t>
      </w:r>
      <w:r w:rsidR="00346305">
        <w:t>„</w:t>
      </w:r>
      <w:r>
        <w:t>Konec historie?</w:t>
      </w:r>
      <w:r w:rsidR="00346305">
        <w:t>“</w:t>
      </w:r>
      <w:r>
        <w:t xml:space="preserve"> </w:t>
      </w:r>
    </w:p>
    <w:p w:rsidR="004418B4" w:rsidRDefault="00B421CE" w:rsidP="004418B4">
      <w:pPr>
        <w:numPr>
          <w:ilvl w:val="0"/>
          <w:numId w:val="5"/>
        </w:numPr>
      </w:pPr>
      <w:r>
        <w:t>Demokracie jako společenský řád zvítězila a stala se univerzální lidskou hodnotou, která se dřív či později rozšíří po celé planetě</w:t>
      </w:r>
      <w:r w:rsidR="00CB17C5">
        <w:t>.</w:t>
      </w:r>
    </w:p>
    <w:p w:rsidR="0085075C" w:rsidRDefault="00B421CE" w:rsidP="004418B4">
      <w:pPr>
        <w:numPr>
          <w:ilvl w:val="0"/>
          <w:numId w:val="5"/>
        </w:numPr>
      </w:pPr>
      <w:r>
        <w:t xml:space="preserve">Konec dějin? 1989 – pádem komunismu (první náznaky už v pádu </w:t>
      </w:r>
      <w:r w:rsidR="00CB17C5">
        <w:t xml:space="preserve">diktátorů </w:t>
      </w:r>
      <w:proofErr w:type="spellStart"/>
      <w:r>
        <w:t>Salazara</w:t>
      </w:r>
      <w:proofErr w:type="spellEnd"/>
      <w:r>
        <w:t xml:space="preserve"> a Franca), rozpadem východního blok</w:t>
      </w:r>
      <w:r w:rsidR="00346305">
        <w:t xml:space="preserve">u nastupuje nová </w:t>
      </w:r>
      <w:proofErr w:type="spellStart"/>
      <w:r w:rsidR="00346305">
        <w:t>bezdějinná</w:t>
      </w:r>
      <w:proofErr w:type="spellEnd"/>
      <w:r w:rsidR="00346305">
        <w:t xml:space="preserve"> éra</w:t>
      </w:r>
      <w:r>
        <w:t xml:space="preserve"> směřování k liberální demokracii jako ideálnímu modelu (vláda lidu + lidská práva)</w:t>
      </w:r>
      <w:r w:rsidR="0085075C">
        <w:t>, jiné modely se vyčerpaly ideově i ekonomicky</w:t>
      </w:r>
      <w:r w:rsidR="00CB17C5">
        <w:t>.</w:t>
      </w:r>
    </w:p>
    <w:p w:rsidR="004031BA" w:rsidRDefault="00346305" w:rsidP="004418B4">
      <w:pPr>
        <w:numPr>
          <w:ilvl w:val="0"/>
          <w:numId w:val="5"/>
        </w:numPr>
      </w:pPr>
      <w:r>
        <w:t>Přijímá</w:t>
      </w:r>
      <w:r w:rsidR="00CB17C5">
        <w:t xml:space="preserve"> </w:t>
      </w:r>
      <w:r w:rsidR="00B421CE">
        <w:t xml:space="preserve">lineární vývoj dějin, inspirován Kantem a </w:t>
      </w:r>
      <w:proofErr w:type="spellStart"/>
      <w:r w:rsidR="00B421CE">
        <w:t>Hegelem</w:t>
      </w:r>
      <w:proofErr w:type="spellEnd"/>
      <w:r w:rsidR="00B421CE">
        <w:t xml:space="preserve"> (od roku 1800 už není jiné cesty než k modernímu liberálnímu státu)</w:t>
      </w:r>
      <w:r w:rsidR="0085075C">
        <w:t xml:space="preserve">, </w:t>
      </w:r>
      <w:r w:rsidR="004031BA">
        <w:t xml:space="preserve">používá ho i K. R. </w:t>
      </w:r>
      <w:proofErr w:type="spellStart"/>
      <w:r w:rsidR="004031BA">
        <w:t>Popper</w:t>
      </w:r>
      <w:proofErr w:type="spellEnd"/>
      <w:r w:rsidR="00CB17C5">
        <w:t>.</w:t>
      </w:r>
    </w:p>
    <w:p w:rsidR="00B421CE" w:rsidRDefault="00CB17C5" w:rsidP="004418B4">
      <w:pPr>
        <w:numPr>
          <w:ilvl w:val="0"/>
          <w:numId w:val="5"/>
        </w:numPr>
      </w:pPr>
      <w:r>
        <w:t>N</w:t>
      </w:r>
      <w:r w:rsidR="004031BA">
        <w:t>etvrdí, že by skončily dějiny a nic se nedělo, jen skončil ideový konflikt o základní principy, na nichž stojí lidská společnost: zvítězil ekonomický a politický liberalismus jako „přirozený a nejlepší řád“, protože nejlépe naplňuje individuální žádostivost lidí</w:t>
      </w:r>
      <w:r w:rsidR="004031BA">
        <w:sym w:font="Wingdings" w:char="F04A"/>
      </w:r>
      <w:r w:rsidR="004031BA">
        <w:t xml:space="preserve"> </w:t>
      </w:r>
    </w:p>
    <w:p w:rsidR="00B421CE" w:rsidRDefault="00CB17C5" w:rsidP="004418B4">
      <w:pPr>
        <w:numPr>
          <w:ilvl w:val="0"/>
          <w:numId w:val="5"/>
        </w:numPr>
      </w:pPr>
      <w:r>
        <w:t xml:space="preserve">Vzápětí </w:t>
      </w:r>
      <w:r w:rsidR="00B421CE">
        <w:t xml:space="preserve">kritizován pro přílišný optimismus (nereflektuje přirozené tendence člověka): </w:t>
      </w:r>
      <w:r>
        <w:t xml:space="preserve">to se </w:t>
      </w:r>
      <w:r w:rsidR="00B421CE">
        <w:t xml:space="preserve">potvrdilo novými konflikty </w:t>
      </w:r>
      <w:r>
        <w:t xml:space="preserve">na území bývalých </w:t>
      </w:r>
      <w:r w:rsidR="00B421CE">
        <w:t>SSSR</w:t>
      </w:r>
      <w:r>
        <w:t xml:space="preserve"> a</w:t>
      </w:r>
      <w:r w:rsidR="00B421CE">
        <w:t xml:space="preserve"> Jugoslá</w:t>
      </w:r>
      <w:r w:rsidR="00CB38C9">
        <w:t>v</w:t>
      </w:r>
      <w:r w:rsidR="00B421CE">
        <w:t>ie</w:t>
      </w:r>
      <w:r>
        <w:t xml:space="preserve"> či</w:t>
      </w:r>
      <w:r w:rsidR="00B421CE">
        <w:t xml:space="preserve"> </w:t>
      </w:r>
      <w:r>
        <w:t xml:space="preserve">přežitím </w:t>
      </w:r>
      <w:r w:rsidR="00B421CE">
        <w:t>některých nedemokracií, relapsem k nedemokraciím a hybridním demokraciím (Bělorusko, Rusko, Kavkaz, Střední Asie)</w:t>
      </w:r>
      <w:r>
        <w:t>.</w:t>
      </w:r>
      <w:r w:rsidR="00B421CE">
        <w:t xml:space="preserve"> </w:t>
      </w:r>
      <w:r>
        <w:t>K</w:t>
      </w:r>
      <w:r w:rsidR="00B421CE">
        <w:t xml:space="preserve">onec globálního optimismu </w:t>
      </w:r>
      <w:r>
        <w:t>90. let</w:t>
      </w:r>
      <w:r w:rsidR="00B421CE">
        <w:t xml:space="preserve"> přineslo 11/9/2001 (a pak ekonomická krize</w:t>
      </w:r>
      <w:r>
        <w:t xml:space="preserve"> 2008</w:t>
      </w:r>
      <w:r w:rsidR="00B421CE">
        <w:t xml:space="preserve">) – </w:t>
      </w:r>
      <w:proofErr w:type="spellStart"/>
      <w:r w:rsidR="00B421CE">
        <w:t>Fukuyama</w:t>
      </w:r>
      <w:proofErr w:type="spellEnd"/>
      <w:r w:rsidR="00B421CE">
        <w:t xml:space="preserve"> odpovídá, že to nic nemění na trvalém trendu k nárůstu liberální demokracie, což je i důsledek bohatnutí lidstva (od určitého HDP na osobu </w:t>
      </w:r>
      <w:r>
        <w:t xml:space="preserve">podle něj </w:t>
      </w:r>
      <w:r w:rsidR="00B421CE">
        <w:t>nelze udržet nedemokratický režim</w:t>
      </w:r>
      <w:r>
        <w:t>).</w:t>
      </w:r>
    </w:p>
    <w:p w:rsidR="004418B4" w:rsidRDefault="004418B4" w:rsidP="00B025A2"/>
    <w:p w:rsidR="00B025A2" w:rsidRPr="00F83E31" w:rsidRDefault="00B421CE" w:rsidP="00B025A2">
      <w:pPr>
        <w:rPr>
          <w:b/>
        </w:rPr>
      </w:pPr>
      <w:proofErr w:type="spellStart"/>
      <w:r w:rsidRPr="00F83E31">
        <w:rPr>
          <w:b/>
        </w:rPr>
        <w:t>Huntington</w:t>
      </w:r>
      <w:proofErr w:type="spellEnd"/>
      <w:r w:rsidRPr="00F83E31">
        <w:rPr>
          <w:b/>
        </w:rPr>
        <w:t xml:space="preserve">: </w:t>
      </w:r>
      <w:r w:rsidR="00CB17C5">
        <w:rPr>
          <w:b/>
        </w:rPr>
        <w:t>p</w:t>
      </w:r>
      <w:r w:rsidRPr="00F83E31">
        <w:rPr>
          <w:b/>
        </w:rPr>
        <w:t>artikularistická vize světa (Střet civilizací) + skepse k věčnému vítězství demokracie (</w:t>
      </w:r>
      <w:r w:rsidR="00B025A2" w:rsidRPr="00F83E31">
        <w:rPr>
          <w:b/>
        </w:rPr>
        <w:t>Třetí vlna</w:t>
      </w:r>
      <w:r w:rsidRPr="00F83E31">
        <w:rPr>
          <w:b/>
        </w:rPr>
        <w:t>)</w:t>
      </w:r>
    </w:p>
    <w:p w:rsidR="00C11973" w:rsidRDefault="004031BA" w:rsidP="00B025A2">
      <w:pPr>
        <w:numPr>
          <w:ilvl w:val="0"/>
          <w:numId w:val="1"/>
        </w:numPr>
      </w:pPr>
      <w:r>
        <w:t>Střet civilizací: (článek pak kniha) – 11/9/2001 jako by potvrdilo jeho pravdivost</w:t>
      </w:r>
    </w:p>
    <w:p w:rsidR="004031BA" w:rsidRDefault="004031BA" w:rsidP="004031BA">
      <w:pPr>
        <w:numPr>
          <w:ilvl w:val="1"/>
          <w:numId w:val="1"/>
        </w:numPr>
      </w:pPr>
      <w:r>
        <w:t>pro identitu lidí je klíčová jejich kultura a její symboly, které lidi spojují (vlajky, kříže)</w:t>
      </w:r>
      <w:r w:rsidR="00CB17C5">
        <w:t>. Na světě jsou tyto:</w:t>
      </w:r>
      <w:r w:rsidR="00620BCE">
        <w:t xml:space="preserve"> čínská (konfuciánství), japonská, hinduistická, islámská, </w:t>
      </w:r>
      <w:r w:rsidR="00620BCE">
        <w:lastRenderedPageBreak/>
        <w:t>pravoslavná (</w:t>
      </w:r>
      <w:r w:rsidR="00346305">
        <w:t>minula</w:t>
      </w:r>
      <w:r w:rsidR="00620BCE">
        <w:t xml:space="preserve"> renesanci, reformaci, osvícenství), západní (i Austrálie), latinskoamerická (výlučně katolická), africká</w:t>
      </w:r>
    </w:p>
    <w:p w:rsidR="004031BA" w:rsidRDefault="004031BA" w:rsidP="004031BA">
      <w:pPr>
        <w:numPr>
          <w:ilvl w:val="1"/>
          <w:numId w:val="1"/>
        </w:numPr>
      </w:pPr>
      <w:r>
        <w:t>úspěšné jsou ty útvary, které zahrnují státy jedné kultury (EU), ne napříč (</w:t>
      </w:r>
      <w:r w:rsidR="00620BCE">
        <w:t>OBSE, OSN</w:t>
      </w:r>
      <w:r>
        <w:t xml:space="preserve">) – dnes se evropská hranice posunula mezi svět západního křesťanství a pravoslaví (i Krym a rozdělení Ukrajiny je </w:t>
      </w:r>
      <w:r w:rsidR="00CB17C5">
        <w:t xml:space="preserve">právě </w:t>
      </w:r>
      <w:r>
        <w:t xml:space="preserve">o tom) </w:t>
      </w:r>
    </w:p>
    <w:p w:rsidR="00620BCE" w:rsidRDefault="00620BCE" w:rsidP="004031BA">
      <w:pPr>
        <w:numPr>
          <w:ilvl w:val="1"/>
          <w:numId w:val="1"/>
        </w:numPr>
      </w:pPr>
      <w:r>
        <w:t xml:space="preserve">globálně se rozšiřuje globální konzum, ale z toho nevzniká jednotná kultura, jak si myslí </w:t>
      </w:r>
      <w:proofErr w:type="spellStart"/>
      <w:r>
        <w:t>Fukuyama</w:t>
      </w:r>
      <w:proofErr w:type="spellEnd"/>
    </w:p>
    <w:p w:rsidR="00620BCE" w:rsidRDefault="00620BCE" w:rsidP="004031BA">
      <w:pPr>
        <w:numPr>
          <w:ilvl w:val="1"/>
          <w:numId w:val="1"/>
        </w:numPr>
      </w:pPr>
      <w:r>
        <w:t>Západ dlouhodobě dominuje, ale jeho dominance je teď ohrožena, ekonomicky i tím, že má dvě ce</w:t>
      </w:r>
      <w:r w:rsidR="00CB17C5">
        <w:t>ntra (USA * Francie a Německo), oproti tomu</w:t>
      </w:r>
      <w:r>
        <w:t xml:space="preserve"> Rusko, Čína, Indie </w:t>
      </w:r>
      <w:r w:rsidR="00CB17C5">
        <w:t xml:space="preserve">mají </w:t>
      </w:r>
      <w:r>
        <w:t>jen jedno</w:t>
      </w:r>
      <w:r w:rsidR="00CB17C5">
        <w:t xml:space="preserve"> centrum </w:t>
      </w:r>
    </w:p>
    <w:p w:rsidR="00620BCE" w:rsidRDefault="00620BCE" w:rsidP="004031BA">
      <w:pPr>
        <w:numPr>
          <w:ilvl w:val="1"/>
          <w:numId w:val="1"/>
        </w:numPr>
      </w:pPr>
      <w:r>
        <w:t>čeká nás střet civilizací: státy se budou spojovat na bázi kulturní podobnosti a v místech střetu bude docházet ke konfliktům (</w:t>
      </w:r>
      <w:r w:rsidR="00CB17C5">
        <w:t xml:space="preserve">příkladem je </w:t>
      </w:r>
      <w:r>
        <w:t xml:space="preserve">sovětská invaze do Afghánistánu), snaha o vývoz západní kultury je </w:t>
      </w:r>
      <w:r w:rsidR="00CB17C5">
        <w:t>nesmysl</w:t>
      </w:r>
    </w:p>
    <w:p w:rsidR="00CB17C5" w:rsidRPr="00CB17C5" w:rsidRDefault="00B025A2" w:rsidP="00B025A2">
      <w:pPr>
        <w:numPr>
          <w:ilvl w:val="0"/>
          <w:numId w:val="1"/>
        </w:numPr>
        <w:rPr>
          <w:b/>
        </w:rPr>
      </w:pPr>
      <w:r>
        <w:t xml:space="preserve">  </w:t>
      </w:r>
      <w:proofErr w:type="spellStart"/>
      <w:r w:rsidR="00CB17C5" w:rsidRPr="00CB17C5">
        <w:rPr>
          <w:b/>
        </w:rPr>
        <w:t>Huntingtonova</w:t>
      </w:r>
      <w:proofErr w:type="spellEnd"/>
      <w:r w:rsidR="00CB17C5" w:rsidRPr="00CB17C5">
        <w:rPr>
          <w:b/>
        </w:rPr>
        <w:t xml:space="preserve"> kniha </w:t>
      </w:r>
      <w:r w:rsidR="00CB38C9" w:rsidRPr="00CB17C5">
        <w:rPr>
          <w:b/>
        </w:rPr>
        <w:t>Třetí vlna:</w:t>
      </w:r>
      <w:r w:rsidR="001F3923" w:rsidRPr="00CB17C5">
        <w:rPr>
          <w:b/>
        </w:rPr>
        <w:t xml:space="preserve"> </w:t>
      </w:r>
    </w:p>
    <w:p w:rsidR="00B025A2" w:rsidRPr="00CB17C5" w:rsidRDefault="00CB17C5" w:rsidP="00CB17C5">
      <w:pPr>
        <w:numPr>
          <w:ilvl w:val="1"/>
          <w:numId w:val="1"/>
        </w:numPr>
      </w:pPr>
      <w:r w:rsidRPr="00CB17C5">
        <w:t xml:space="preserve">v demokratizaci států světa lze vypozorovat </w:t>
      </w:r>
      <w:r w:rsidR="001F3923" w:rsidRPr="00CB17C5">
        <w:t>vlny a protivlny</w:t>
      </w:r>
      <w:r w:rsidR="00B9624B" w:rsidRPr="00CB17C5">
        <w:t xml:space="preserve"> – demokracie se šíří ve </w:t>
      </w:r>
      <w:proofErr w:type="gramStart"/>
      <w:r w:rsidR="00B9624B" w:rsidRPr="00CB17C5">
        <w:t>vlnách ( + protivlny</w:t>
      </w:r>
      <w:proofErr w:type="gramEnd"/>
      <w:r w:rsidR="00B9624B" w:rsidRPr="00CB17C5">
        <w:t xml:space="preserve">) </w:t>
      </w:r>
    </w:p>
    <w:p w:rsidR="001F3923" w:rsidRDefault="001F3923" w:rsidP="001F3923">
      <w:pPr>
        <w:numPr>
          <w:ilvl w:val="1"/>
          <w:numId w:val="1"/>
        </w:numPr>
      </w:pPr>
      <w:r>
        <w:t>první demokratizační vlna: 1828-1926 (víc než 50% bílých Američanů smělo volit, padaly majetkové cenzy)</w:t>
      </w:r>
    </w:p>
    <w:p w:rsidR="001F3923" w:rsidRDefault="00CB17C5" w:rsidP="001F3923">
      <w:pPr>
        <w:numPr>
          <w:ilvl w:val="1"/>
          <w:numId w:val="1"/>
        </w:numPr>
      </w:pPr>
      <w:r>
        <w:t xml:space="preserve">první protivlna: 1929-1942 (začátek je Mussoliniho </w:t>
      </w:r>
      <w:r w:rsidR="001F3923">
        <w:t xml:space="preserve">pochod na Řím, </w:t>
      </w:r>
      <w:proofErr w:type="spellStart"/>
      <w:r w:rsidR="001F3923">
        <w:t>Salazar</w:t>
      </w:r>
      <w:proofErr w:type="spellEnd"/>
      <w:r w:rsidR="001F3923">
        <w:t>, hlavně krize</w:t>
      </w:r>
      <w:r w:rsidR="00346305">
        <w:t xml:space="preserve"> a nástup nacismu</w:t>
      </w:r>
      <w:r w:rsidR="001F3923">
        <w:t>, pak Argentina, Braz</w:t>
      </w:r>
      <w:r w:rsidR="00B9624B">
        <w:t>í</w:t>
      </w:r>
      <w:r w:rsidR="001F3923">
        <w:t>lie)</w:t>
      </w:r>
    </w:p>
    <w:p w:rsidR="001F3923" w:rsidRDefault="001F3923" w:rsidP="001F3923">
      <w:pPr>
        <w:numPr>
          <w:ilvl w:val="1"/>
          <w:numId w:val="1"/>
        </w:numPr>
      </w:pPr>
      <w:r>
        <w:t>druhá vlna</w:t>
      </w:r>
      <w:r w:rsidR="00CB17C5">
        <w:t xml:space="preserve"> demokratizace</w:t>
      </w:r>
      <w:r>
        <w:t>: 1943-1962 (Turecko, Řecko, Latinská Amerika, dekolonizace</w:t>
      </w:r>
      <w:r w:rsidR="001B3AC1">
        <w:t>)</w:t>
      </w:r>
    </w:p>
    <w:p w:rsidR="001F3923" w:rsidRDefault="001F3923" w:rsidP="001F3923">
      <w:pPr>
        <w:numPr>
          <w:ilvl w:val="1"/>
          <w:numId w:val="1"/>
        </w:numPr>
      </w:pPr>
      <w:r>
        <w:t>druhá protivlna: 1958-1973 (Latinská Amerika, Indonésie, Korea, Turecko a Řecko)</w:t>
      </w:r>
    </w:p>
    <w:p w:rsidR="001F3923" w:rsidRDefault="001F3923" w:rsidP="001F3923">
      <w:pPr>
        <w:numPr>
          <w:ilvl w:val="1"/>
          <w:numId w:val="1"/>
        </w:numPr>
      </w:pPr>
      <w:r>
        <w:t>třetí vlna</w:t>
      </w:r>
      <w:r w:rsidR="00CB17C5">
        <w:t xml:space="preserve"> demokratizace</w:t>
      </w:r>
      <w:r>
        <w:t xml:space="preserve">: 1974- </w:t>
      </w:r>
      <w:r w:rsidR="007D60CF">
        <w:t xml:space="preserve">? </w:t>
      </w:r>
      <w:r>
        <w:t>(</w:t>
      </w:r>
      <w:r w:rsidR="007D60CF">
        <w:t xml:space="preserve">počínaje 25. 4. </w:t>
      </w:r>
      <w:proofErr w:type="gramStart"/>
      <w:r w:rsidR="007D60CF">
        <w:t>1974) (Portugalsko</w:t>
      </w:r>
      <w:proofErr w:type="gramEnd"/>
      <w:r>
        <w:t>, Šp</w:t>
      </w:r>
      <w:r w:rsidR="007D60CF">
        <w:t>anělsko,</w:t>
      </w:r>
      <w:r>
        <w:t xml:space="preserve"> Turecko, Řecko, Latinská Amerika, Asie, my)</w:t>
      </w:r>
      <w:r w:rsidR="00FE693E">
        <w:t>, nebyla příliš násilná, nebyla vojenská</w:t>
      </w:r>
    </w:p>
    <w:p w:rsidR="001F3923" w:rsidRDefault="007D60CF" w:rsidP="001F3923">
      <w:pPr>
        <w:numPr>
          <w:ilvl w:val="1"/>
          <w:numId w:val="1"/>
        </w:numPr>
      </w:pPr>
      <w:r>
        <w:t>Proč vlny</w:t>
      </w:r>
      <w:r w:rsidR="00B9624B">
        <w:t xml:space="preserve">? </w:t>
      </w:r>
      <w:r>
        <w:t>D</w:t>
      </w:r>
      <w:r w:rsidR="001F3923">
        <w:t xml:space="preserve">ůvody třetí vlny: ztráta legitimity režimů (pád portugalských kolonií, pád komunismu zbavil legitimity antikomunistické režimy, hospodářské problémy, ale i bohatnutí společnosti: větší vzdělanost, početná střední třída, velká očekávání, </w:t>
      </w:r>
      <w:r w:rsidR="00F87079">
        <w:t>vliv vnějších aktérů: USA, EU a katolická církev za Jana Pavla II., lavinový efekt – inspirace příkladem v Československu + konkrétní iniciátoři)</w:t>
      </w:r>
    </w:p>
    <w:p w:rsidR="00F87079" w:rsidRDefault="00F87079" w:rsidP="001F3923">
      <w:pPr>
        <w:numPr>
          <w:ilvl w:val="1"/>
          <w:numId w:val="1"/>
        </w:numPr>
      </w:pPr>
      <w:r>
        <w:t>způsoby</w:t>
      </w:r>
      <w:r w:rsidR="007D60CF">
        <w:t xml:space="preserve"> demokratizace (</w:t>
      </w:r>
      <w:proofErr w:type="spellStart"/>
      <w:r w:rsidR="007D60CF">
        <w:t>tranzice</w:t>
      </w:r>
      <w:proofErr w:type="spellEnd"/>
      <w:r w:rsidR="007D60CF">
        <w:t>)</w:t>
      </w:r>
      <w:r>
        <w:t>: záleží na střetávání</w:t>
      </w:r>
      <w:r w:rsidR="007D60CF">
        <w:t xml:space="preserve"> čtyř skupin: v opozici opozice radikální extremisté </w:t>
      </w:r>
      <w:r>
        <w:t>*</w:t>
      </w:r>
      <w:r w:rsidR="007D60CF">
        <w:t xml:space="preserve"> </w:t>
      </w:r>
      <w:r>
        <w:t>umírnění demokraté (</w:t>
      </w:r>
      <w:r w:rsidR="007D60CF">
        <w:t xml:space="preserve">u nás v roce 1989 </w:t>
      </w:r>
      <w:r>
        <w:t xml:space="preserve">Havel) </w:t>
      </w:r>
      <w:r w:rsidR="007D60CF">
        <w:t xml:space="preserve">a ve </w:t>
      </w:r>
      <w:r w:rsidR="007D60CF">
        <w:lastRenderedPageBreak/>
        <w:t>vládě</w:t>
      </w:r>
      <w:r>
        <w:t xml:space="preserve"> vládní garnitur</w:t>
      </w:r>
      <w:r w:rsidR="007D60CF">
        <w:t>y</w:t>
      </w:r>
      <w:r>
        <w:t xml:space="preserve"> (liberálové </w:t>
      </w:r>
      <w:r w:rsidR="007D60CF">
        <w:t xml:space="preserve">jako </w:t>
      </w:r>
      <w:r>
        <w:t>Čalfa, Urbánek)</w:t>
      </w:r>
      <w:r w:rsidR="007D60CF">
        <w:t xml:space="preserve"> </w:t>
      </w:r>
      <w:r>
        <w:t>*</w:t>
      </w:r>
      <w:r w:rsidR="007D60CF">
        <w:t xml:space="preserve"> </w:t>
      </w:r>
      <w:r>
        <w:t xml:space="preserve">stoupenci starých pořádků (Jakeš, Štěpán) </w:t>
      </w:r>
      <w:r w:rsidR="00B9624B">
        <w:t xml:space="preserve">– </w:t>
      </w:r>
      <w:r w:rsidR="007D60CF">
        <w:t>z jejich střetávání vznikají čtyři základní scénáře:</w:t>
      </w:r>
      <w:r w:rsidR="00B9624B">
        <w:t xml:space="preserve"> </w:t>
      </w:r>
    </w:p>
    <w:p w:rsidR="00F87079" w:rsidRDefault="00F87079" w:rsidP="00F87079">
      <w:pPr>
        <w:numPr>
          <w:ilvl w:val="2"/>
          <w:numId w:val="1"/>
        </w:numPr>
      </w:pPr>
      <w:r w:rsidRPr="00F87079">
        <w:rPr>
          <w:b/>
        </w:rPr>
        <w:t>přerod:</w:t>
      </w:r>
      <w:r>
        <w:t xml:space="preserve"> do čela demokratizačního procesu se postaví dosavadní garnitura, umírnění reformátoři shora (Španělsko, Brazílie, Maďarsko): kooptují někoho z opozice, vypíšou stále svobodnější volby (aby je neubili jestřábi a pochopila opozice)</w:t>
      </w:r>
    </w:p>
    <w:p w:rsidR="00F87079" w:rsidRPr="00F87079" w:rsidRDefault="00F87079" w:rsidP="00F87079">
      <w:pPr>
        <w:numPr>
          <w:ilvl w:val="2"/>
          <w:numId w:val="1"/>
        </w:numPr>
        <w:rPr>
          <w:b/>
        </w:rPr>
      </w:pPr>
      <w:r w:rsidRPr="00F87079">
        <w:rPr>
          <w:b/>
        </w:rPr>
        <w:t>výměna:</w:t>
      </w:r>
      <w:r>
        <w:t xml:space="preserve"> opozice získá moc místo vládní garnitury, ta se brání více či méně (Portugalsko, NDR, Rumunsko, Argentina), někdy i jen rychlá revoluce</w:t>
      </w:r>
    </w:p>
    <w:p w:rsidR="00F87079" w:rsidRDefault="00FE693E" w:rsidP="00F87079">
      <w:pPr>
        <w:numPr>
          <w:ilvl w:val="2"/>
          <w:numId w:val="1"/>
        </w:numPr>
      </w:pPr>
      <w:r w:rsidRPr="00FE693E">
        <w:rPr>
          <w:b/>
        </w:rPr>
        <w:t xml:space="preserve">přeměna: </w:t>
      </w:r>
      <w:r w:rsidRPr="00FE693E">
        <w:t>společný postup vlády a opozice</w:t>
      </w:r>
      <w:r>
        <w:t xml:space="preserve">, když je vláda ochotna jednat s demokraty (často si oba myslí, že na tom určitě vydělají, že vyhrají ve volbách (a umírnění v garnituře vytlačí staré </w:t>
      </w:r>
      <w:r w:rsidR="00346305">
        <w:t>struktury</w:t>
      </w:r>
      <w:r>
        <w:t>): kulaté stoly (Polsko, Československo,</w:t>
      </w:r>
      <w:r w:rsidR="006061DC">
        <w:t xml:space="preserve"> Jižní</w:t>
      </w:r>
      <w:r>
        <w:t xml:space="preserve"> Korea, JAR) </w:t>
      </w:r>
    </w:p>
    <w:p w:rsidR="00FE693E" w:rsidRPr="00FE693E" w:rsidRDefault="00FE693E" w:rsidP="00F87079">
      <w:pPr>
        <w:numPr>
          <w:ilvl w:val="2"/>
          <w:numId w:val="1"/>
        </w:numPr>
      </w:pPr>
      <w:r>
        <w:rPr>
          <w:b/>
        </w:rPr>
        <w:t>zásah zvenčí:</w:t>
      </w:r>
      <w:r>
        <w:t xml:space="preserve"> </w:t>
      </w:r>
      <w:r w:rsidR="006061DC">
        <w:t xml:space="preserve">v třetí vlně </w:t>
      </w:r>
      <w:r>
        <w:t>jen Grenada</w:t>
      </w:r>
    </w:p>
    <w:p w:rsidR="00F87079" w:rsidRPr="0081794D" w:rsidRDefault="00FE693E" w:rsidP="0081794D">
      <w:pPr>
        <w:numPr>
          <w:ilvl w:val="1"/>
          <w:numId w:val="1"/>
        </w:numPr>
        <w:rPr>
          <w:i/>
        </w:rPr>
      </w:pPr>
      <w:r>
        <w:t xml:space="preserve">tranzice a konsolidace režimů: nejúspěšnější v zemích s předchozí demokratickou zkušeností a se silnou a vzdělanou střední třídou (my), je třeba se připravit na snahu o zvrácení vývoje (typicky u pádu vojenských diktatur je </w:t>
      </w:r>
      <w:r w:rsidR="006061DC">
        <w:t xml:space="preserve">podle </w:t>
      </w:r>
      <w:proofErr w:type="spellStart"/>
      <w:r w:rsidR="006061DC">
        <w:t>Huntingtona</w:t>
      </w:r>
      <w:proofErr w:type="spellEnd"/>
      <w:r w:rsidR="006061DC">
        <w:t xml:space="preserve"> </w:t>
      </w:r>
      <w:r>
        <w:t xml:space="preserve">třeba zabavit vojáky </w:t>
      </w:r>
      <w:r w:rsidR="006061DC">
        <w:t>„</w:t>
      </w:r>
      <w:r>
        <w:t>novými hračkami</w:t>
      </w:r>
      <w:r w:rsidR="006061DC">
        <w:t>“</w:t>
      </w:r>
      <w:r>
        <w:t xml:space="preserve">), a na nostalgii a rozčarování z demokratického vývoje: </w:t>
      </w:r>
      <w:r w:rsidR="0081794D" w:rsidRPr="0081794D">
        <w:rPr>
          <w:i/>
        </w:rPr>
        <w:t>„Rozčarování z demokratických funkcionářů a s ním související stesk po autoritářských vládcích, to byl svým způsobem nutný první krok na cestě k demokratické konsolidaci. Byl to příznak, že jak elity, tak i veřejnost začínají sestupovat z prchavých výšin euforie, již s sebou demokratizace obvykle přinášela, a přizpůsobují se životu v ‚nížinách‘ demokracie, kde život bývá šedivý a upachtěný. Elity i veřejnost musely poznat, že demokracie spočívá na předpokladu, podle něhož všechny vlády selhávají, a proto musí existovat institucionalizovaná metoda jejich výměny. Demokracie neznamená, že problémy budou vyřešeny; znamená, že vládce je možné odstranit, a podstatou demokracie je to druhé, poněvadž prvního dosáhnout nelze.“</w:t>
      </w:r>
      <w:r w:rsidR="0081794D" w:rsidRPr="0081794D">
        <w:rPr>
          <w:vertAlign w:val="superscript"/>
        </w:rPr>
        <w:footnoteReference w:id="1"/>
      </w:r>
      <w:r w:rsidR="0081794D" w:rsidRPr="0081794D">
        <w:rPr>
          <w:i/>
        </w:rPr>
        <w:t xml:space="preserve"> </w:t>
      </w:r>
    </w:p>
    <w:p w:rsidR="00F87079" w:rsidRDefault="00FE693E" w:rsidP="001F3923">
      <w:pPr>
        <w:numPr>
          <w:ilvl w:val="1"/>
          <w:numId w:val="1"/>
        </w:numPr>
      </w:pPr>
      <w:r>
        <w:t>největší riziko je třetí protivlna: přechod demokratizujících se států k nedemokracii (Bělorusko, Srbsko)</w:t>
      </w:r>
    </w:p>
    <w:p w:rsidR="00FE693E" w:rsidRDefault="00FE693E" w:rsidP="001F3923">
      <w:pPr>
        <w:numPr>
          <w:ilvl w:val="1"/>
          <w:numId w:val="1"/>
        </w:numPr>
      </w:pPr>
      <w:r>
        <w:t>dokonce se mluví o čtvrté vlně (příliš brzo): arabské jaro a barevné revoluce (růžová v Gruzii 2003, oranžová na Ukrajině 2004)</w:t>
      </w:r>
    </w:p>
    <w:p w:rsidR="001B3AC1" w:rsidRDefault="001B3AC1" w:rsidP="00B025A2"/>
    <w:p w:rsidR="00346305" w:rsidRDefault="00346305">
      <w:pPr>
        <w:spacing w:line="240" w:lineRule="auto"/>
        <w:jc w:val="left"/>
        <w:rPr>
          <w:b/>
        </w:rPr>
      </w:pPr>
      <w:r>
        <w:rPr>
          <w:b/>
        </w:rPr>
        <w:br w:type="page"/>
      </w:r>
    </w:p>
    <w:p w:rsidR="00B025A2" w:rsidRPr="00B9624B" w:rsidRDefault="00B025A2" w:rsidP="00B025A2">
      <w:pPr>
        <w:rPr>
          <w:b/>
        </w:rPr>
      </w:pPr>
      <w:r w:rsidRPr="00B9624B">
        <w:rPr>
          <w:b/>
        </w:rPr>
        <w:lastRenderedPageBreak/>
        <w:t xml:space="preserve">Jaké problémy </w:t>
      </w:r>
      <w:r w:rsidR="00346305">
        <w:rPr>
          <w:b/>
        </w:rPr>
        <w:t xml:space="preserve">bylo </w:t>
      </w:r>
      <w:r w:rsidRPr="00B9624B">
        <w:rPr>
          <w:b/>
        </w:rPr>
        <w:t>třeba vyřešit</w:t>
      </w:r>
      <w:r w:rsidR="004418B4" w:rsidRPr="00B9624B">
        <w:rPr>
          <w:b/>
        </w:rPr>
        <w:t xml:space="preserve"> po demokratizaci</w:t>
      </w:r>
      <w:r w:rsidR="00346305">
        <w:rPr>
          <w:b/>
        </w:rPr>
        <w:t xml:space="preserve"> (obecně a v Československu po roce 1989)</w:t>
      </w:r>
      <w:bookmarkStart w:id="0" w:name="_GoBack"/>
      <w:bookmarkEnd w:id="0"/>
      <w:r w:rsidRPr="00B9624B">
        <w:rPr>
          <w:b/>
        </w:rPr>
        <w:t xml:space="preserve">? </w:t>
      </w:r>
    </w:p>
    <w:p w:rsidR="004E382D" w:rsidRDefault="004E382D" w:rsidP="004E382D">
      <w:pPr>
        <w:numPr>
          <w:ilvl w:val="0"/>
          <w:numId w:val="2"/>
        </w:numPr>
      </w:pPr>
      <w:r>
        <w:t xml:space="preserve">Problém politické + právní transformace propojen (důkazem Charta 77: politická i </w:t>
      </w:r>
      <w:proofErr w:type="gramStart"/>
      <w:r>
        <w:t>právní) (+ ekonomické</w:t>
      </w:r>
      <w:proofErr w:type="gramEnd"/>
      <w:r>
        <w:t xml:space="preserve"> – mimo naše téma)</w:t>
      </w:r>
    </w:p>
    <w:p w:rsidR="004E382D" w:rsidRDefault="004E382D" w:rsidP="004E382D">
      <w:pPr>
        <w:numPr>
          <w:ilvl w:val="0"/>
          <w:numId w:val="2"/>
        </w:numPr>
      </w:pPr>
      <w:r>
        <w:t xml:space="preserve">Jaké problémy </w:t>
      </w:r>
      <w:r w:rsidR="006061DC">
        <w:t xml:space="preserve">je třeba </w:t>
      </w:r>
      <w:r>
        <w:t>řešit</w:t>
      </w:r>
      <w:r w:rsidR="00B9624B">
        <w:t xml:space="preserve"> </w:t>
      </w:r>
      <w:r w:rsidR="006061DC">
        <w:t>–</w:t>
      </w:r>
      <w:r w:rsidR="00B9624B">
        <w:t xml:space="preserve"> </w:t>
      </w:r>
      <w:r w:rsidR="006061DC">
        <w:t xml:space="preserve">Podle Vojtěcha </w:t>
      </w:r>
      <w:proofErr w:type="spellStart"/>
      <w:r w:rsidR="00B17411">
        <w:t>Cepl</w:t>
      </w:r>
      <w:r w:rsidR="006061DC">
        <w:t>a</w:t>
      </w:r>
      <w:proofErr w:type="spellEnd"/>
      <w:r w:rsidR="006061DC">
        <w:t xml:space="preserve"> jsou tři</w:t>
      </w:r>
      <w:r w:rsidR="00B17411">
        <w:t>: rehabilitace + restituce + lustrace</w:t>
      </w:r>
      <w:r w:rsidR="006061DC">
        <w:t>; můžeme jich ale vyjmenovat více</w:t>
      </w:r>
    </w:p>
    <w:p w:rsidR="004E382D" w:rsidRDefault="004E382D" w:rsidP="004E382D">
      <w:pPr>
        <w:numPr>
          <w:ilvl w:val="0"/>
          <w:numId w:val="2"/>
        </w:numPr>
      </w:pPr>
      <w:r w:rsidRPr="00B17411">
        <w:rPr>
          <w:b/>
        </w:rPr>
        <w:t>Diskontinuita:</w:t>
      </w:r>
      <w:r>
        <w:t xml:space="preserve"> </w:t>
      </w:r>
      <w:r w:rsidR="006061DC">
        <w:t>v Československu</w:t>
      </w:r>
      <w:r w:rsidR="00A160BA">
        <w:t xml:space="preserve"> kontinuita práva</w:t>
      </w:r>
      <w:r w:rsidR="00A160BA">
        <w:rPr>
          <w:rStyle w:val="Znakapoznpodarou"/>
        </w:rPr>
        <w:footnoteReference w:id="2"/>
      </w:r>
      <w:r w:rsidR="006061DC">
        <w:t xml:space="preserve"> a</w:t>
      </w:r>
      <w:r w:rsidR="00A160BA">
        <w:t xml:space="preserve"> diskontinuita hodnot (</w:t>
      </w:r>
      <w:r w:rsidR="006061DC">
        <w:t xml:space="preserve">nález </w:t>
      </w:r>
      <w:proofErr w:type="spellStart"/>
      <w:r w:rsidR="00A160BA">
        <w:t>Pl</w:t>
      </w:r>
      <w:proofErr w:type="spellEnd"/>
      <w:r w:rsidR="00A160BA">
        <w:t>. ÚS 19/93)</w:t>
      </w:r>
    </w:p>
    <w:p w:rsidR="00B17411" w:rsidRPr="00B17411" w:rsidRDefault="00B17411" w:rsidP="004E382D">
      <w:pPr>
        <w:numPr>
          <w:ilvl w:val="0"/>
          <w:numId w:val="2"/>
        </w:numPr>
        <w:rPr>
          <w:b/>
        </w:rPr>
      </w:pPr>
      <w:r w:rsidRPr="00B17411">
        <w:rPr>
          <w:b/>
        </w:rPr>
        <w:t>Změnit Ústavu</w:t>
      </w:r>
      <w:r>
        <w:rPr>
          <w:b/>
        </w:rPr>
        <w:t xml:space="preserve"> (Ústava * Listina)</w:t>
      </w:r>
    </w:p>
    <w:p w:rsidR="004E382D" w:rsidRDefault="004E382D" w:rsidP="004E382D">
      <w:pPr>
        <w:numPr>
          <w:ilvl w:val="0"/>
          <w:numId w:val="2"/>
        </w:numPr>
      </w:pPr>
      <w:r w:rsidRPr="00B17411">
        <w:rPr>
          <w:b/>
        </w:rPr>
        <w:t>Obrnit se proti návratu nedemokratického systému: obranyschopná demokracie</w:t>
      </w:r>
      <w:r>
        <w:t xml:space="preserve"> (</w:t>
      </w:r>
      <w:proofErr w:type="spellStart"/>
      <w:r>
        <w:t>Loewenstein</w:t>
      </w:r>
      <w:proofErr w:type="spellEnd"/>
      <w:r>
        <w:t xml:space="preserve"> + řešení Platonova problému, jak se pojistit proti tomu, aby lid nezvolil tyrana): limitovaná možnost změny ústavy - materiální jádro ústavy, možnost rozpustit extrémistická shromáždění, politické strany, subversivní spolky, limitovaná politická pluralita, trestní stíhání nenávistných projevů</w:t>
      </w:r>
      <w:r>
        <w:rPr>
          <w:rStyle w:val="Znakapoznpodarou"/>
        </w:rPr>
        <w:footnoteReference w:id="3"/>
      </w:r>
      <w:r>
        <w:t xml:space="preserve"> </w:t>
      </w:r>
    </w:p>
    <w:p w:rsidR="004E382D" w:rsidRDefault="004E382D" w:rsidP="004E382D">
      <w:pPr>
        <w:numPr>
          <w:ilvl w:val="0"/>
          <w:numId w:val="2"/>
        </w:numPr>
      </w:pPr>
      <w:r w:rsidRPr="00B17411">
        <w:rPr>
          <w:b/>
        </w:rPr>
        <w:t>Pojmenování zla:</w:t>
      </w:r>
      <w:r>
        <w:t xml:space="preserve"> zákon č. 198/1993 Sb., o protiprávnosti komunistického režimu a o odporu proti němu;</w:t>
      </w:r>
      <w:r>
        <w:rPr>
          <w:rStyle w:val="Znakapoznpodarou"/>
        </w:rPr>
        <w:footnoteReference w:id="4"/>
      </w:r>
      <w:r>
        <w:t xml:space="preserve"> </w:t>
      </w:r>
    </w:p>
    <w:p w:rsidR="00B17411" w:rsidRDefault="00B17411" w:rsidP="004E382D">
      <w:pPr>
        <w:numPr>
          <w:ilvl w:val="0"/>
          <w:numId w:val="2"/>
        </w:numPr>
      </w:pPr>
      <w:r>
        <w:rPr>
          <w:b/>
        </w:rPr>
        <w:lastRenderedPageBreak/>
        <w:t>Restituce:</w:t>
      </w:r>
      <w:r>
        <w:t xml:space="preserve"> Proč? (Co se ukradlo</w:t>
      </w:r>
      <w:r w:rsidR="00B9624B">
        <w:t>, má se vrátit.</w:t>
      </w:r>
      <w:r>
        <w:t>) Komu? (naše restituční zákony: nejprve podmínka st. občanství + trvalý pobyt,</w:t>
      </w:r>
      <w:r>
        <w:rPr>
          <w:rStyle w:val="Znakapoznpodarou"/>
        </w:rPr>
        <w:footnoteReference w:id="5"/>
      </w:r>
      <w:r>
        <w:t xml:space="preserve"> dnes jen st. občanství</w:t>
      </w:r>
      <w:r>
        <w:rPr>
          <w:rStyle w:val="Znakapoznpodarou"/>
        </w:rPr>
        <w:footnoteReference w:id="6"/>
      </w:r>
      <w:r>
        <w:t xml:space="preserve"> + specifika některých subjektů, církví) Od kdy do kdy (</w:t>
      </w:r>
      <w:r w:rsidR="00F7523E">
        <w:t xml:space="preserve">třeba NDR už od 1933, pobaltské státy od 1939, u nás </w:t>
      </w:r>
      <w:r>
        <w:t>25. 2. 1948 – 31. 12. 1989</w:t>
      </w:r>
      <w:r w:rsidR="00E5731C">
        <w:t xml:space="preserve"> + výjimka podle zákona o mimosoudních rehabilitacích:</w:t>
      </w:r>
      <w:r>
        <w:t xml:space="preserve">)? Co (zemědělský majetek </w:t>
      </w:r>
      <w:r w:rsidR="00E5731C">
        <w:t>s max. výměrou 150 ha polí, 250 ha jiné půdy</w:t>
      </w:r>
      <w:r>
        <w:t>, možnost kompenzace)?</w:t>
      </w:r>
      <w:r w:rsidR="00E5731C">
        <w:t xml:space="preserve"> Jak (</w:t>
      </w:r>
      <w:proofErr w:type="spellStart"/>
      <w:r w:rsidR="00E5731C">
        <w:t>restitutio</w:t>
      </w:r>
      <w:proofErr w:type="spellEnd"/>
      <w:r w:rsidR="00E5731C">
        <w:t xml:space="preserve"> in </w:t>
      </w:r>
      <w:proofErr w:type="spellStart"/>
      <w:r w:rsidR="00E5731C">
        <w:t>integrum</w:t>
      </w:r>
      <w:proofErr w:type="spellEnd"/>
      <w:r w:rsidR="00E5731C">
        <w:t>/kompenzace; ex lege výčtovým zákonem,</w:t>
      </w:r>
      <w:r w:rsidR="00F7523E">
        <w:rPr>
          <w:rStyle w:val="Znakapoznpodarou"/>
        </w:rPr>
        <w:footnoteReference w:id="7"/>
      </w:r>
      <w:r w:rsidR="00E5731C">
        <w:t xml:space="preserve"> správním rozhodnutím/soudním rozhodnutím, na žádost/ex offo)</w:t>
      </w:r>
    </w:p>
    <w:p w:rsidR="00E5731C" w:rsidRDefault="00F7523E" w:rsidP="00F7523E">
      <w:pPr>
        <w:numPr>
          <w:ilvl w:val="0"/>
          <w:numId w:val="2"/>
        </w:numPr>
      </w:pPr>
      <w:r w:rsidRPr="00F7523E">
        <w:rPr>
          <w:b/>
        </w:rPr>
        <w:t xml:space="preserve">Rehabilitace: </w:t>
      </w:r>
      <w:r w:rsidRPr="00F7523E">
        <w:t xml:space="preserve">Co to znamená? </w:t>
      </w:r>
      <w:r>
        <w:t xml:space="preserve">Zákon č. 119/1990 Sb., o </w:t>
      </w:r>
      <w:r w:rsidRPr="006061DC">
        <w:rPr>
          <w:b/>
        </w:rPr>
        <w:t>soudní rehabilitaci</w:t>
      </w:r>
      <w:r>
        <w:t xml:space="preserve">: u vyjmenovaných skutkových podstat odsuzující rozsudky zrušeny ex lege (třeba podle zákona č. 231/1948 Sb.); u jiných podstat na návrh </w:t>
      </w:r>
      <w:r w:rsidR="006061DC">
        <w:t>státního zástupce</w:t>
      </w:r>
      <w:r>
        <w:t xml:space="preserve"> nebo odsouzeného nebo rodinných příslušníků: zrušení + kompenzace + možnost zveřejnění rozsudku; + </w:t>
      </w:r>
      <w:r w:rsidRPr="006061DC">
        <w:rPr>
          <w:b/>
        </w:rPr>
        <w:t>mimosoudní rehabilitace</w:t>
      </w:r>
      <w:r>
        <w:t>: zákon č. 87/1991 Sb., o mimosoudních rehabilitacích:</w:t>
      </w:r>
      <w:r>
        <w:rPr>
          <w:rStyle w:val="Znakapoznpodarou"/>
        </w:rPr>
        <w:footnoteReference w:id="8"/>
      </w:r>
      <w:r>
        <w:t xml:space="preserve"> </w:t>
      </w:r>
      <w:r w:rsidR="0036005F">
        <w:t>jednorázové odškodnění nebo zvýšení důchodů za trest odnětí svobody, vazbu, PTP, pracovní tábory, později nemožnost studovat aj.</w:t>
      </w:r>
    </w:p>
    <w:p w:rsidR="00EF3583" w:rsidRDefault="006061DC" w:rsidP="00F7523E">
      <w:pPr>
        <w:numPr>
          <w:ilvl w:val="0"/>
          <w:numId w:val="2"/>
        </w:numPr>
      </w:pPr>
      <w:r>
        <w:rPr>
          <w:b/>
        </w:rPr>
        <w:t>Co s pachateli zločinů minulého režimu</w:t>
      </w:r>
      <w:r w:rsidR="0036005F" w:rsidRPr="006061DC">
        <w:rPr>
          <w:b/>
        </w:rPr>
        <w:t xml:space="preserve">? </w:t>
      </w:r>
      <w:proofErr w:type="spellStart"/>
      <w:r w:rsidR="00EF3583">
        <w:t>Huntington</w:t>
      </w:r>
      <w:proofErr w:type="spellEnd"/>
      <w:r w:rsidR="00EF3583">
        <w:t xml:space="preserve">: Stíhat a trestat nebo odpustit a zapomenout? </w:t>
      </w:r>
      <w:r>
        <w:t xml:space="preserve">Možné nástroje: </w:t>
      </w:r>
    </w:p>
    <w:p w:rsidR="0036005F" w:rsidRDefault="0036005F" w:rsidP="00F7523E">
      <w:pPr>
        <w:numPr>
          <w:ilvl w:val="0"/>
          <w:numId w:val="2"/>
        </w:numPr>
      </w:pPr>
      <w:r>
        <w:rPr>
          <w:b/>
        </w:rPr>
        <w:lastRenderedPageBreak/>
        <w:t xml:space="preserve">Dekomunizace: </w:t>
      </w:r>
      <w:r>
        <w:t xml:space="preserve">odstranění komunistů z určitých pozic </w:t>
      </w:r>
    </w:p>
    <w:p w:rsidR="00EF3583" w:rsidRPr="00EF3583" w:rsidRDefault="0036005F" w:rsidP="00EF3583">
      <w:pPr>
        <w:numPr>
          <w:ilvl w:val="0"/>
          <w:numId w:val="2"/>
        </w:numPr>
      </w:pPr>
      <w:r>
        <w:rPr>
          <w:b/>
        </w:rPr>
        <w:t>Lustrace:</w:t>
      </w:r>
      <w:r>
        <w:t xml:space="preserve"> systematičtější a dlouhodobější nástroj (i dnes vyvolává problémy</w:t>
      </w:r>
      <w:r w:rsidR="00EF3583">
        <w:t xml:space="preserve">: diskvalifikování bývalých elit z funkcí v novém politickém systému: </w:t>
      </w:r>
      <w:r w:rsidR="00EF3583" w:rsidRPr="00EF3583">
        <w:t>jde o vymezení „chráněných“ funkcí v současnosti (těch, které vyžadují negativní lustrační osvědčení</w:t>
      </w:r>
      <w:r w:rsidR="00EF3583" w:rsidRPr="00EF3583">
        <w:rPr>
          <w:vertAlign w:val="superscript"/>
        </w:rPr>
        <w:footnoteReference w:id="9"/>
      </w:r>
      <w:r w:rsidR="00EF3583" w:rsidRPr="00EF3583">
        <w:t>) na straně jedné a „podezřelých“ funkcí a činností</w:t>
      </w:r>
      <w:r w:rsidR="006061DC">
        <w:t xml:space="preserve"> </w:t>
      </w:r>
      <w:r w:rsidR="006061DC" w:rsidRPr="00EF3583">
        <w:t>v minulosti</w:t>
      </w:r>
      <w:r w:rsidR="00EF3583" w:rsidRPr="00EF3583">
        <w:rPr>
          <w:vertAlign w:val="superscript"/>
        </w:rPr>
        <w:footnoteReference w:id="10"/>
      </w:r>
      <w:r w:rsidR="00EF3583" w:rsidRPr="00EF3583">
        <w:t xml:space="preserve"> (těch, jež pro dotčenou osobu znamenají pozitivní lustrační osvědčení, tedy vyloučení z výkonu „chráněných“ funkcí nebo jiný obdobný následek</w:t>
      </w:r>
      <w:r w:rsidR="00EF3583" w:rsidRPr="00EF3583">
        <w:rPr>
          <w:vertAlign w:val="superscript"/>
        </w:rPr>
        <w:footnoteReference w:id="11"/>
      </w:r>
      <w:r w:rsidR="00EF3583" w:rsidRPr="00EF3583">
        <w:t xml:space="preserve">) na straně druhé. Úpravy v jednotlivých státech se pak liší v </w:t>
      </w:r>
      <w:r w:rsidR="00EF3583" w:rsidRPr="00EF3583">
        <w:lastRenderedPageBreak/>
        <w:t xml:space="preserve">určení okruhů podezřelých a chráněných funkcí, stejně jako v předepsaných lustračních procedurách a v dočasnosti nebo trvalosti uplatňování lustrací. V případě ČR jde o dočasnost, která je neustále prodlužována. </w:t>
      </w:r>
      <w:r w:rsidR="00EF3583">
        <w:t>Malý lustrační zákon</w:t>
      </w:r>
      <w:r w:rsidR="00EF3583">
        <w:rPr>
          <w:rStyle w:val="Znakapoznpodarou"/>
        </w:rPr>
        <w:footnoteReference w:id="12"/>
      </w:r>
      <w:r w:rsidR="00EF3583">
        <w:t xml:space="preserve"> * velký lustrační zákon</w:t>
      </w:r>
      <w:r w:rsidR="00857DD9">
        <w:rPr>
          <w:rStyle w:val="Znakapoznpodarou"/>
        </w:rPr>
        <w:footnoteReference w:id="13"/>
      </w:r>
    </w:p>
    <w:p w:rsidR="00EF3583" w:rsidRDefault="004418B4" w:rsidP="00F7523E">
      <w:pPr>
        <w:numPr>
          <w:ilvl w:val="0"/>
          <w:numId w:val="2"/>
        </w:numPr>
      </w:pPr>
      <w:r w:rsidRPr="004418B4">
        <w:rPr>
          <w:b/>
        </w:rPr>
        <w:t>Stíhání zločinů minulého režimu:</w:t>
      </w:r>
      <w:r>
        <w:t xml:space="preserve"> základní limity: kontinuita v justici + zákaz retroaktivity trestního práva</w:t>
      </w:r>
    </w:p>
    <w:p w:rsidR="0036005F" w:rsidRPr="00F7523E" w:rsidRDefault="0036005F" w:rsidP="006061DC">
      <w:pPr>
        <w:ind w:left="360"/>
      </w:pPr>
    </w:p>
    <w:sectPr w:rsidR="0036005F" w:rsidRPr="00F752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9C8" w:rsidRDefault="001D69C8" w:rsidP="004E382D">
      <w:pPr>
        <w:spacing w:line="240" w:lineRule="auto"/>
      </w:pPr>
      <w:r>
        <w:separator/>
      </w:r>
    </w:p>
  </w:endnote>
  <w:endnote w:type="continuationSeparator" w:id="0">
    <w:p w:rsidR="001D69C8" w:rsidRDefault="001D69C8" w:rsidP="004E3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05" w:rsidRDefault="00F01505">
    <w:pPr>
      <w:pStyle w:val="Zpat"/>
      <w:jc w:val="center"/>
    </w:pPr>
    <w:r>
      <w:fldChar w:fldCharType="begin"/>
    </w:r>
    <w:r>
      <w:instrText>PAGE   \* MERGEFORMAT</w:instrText>
    </w:r>
    <w:r>
      <w:fldChar w:fldCharType="separate"/>
    </w:r>
    <w:r w:rsidR="00346305">
      <w:rPr>
        <w:noProof/>
      </w:rPr>
      <w:t>7</w:t>
    </w:r>
    <w:r>
      <w:fldChar w:fldCharType="end"/>
    </w:r>
  </w:p>
  <w:p w:rsidR="00F01505" w:rsidRDefault="00F015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9C8" w:rsidRDefault="001D69C8" w:rsidP="004E382D">
      <w:pPr>
        <w:spacing w:line="240" w:lineRule="auto"/>
      </w:pPr>
      <w:r>
        <w:separator/>
      </w:r>
    </w:p>
  </w:footnote>
  <w:footnote w:type="continuationSeparator" w:id="0">
    <w:p w:rsidR="001D69C8" w:rsidRDefault="001D69C8" w:rsidP="004E382D">
      <w:pPr>
        <w:spacing w:line="240" w:lineRule="auto"/>
      </w:pPr>
      <w:r>
        <w:continuationSeparator/>
      </w:r>
    </w:p>
  </w:footnote>
  <w:footnote w:id="1">
    <w:p w:rsidR="0081794D" w:rsidRPr="00DE710D" w:rsidRDefault="0081794D" w:rsidP="001B3AC1">
      <w:pPr>
        <w:pStyle w:val="Textpoznpodarou"/>
        <w:spacing w:line="240" w:lineRule="auto"/>
        <w:rPr>
          <w:i/>
        </w:rPr>
      </w:pPr>
      <w:r w:rsidRPr="00DE710D">
        <w:rPr>
          <w:rStyle w:val="Znakapoznpodarou"/>
        </w:rPr>
        <w:footnoteRef/>
      </w:r>
      <w:r w:rsidRPr="00DE710D">
        <w:t xml:space="preserve"> HUNTINGTON, S. </w:t>
      </w:r>
      <w:r w:rsidRPr="00DE710D">
        <w:rPr>
          <w:i/>
        </w:rPr>
        <w:t>Třetí vlna.</w:t>
      </w:r>
      <w:r w:rsidRPr="00DE710D">
        <w:t xml:space="preserve"> Brno: CDK, 2008, s. 253.</w:t>
      </w:r>
    </w:p>
  </w:footnote>
  <w:footnote w:id="2">
    <w:p w:rsidR="00A160BA" w:rsidRPr="004418B4" w:rsidRDefault="00A160BA" w:rsidP="001B3AC1">
      <w:pPr>
        <w:pStyle w:val="Textpoznpodarou"/>
        <w:spacing w:line="240" w:lineRule="auto"/>
        <w:rPr>
          <w:i/>
        </w:rPr>
      </w:pPr>
      <w:r w:rsidRPr="004418B4">
        <w:rPr>
          <w:rStyle w:val="Znakapoznpodarou"/>
        </w:rPr>
        <w:footnoteRef/>
      </w:r>
      <w:r w:rsidRPr="004418B4">
        <w:t xml:space="preserve"> </w:t>
      </w:r>
      <w:r w:rsidRPr="004418B4">
        <w:rPr>
          <w:i/>
        </w:rPr>
        <w:t>„Zákon č. 480/1991 Sb., o době nesvobody</w:t>
      </w:r>
    </w:p>
    <w:p w:rsidR="00A160BA" w:rsidRPr="004418B4" w:rsidRDefault="00A160BA" w:rsidP="001B3AC1">
      <w:pPr>
        <w:pStyle w:val="Textpoznpodarou"/>
        <w:spacing w:line="240" w:lineRule="auto"/>
        <w:rPr>
          <w:i/>
        </w:rPr>
      </w:pPr>
      <w:r w:rsidRPr="004418B4">
        <w:rPr>
          <w:i/>
        </w:rPr>
        <w:t>Federální shromáždění České a Slovenské Federativní Republiky se usneslo na tomto zákoně:</w:t>
      </w:r>
    </w:p>
    <w:p w:rsidR="00A160BA" w:rsidRPr="004418B4" w:rsidRDefault="00A160BA" w:rsidP="001B3AC1">
      <w:pPr>
        <w:pStyle w:val="Textpoznpodarou"/>
        <w:spacing w:line="240" w:lineRule="auto"/>
        <w:rPr>
          <w:i/>
        </w:rPr>
      </w:pPr>
      <w:r w:rsidRPr="004418B4">
        <w:rPr>
          <w:i/>
        </w:rPr>
        <w:t>§ 1 V letech 1948 až 1989 komunistický režim porušoval lidská práva i své vlastní zákony.</w:t>
      </w:r>
    </w:p>
    <w:p w:rsidR="00A160BA" w:rsidRPr="004418B4" w:rsidRDefault="00A160BA" w:rsidP="001B3AC1">
      <w:pPr>
        <w:pStyle w:val="Textpoznpodarou"/>
        <w:spacing w:line="240" w:lineRule="auto"/>
        <w:rPr>
          <w:i/>
        </w:rPr>
      </w:pPr>
      <w:r w:rsidRPr="004418B4">
        <w:rPr>
          <w:i/>
        </w:rPr>
        <w:t xml:space="preserve"> § 2 Právní akty přijaté v době uvedené v § 1 se ruší jen tehdy, stanoví-li tak zvláštní zákony.“</w:t>
      </w:r>
    </w:p>
  </w:footnote>
  <w:footnote w:id="3">
    <w:p w:rsidR="004E382D" w:rsidRPr="004418B4" w:rsidRDefault="004E382D" w:rsidP="001B3AC1">
      <w:pPr>
        <w:pStyle w:val="Textpoznpodarou"/>
        <w:spacing w:line="240" w:lineRule="auto"/>
        <w:rPr>
          <w:i/>
        </w:rPr>
      </w:pPr>
      <w:r w:rsidRPr="004418B4">
        <w:rPr>
          <w:rStyle w:val="Znakapoznpodarou"/>
        </w:rPr>
        <w:footnoteRef/>
      </w:r>
      <w:r w:rsidRPr="004418B4">
        <w:t xml:space="preserve"> </w:t>
      </w:r>
      <w:r w:rsidRPr="004418B4">
        <w:rPr>
          <w:i/>
        </w:rPr>
        <w:t>§ 403</w:t>
      </w:r>
    </w:p>
    <w:p w:rsidR="004E382D" w:rsidRPr="004418B4" w:rsidRDefault="004E382D" w:rsidP="001B3AC1">
      <w:pPr>
        <w:pStyle w:val="Textpoznpodarou"/>
        <w:spacing w:line="240" w:lineRule="auto"/>
        <w:rPr>
          <w:i/>
        </w:rPr>
      </w:pPr>
      <w:r w:rsidRPr="004418B4">
        <w:rPr>
          <w:i/>
        </w:rPr>
        <w:t>Založení, podpora a propagace hnutí směřujícího k potlačení práv a svobod člověka</w:t>
      </w:r>
    </w:p>
    <w:p w:rsidR="004E382D" w:rsidRPr="004418B4" w:rsidRDefault="004E382D" w:rsidP="001B3AC1">
      <w:pPr>
        <w:pStyle w:val="Textpoznpodarou"/>
        <w:spacing w:line="240" w:lineRule="auto"/>
        <w:rPr>
          <w:i/>
        </w:rPr>
      </w:pPr>
      <w:r w:rsidRPr="004418B4">
        <w:rPr>
          <w:i/>
        </w:rPr>
        <w:t>(1) Kdo založí, podporuje nebo propaguje hnutí, které prokazatelně směřuje k potlačení práv a svobod člověka, nebo hlásá rasovou, etnickou, národnostní, náboženskou či třídní zášť nebo zášť vůči jiné skupině osob, bude potrestán odnětím svobody na jeden rok až pět let.</w:t>
      </w:r>
    </w:p>
    <w:p w:rsidR="004E382D" w:rsidRPr="004418B4" w:rsidRDefault="004E382D" w:rsidP="001B3AC1">
      <w:pPr>
        <w:pStyle w:val="Textpoznpodarou"/>
        <w:spacing w:line="240" w:lineRule="auto"/>
        <w:rPr>
          <w:i/>
        </w:rPr>
      </w:pPr>
      <w:r w:rsidRPr="004418B4">
        <w:rPr>
          <w:i/>
        </w:rPr>
        <w:t>(2) Odnětím svobody na tři léta až deset let bude pachatel potrestán,</w:t>
      </w:r>
    </w:p>
    <w:p w:rsidR="004E382D" w:rsidRPr="004418B4" w:rsidRDefault="004E382D" w:rsidP="001B3AC1">
      <w:pPr>
        <w:pStyle w:val="Textpoznpodarou"/>
        <w:spacing w:line="240" w:lineRule="auto"/>
        <w:rPr>
          <w:i/>
        </w:rPr>
      </w:pPr>
      <w:r w:rsidRPr="004418B4">
        <w:rPr>
          <w:i/>
        </w:rPr>
        <w:t>a) spáchá-li čin uvedený v odstavci 1 tiskem, filmem, rozhlasem, televizí, veřejně přístupnou počítačovou sítí nebo jiným podobně účinným způsobem,</w:t>
      </w:r>
    </w:p>
    <w:p w:rsidR="004E382D" w:rsidRPr="004418B4" w:rsidRDefault="004E382D" w:rsidP="001B3AC1">
      <w:pPr>
        <w:pStyle w:val="Textpoznpodarou"/>
        <w:spacing w:line="240" w:lineRule="auto"/>
        <w:rPr>
          <w:i/>
        </w:rPr>
      </w:pPr>
      <w:r w:rsidRPr="004418B4">
        <w:rPr>
          <w:i/>
        </w:rPr>
        <w:t>b) spáchá-li takový čin jako člen organizované skupiny,</w:t>
      </w:r>
    </w:p>
    <w:p w:rsidR="004E382D" w:rsidRPr="004418B4" w:rsidRDefault="004E382D" w:rsidP="001B3AC1">
      <w:pPr>
        <w:pStyle w:val="Textpoznpodarou"/>
        <w:spacing w:line="240" w:lineRule="auto"/>
        <w:rPr>
          <w:i/>
        </w:rPr>
      </w:pPr>
      <w:r w:rsidRPr="004418B4">
        <w:rPr>
          <w:i/>
        </w:rPr>
        <w:t>c) spáchá-li takový čin jako voják, nebo</w:t>
      </w:r>
    </w:p>
    <w:p w:rsidR="004E382D" w:rsidRPr="004418B4" w:rsidRDefault="004E382D" w:rsidP="001B3AC1">
      <w:pPr>
        <w:pStyle w:val="Textpoznpodarou"/>
        <w:spacing w:line="240" w:lineRule="auto"/>
        <w:rPr>
          <w:i/>
        </w:rPr>
      </w:pPr>
      <w:r w:rsidRPr="004418B4">
        <w:rPr>
          <w:i/>
        </w:rPr>
        <w:t>d) spáchá-li takový čin za stavu ohrožení státu nebo za válečného stavu.</w:t>
      </w:r>
    </w:p>
    <w:p w:rsidR="004E382D" w:rsidRPr="004418B4" w:rsidRDefault="004E382D" w:rsidP="001B3AC1">
      <w:pPr>
        <w:pStyle w:val="Textpoznpodarou"/>
        <w:spacing w:line="240" w:lineRule="auto"/>
        <w:rPr>
          <w:i/>
        </w:rPr>
      </w:pPr>
      <w:r w:rsidRPr="004418B4">
        <w:rPr>
          <w:i/>
        </w:rPr>
        <w:t xml:space="preserve"> (3) Příprava je trestná.“</w:t>
      </w:r>
    </w:p>
  </w:footnote>
  <w:footnote w:id="4">
    <w:p w:rsidR="004E382D" w:rsidRPr="004418B4" w:rsidRDefault="004E382D" w:rsidP="001B3AC1">
      <w:pPr>
        <w:pStyle w:val="Textpoznpodarou"/>
        <w:spacing w:line="240" w:lineRule="auto"/>
        <w:rPr>
          <w:i/>
        </w:rPr>
      </w:pPr>
      <w:r w:rsidRPr="004418B4">
        <w:rPr>
          <w:rStyle w:val="Znakapoznpodarou"/>
        </w:rPr>
        <w:footnoteRef/>
      </w:r>
      <w:r w:rsidRPr="004418B4">
        <w:t xml:space="preserve"> </w:t>
      </w:r>
      <w:r w:rsidRPr="004418B4">
        <w:rPr>
          <w:i/>
        </w:rPr>
        <w:t>„Vědom si povinnosti svobodně zvoleného parlamentu vyrovnat se s komunistickým režimem, Parlament konstatuje, že Komunistická strana Československa, její vedení i členové jsou odpovědni za způsob vlády v naší zemi v letech 1948 - 1989, a to zejména za programové ničení tradičních hodnot evropské civilizace, za vědomé porušování lidských práv a svobod, za morální a hospodářský úpadek provázený justičními zločiny a terorem proti nositelům odlišných názorů, nahrazením fungujícího tržního hospodářství direktivním řízením, destrukcí tradičních principů vlastnického práva, zneužíváním výchovy, vzdělávání, vědy a kultury k politickým a ideologickým účelům, bezohledným ničením přírody, a prohlašuje, že ve své další činnosti bude vycházet z tohoto zákona.</w:t>
      </w:r>
    </w:p>
    <w:p w:rsidR="004E382D" w:rsidRPr="004418B4" w:rsidRDefault="004E382D" w:rsidP="001B3AC1">
      <w:pPr>
        <w:pStyle w:val="Textpoznpodarou"/>
        <w:spacing w:line="240" w:lineRule="auto"/>
        <w:rPr>
          <w:i/>
        </w:rPr>
      </w:pPr>
      <w:r w:rsidRPr="004418B4">
        <w:rPr>
          <w:i/>
        </w:rPr>
        <w:t xml:space="preserve"> § 1 (1) Komunistický režim a ti, kteří ho aktivně prosazovali,</w:t>
      </w:r>
    </w:p>
    <w:p w:rsidR="004E382D" w:rsidRPr="004418B4" w:rsidRDefault="004E382D" w:rsidP="001B3AC1">
      <w:pPr>
        <w:pStyle w:val="Textpoznpodarou"/>
        <w:spacing w:line="240" w:lineRule="auto"/>
        <w:rPr>
          <w:i/>
        </w:rPr>
      </w:pPr>
      <w:r w:rsidRPr="004418B4">
        <w:rPr>
          <w:i/>
        </w:rPr>
        <w:t>a) upíral občanům jakoukoliv možnost svobodného vyjádření politické vůle, nutil je skrývat své názory na situaci ve státě a společnosti a nutil je veřejně vyslovovat svůj souhlas i s tím, co považovali za lež nebo zločin, a to perzekucemi nebo hrozbou perzekucí vůči nim samotným, jejich rodinám a blízkým,</w:t>
      </w:r>
    </w:p>
    <w:p w:rsidR="004E382D" w:rsidRPr="004418B4" w:rsidRDefault="004E382D" w:rsidP="001B3AC1">
      <w:pPr>
        <w:pStyle w:val="Textpoznpodarou"/>
        <w:spacing w:line="240" w:lineRule="auto"/>
        <w:rPr>
          <w:i/>
        </w:rPr>
      </w:pPr>
      <w:r w:rsidRPr="004418B4">
        <w:rPr>
          <w:i/>
        </w:rPr>
        <w:t xml:space="preserve"> b) systematicky a trvale porušoval lidská práva, přičemž zvlášť závažným způsobem utlačoval některé politické, sociální a náboženské skupiny občanů,</w:t>
      </w:r>
    </w:p>
    <w:p w:rsidR="004E382D" w:rsidRPr="004418B4" w:rsidRDefault="004E382D" w:rsidP="001B3AC1">
      <w:pPr>
        <w:pStyle w:val="Textpoznpodarou"/>
        <w:spacing w:line="240" w:lineRule="auto"/>
        <w:rPr>
          <w:i/>
        </w:rPr>
      </w:pPr>
      <w:r w:rsidRPr="004418B4">
        <w:rPr>
          <w:i/>
        </w:rPr>
        <w:t xml:space="preserve"> c) porušoval základní zásady demokratického právního státu, mezinárodní smlouvy i své vlastní zákony a prakticky tím postavil vůli a zájmy komunistické strany a jejích představitelů nad zákon,</w:t>
      </w:r>
    </w:p>
    <w:p w:rsidR="004E382D" w:rsidRPr="004418B4" w:rsidRDefault="004E382D" w:rsidP="001B3AC1">
      <w:pPr>
        <w:pStyle w:val="Textpoznpodarou"/>
        <w:spacing w:line="240" w:lineRule="auto"/>
        <w:rPr>
          <w:i/>
        </w:rPr>
      </w:pPr>
      <w:r w:rsidRPr="004418B4">
        <w:rPr>
          <w:i/>
        </w:rPr>
        <w:t xml:space="preserve"> d) používal k perzekuci občanů všech mocenských nástrojů, a to zejména:</w:t>
      </w:r>
    </w:p>
    <w:p w:rsidR="004E382D" w:rsidRPr="004418B4" w:rsidRDefault="004E382D" w:rsidP="001B3AC1">
      <w:pPr>
        <w:pStyle w:val="Textpoznpodarou"/>
        <w:spacing w:line="240" w:lineRule="auto"/>
        <w:rPr>
          <w:i/>
        </w:rPr>
      </w:pPr>
      <w:r w:rsidRPr="004418B4">
        <w:rPr>
          <w:i/>
        </w:rPr>
        <w:t>- popravoval, vraždil je a žalářoval je ve věznicích a táborech nucených prací, při vyšetřování a v době žalářování vůči nim používal brutální metody včetně fyzického a psychického mučení a vystavování nelidským útrapám,</w:t>
      </w:r>
    </w:p>
    <w:p w:rsidR="004E382D" w:rsidRPr="004418B4" w:rsidRDefault="004E382D" w:rsidP="001B3AC1">
      <w:pPr>
        <w:pStyle w:val="Textpoznpodarou"/>
        <w:spacing w:line="240" w:lineRule="auto"/>
        <w:rPr>
          <w:i/>
        </w:rPr>
      </w:pPr>
      <w:r w:rsidRPr="004418B4">
        <w:rPr>
          <w:i/>
        </w:rPr>
        <w:t>- zbavoval je svévolně majetku a porušoval jejich vlastnická práva,</w:t>
      </w:r>
    </w:p>
    <w:p w:rsidR="004E382D" w:rsidRPr="004418B4" w:rsidRDefault="004E382D" w:rsidP="001B3AC1">
      <w:pPr>
        <w:pStyle w:val="Textpoznpodarou"/>
        <w:spacing w:line="240" w:lineRule="auto"/>
        <w:rPr>
          <w:i/>
        </w:rPr>
      </w:pPr>
      <w:r w:rsidRPr="004418B4">
        <w:rPr>
          <w:i/>
        </w:rPr>
        <w:t>- znemožňoval jim výkon zaměstnání, povolání nebo funkce a dosažení vyššího nebo odborného vzdělání,</w:t>
      </w:r>
    </w:p>
    <w:p w:rsidR="004E382D" w:rsidRPr="004418B4" w:rsidRDefault="004E382D" w:rsidP="001B3AC1">
      <w:pPr>
        <w:pStyle w:val="Textpoznpodarou"/>
        <w:spacing w:line="240" w:lineRule="auto"/>
        <w:rPr>
          <w:i/>
        </w:rPr>
      </w:pPr>
      <w:r w:rsidRPr="004418B4">
        <w:rPr>
          <w:i/>
        </w:rPr>
        <w:t>- zabraňoval jim svobodně vycestovat do zahraničí či vrátit se svobodně zpět,</w:t>
      </w:r>
    </w:p>
    <w:p w:rsidR="004E382D" w:rsidRPr="004418B4" w:rsidRDefault="004E382D" w:rsidP="001B3AC1">
      <w:pPr>
        <w:pStyle w:val="Textpoznpodarou"/>
        <w:spacing w:line="240" w:lineRule="auto"/>
        <w:rPr>
          <w:i/>
        </w:rPr>
      </w:pPr>
      <w:r w:rsidRPr="004418B4">
        <w:rPr>
          <w:i/>
        </w:rPr>
        <w:t>- povolával je k výkonu vojenské služby v Pomocných technických praporech a Technických praporech na neomezenou dobu,</w:t>
      </w:r>
    </w:p>
    <w:p w:rsidR="004E382D" w:rsidRPr="004418B4" w:rsidRDefault="004E382D" w:rsidP="001B3AC1">
      <w:pPr>
        <w:pStyle w:val="Textpoznpodarou"/>
        <w:spacing w:line="240" w:lineRule="auto"/>
        <w:rPr>
          <w:i/>
        </w:rPr>
      </w:pPr>
      <w:r w:rsidRPr="004418B4">
        <w:rPr>
          <w:i/>
        </w:rPr>
        <w:t xml:space="preserve"> e) pro dosažení svých cílů neváhal páchat zločiny, umožňoval jejich beztrestné páchání a poskytoval neoprávněné výhody těm, kteří se na zločinech a perzekucích podíleli,</w:t>
      </w:r>
    </w:p>
    <w:p w:rsidR="004E382D" w:rsidRPr="004418B4" w:rsidRDefault="004E382D" w:rsidP="001B3AC1">
      <w:pPr>
        <w:pStyle w:val="Textpoznpodarou"/>
        <w:spacing w:line="240" w:lineRule="auto"/>
        <w:rPr>
          <w:i/>
        </w:rPr>
      </w:pPr>
      <w:r w:rsidRPr="004418B4">
        <w:rPr>
          <w:i/>
        </w:rPr>
        <w:t xml:space="preserve"> f) spojil se s cizí mocností a od roku 1968 udržoval uvedený stav pomocí jejích okupačních vojsk.</w:t>
      </w:r>
    </w:p>
    <w:p w:rsidR="004E382D" w:rsidRPr="004418B4" w:rsidRDefault="004E382D" w:rsidP="001B3AC1">
      <w:pPr>
        <w:pStyle w:val="Textpoznpodarou"/>
        <w:spacing w:line="240" w:lineRule="auto"/>
        <w:rPr>
          <w:i/>
        </w:rPr>
      </w:pPr>
      <w:r w:rsidRPr="004418B4">
        <w:rPr>
          <w:i/>
        </w:rPr>
        <w:t xml:space="preserve"> (2) Za spáchané zločiny a další skutečnosti, uvedené v odstavci 1 jsou plně </w:t>
      </w:r>
      <w:proofErr w:type="spellStart"/>
      <w:r w:rsidRPr="004418B4">
        <w:rPr>
          <w:i/>
        </w:rPr>
        <w:t>spoluodpovědni</w:t>
      </w:r>
      <w:proofErr w:type="spellEnd"/>
      <w:r w:rsidRPr="004418B4">
        <w:rPr>
          <w:i/>
        </w:rPr>
        <w:t xml:space="preserve"> ti, kteří komunistický režim prosazovali jako funkcionáři, organizátoři a podněcovatelé v politické i ideologické oblasti.</w:t>
      </w:r>
    </w:p>
    <w:p w:rsidR="004E382D" w:rsidRPr="004418B4" w:rsidRDefault="004E382D" w:rsidP="001B3AC1">
      <w:pPr>
        <w:pStyle w:val="Textpoznpodarou"/>
        <w:spacing w:line="240" w:lineRule="auto"/>
        <w:rPr>
          <w:i/>
        </w:rPr>
      </w:pPr>
      <w:r w:rsidRPr="004418B4">
        <w:rPr>
          <w:i/>
        </w:rPr>
        <w:t xml:space="preserve"> § 2 (1) Zejména pro skutečnosti uvedené v § 1 odst. 1 tohoto zákona byl režim založený na komunistické ideologii, který rozhodoval o řízení státu a osudech občanů v Československu od 25. února 1948 do 17. listopadu 1989, zločinný, nelegitimní a je zavrženíhodný.</w:t>
      </w:r>
    </w:p>
    <w:p w:rsidR="004E382D" w:rsidRPr="004418B4" w:rsidRDefault="004E382D" w:rsidP="001B3AC1">
      <w:pPr>
        <w:pStyle w:val="Textpoznpodarou"/>
        <w:spacing w:line="240" w:lineRule="auto"/>
        <w:rPr>
          <w:i/>
        </w:rPr>
      </w:pPr>
      <w:r w:rsidRPr="004418B4">
        <w:rPr>
          <w:i/>
        </w:rPr>
        <w:t>(2) Komunistická strana Československa byla organizací zločinnou a zavrženíhodnou obdobně jako další organizace založené na její ideologii, které ve své činnosti směřovaly k potlačování lidských práv a demokratického systému.</w:t>
      </w:r>
    </w:p>
    <w:p w:rsidR="004E382D" w:rsidRPr="004418B4" w:rsidRDefault="004E382D" w:rsidP="001B3AC1">
      <w:pPr>
        <w:pStyle w:val="Textpoznpodarou"/>
        <w:spacing w:line="240" w:lineRule="auto"/>
        <w:rPr>
          <w:i/>
        </w:rPr>
      </w:pPr>
      <w:r w:rsidRPr="004418B4">
        <w:rPr>
          <w:i/>
        </w:rPr>
        <w:t xml:space="preserve"> § 3 Odpor občanů proti tomuto režimu, který ať již jednotlivě či ve skupině na základě demokratického přesvědčení politického, náboženského či mravního projevovali odbojem nebo jinou činností nebo vědomě a veřejně vyjadřovali, na území státu i v zahraničí, a to i ve spojení s cizí demokratickou mocností, byl legitimní, spravedlivý, morálně oprávněný a je hodný úcty.“</w:t>
      </w:r>
    </w:p>
  </w:footnote>
  <w:footnote w:id="5">
    <w:p w:rsidR="00B17411" w:rsidRPr="004418B4" w:rsidRDefault="00B17411" w:rsidP="001B3AC1">
      <w:pPr>
        <w:pStyle w:val="Textpoznpodarou"/>
        <w:spacing w:line="240" w:lineRule="auto"/>
        <w:rPr>
          <w:i/>
        </w:rPr>
      </w:pPr>
      <w:r w:rsidRPr="004418B4">
        <w:rPr>
          <w:rStyle w:val="Znakapoznpodarou"/>
        </w:rPr>
        <w:footnoteRef/>
      </w:r>
      <w:r w:rsidRPr="004418B4">
        <w:t xml:space="preserve"> </w:t>
      </w:r>
      <w:r w:rsidRPr="004418B4">
        <w:rPr>
          <w:i/>
        </w:rPr>
        <w:t>„(1) Oprávněnou osobou je státní občan České a Slovenské Federativní Republiky, který má trvalý pobyt na jejím území, a jehož půda, budovy a stavby, patřící k původní zemědělské usedlosti, přešly na stát nebo na jiné právnické osoby v době od 25. února 1948 do 1. ledna 1990 způsobem uvedeným v § 6 odst. 1.“</w:t>
      </w:r>
    </w:p>
  </w:footnote>
  <w:footnote w:id="6">
    <w:p w:rsidR="00B17411" w:rsidRPr="004418B4" w:rsidRDefault="00B17411" w:rsidP="001B3AC1">
      <w:pPr>
        <w:pStyle w:val="Textpoznpodarou"/>
        <w:spacing w:line="240" w:lineRule="auto"/>
        <w:rPr>
          <w:i/>
        </w:rPr>
      </w:pPr>
      <w:r w:rsidRPr="004418B4">
        <w:rPr>
          <w:rStyle w:val="Znakapoznpodarou"/>
        </w:rPr>
        <w:footnoteRef/>
      </w:r>
      <w:r w:rsidRPr="004418B4">
        <w:t xml:space="preserve"> </w:t>
      </w:r>
      <w:r w:rsidRPr="004418B4">
        <w:rPr>
          <w:i/>
        </w:rPr>
        <w:t>„(1) Oprávněnou osobou je státní občan České a Slovenské Federativní Republiky, jehož půda, budovy a stavby, patřící k původní zemědělské usedlosti, přešly na stát nebo na jiné právnické osoby v době od 25. února 1948 do 1. ledna 1990 způsobem uvedeným v § 6 odst. 1.“</w:t>
      </w:r>
    </w:p>
  </w:footnote>
  <w:footnote w:id="7">
    <w:p w:rsidR="00F7523E" w:rsidRPr="004418B4" w:rsidRDefault="00F7523E" w:rsidP="001B3AC1">
      <w:pPr>
        <w:pStyle w:val="Textpoznpodarou"/>
        <w:spacing w:line="240" w:lineRule="auto"/>
      </w:pPr>
      <w:r w:rsidRPr="004418B4">
        <w:rPr>
          <w:rStyle w:val="Znakapoznpodarou"/>
        </w:rPr>
        <w:footnoteRef/>
      </w:r>
      <w:r w:rsidRPr="004418B4">
        <w:t xml:space="preserve"> Zákon č. 403/1990 Sb., o zmírnění následků některých majetkových křivd: restituce, jinak kompenzace (pokud zničen nebo prodán třetí osobě) </w:t>
      </w:r>
    </w:p>
  </w:footnote>
  <w:footnote w:id="8">
    <w:p w:rsidR="00F7523E" w:rsidRPr="004418B4" w:rsidRDefault="00F7523E" w:rsidP="001B3AC1">
      <w:pPr>
        <w:pStyle w:val="Textpoznpodarou"/>
        <w:spacing w:line="240" w:lineRule="auto"/>
        <w:rPr>
          <w:i/>
        </w:rPr>
      </w:pPr>
      <w:r w:rsidRPr="004418B4">
        <w:rPr>
          <w:rStyle w:val="Znakapoznpodarou"/>
        </w:rPr>
        <w:footnoteRef/>
      </w:r>
      <w:r w:rsidRPr="004418B4">
        <w:t xml:space="preserve"> </w:t>
      </w:r>
      <w:r w:rsidRPr="004418B4">
        <w:rPr>
          <w:i/>
        </w:rPr>
        <w:t>„Federální shromáždění České a Slovenské Federativní Republiky ve snaze zmírnit následky některých majetkových a jiných křivd, k nimž došlo v období let 1948 až 1989, vědomo si, že tyto křivdy tím méně pak různé nespravedlnosti z období ještě vzdálenějších, včetně křivd na občanech německé a maďarské národnosti, nelze nikdy zcela napravit, chtějíc však potvrdit svoji vůli, aby k podobným křivdám už nikdy nedocházelo, usneslo se na tomto zákoně:“</w:t>
      </w:r>
    </w:p>
  </w:footnote>
  <w:footnote w:id="9">
    <w:p w:rsidR="00EF3583" w:rsidRPr="004418B4" w:rsidRDefault="00EF3583" w:rsidP="001B3AC1">
      <w:pPr>
        <w:pStyle w:val="Textpoznpodarou"/>
        <w:spacing w:line="240" w:lineRule="auto"/>
        <w:rPr>
          <w:i/>
        </w:rPr>
      </w:pPr>
      <w:r w:rsidRPr="004418B4">
        <w:rPr>
          <w:rStyle w:val="Znakapoznpodarou"/>
        </w:rPr>
        <w:footnoteRef/>
      </w:r>
      <w:r w:rsidRPr="004418B4">
        <w:t xml:space="preserve"> Viz § 1 odst. 1 zákona č. 451/1991 Sb., kterým se stanoví některé další předpoklady pro výkon některých funkcí ve státních orgánech a organizacích České a Slovenské Federativní Republiky, České republiky a Slovenské republiky (tzv. „velký lustrační zákon“): </w:t>
      </w:r>
      <w:r w:rsidRPr="004418B4">
        <w:rPr>
          <w:i/>
        </w:rPr>
        <w:t>„(1) Tento zákon stanoví některé další předpoklady pro výkon funkcí obsazovaných volbou, jmenováním nebo ustanovováním</w:t>
      </w:r>
    </w:p>
    <w:p w:rsidR="00EF3583" w:rsidRPr="004418B4" w:rsidRDefault="00EF3583" w:rsidP="001B3AC1">
      <w:pPr>
        <w:pStyle w:val="Textpoznpodarou"/>
        <w:spacing w:line="240" w:lineRule="auto"/>
        <w:rPr>
          <w:i/>
        </w:rPr>
      </w:pPr>
      <w:r w:rsidRPr="004418B4">
        <w:rPr>
          <w:i/>
        </w:rPr>
        <w:t>a) v orgánech státních správy České a Slovenské Federativní Republiky, České republiky a Slovenské republiky,</w:t>
      </w:r>
    </w:p>
    <w:p w:rsidR="00EF3583" w:rsidRPr="004418B4" w:rsidRDefault="00EF3583" w:rsidP="001B3AC1">
      <w:pPr>
        <w:pStyle w:val="Textpoznpodarou"/>
        <w:spacing w:line="240" w:lineRule="auto"/>
        <w:rPr>
          <w:i/>
        </w:rPr>
      </w:pPr>
      <w:r w:rsidRPr="004418B4">
        <w:rPr>
          <w:i/>
        </w:rPr>
        <w:t>b) v Československé armádě,</w:t>
      </w:r>
    </w:p>
    <w:p w:rsidR="00EF3583" w:rsidRPr="004418B4" w:rsidRDefault="00EF3583" w:rsidP="001B3AC1">
      <w:pPr>
        <w:pStyle w:val="Textpoznpodarou"/>
        <w:spacing w:line="240" w:lineRule="auto"/>
        <w:rPr>
          <w:i/>
        </w:rPr>
      </w:pPr>
      <w:r w:rsidRPr="004418B4">
        <w:rPr>
          <w:i/>
        </w:rPr>
        <w:t>c) ve Federální bezpečnostní informační službě, Federálním policejním sboru, Sboru hradní policie,</w:t>
      </w:r>
    </w:p>
    <w:p w:rsidR="00EF3583" w:rsidRPr="004418B4" w:rsidRDefault="00EF3583" w:rsidP="001B3AC1">
      <w:pPr>
        <w:pStyle w:val="Textpoznpodarou"/>
        <w:spacing w:line="240" w:lineRule="auto"/>
        <w:rPr>
          <w:i/>
        </w:rPr>
      </w:pPr>
      <w:r w:rsidRPr="004418B4">
        <w:rPr>
          <w:i/>
        </w:rPr>
        <w:t>d) v Kanceláři prezidenta České a Slovenské Federativní Republiky, Kanceláři Federálního shromáždění, Kanceláři České národní rady, Kanceláři Slovenské národní rady, Úřadu vlády České a Slovenské Federativní Republiky, Úřadu vlády České republiky, Úřadu vlády Slovenské republiky, Kanceláři Ústavního soudu České a Slovenské Federativní Republiky, Kanceláři Ústavního soudu České republiky, Kanceláři Ústavního soudu Slovenské republiky, Kanceláři Nejvyššího soudu České a Slovenské Federativní Republiky, Kanceláři Nejvyššího soudu České republiky, Kanceláři Nejvyššího soudu Slovenské republiky, v prezídiu Československé akademie věd a v předsednictvu Slovenské akademie věd, a u Nejvyššího správního soudu,</w:t>
      </w:r>
    </w:p>
    <w:p w:rsidR="00EF3583" w:rsidRPr="004418B4" w:rsidRDefault="00EF3583" w:rsidP="001B3AC1">
      <w:pPr>
        <w:pStyle w:val="Textpoznpodarou"/>
        <w:spacing w:line="240" w:lineRule="auto"/>
        <w:rPr>
          <w:i/>
        </w:rPr>
      </w:pPr>
      <w:r w:rsidRPr="004418B4">
        <w:rPr>
          <w:i/>
        </w:rPr>
        <w:t>e) v Československém rozhlase, Českém rozhlase, Slovenském rozhlase, Československé televizi, České televizi, Slovenské televizi, Československé tiskové kanceláři, Československé tiskové kanceláři České republiky a Československé tiskové kanceláři Slovenské republiky,</w:t>
      </w:r>
    </w:p>
    <w:p w:rsidR="00EF3583" w:rsidRPr="004418B4" w:rsidRDefault="00EF3583" w:rsidP="001B3AC1">
      <w:pPr>
        <w:pStyle w:val="Textpoznpodarou"/>
        <w:spacing w:line="240" w:lineRule="auto"/>
        <w:rPr>
          <w:i/>
        </w:rPr>
      </w:pPr>
      <w:r w:rsidRPr="004418B4">
        <w:rPr>
          <w:i/>
        </w:rPr>
        <w:t>f) ve státních podnicích, státních organizacích, akciových společnostech, kde většinovým akcionářem je stát, v podnicích zahraničního obchodu, ve státní organizaci Československé státní dráhy, státních fondech, ve státních peněžních ústavech a Státní bance československé,</w:t>
      </w:r>
    </w:p>
    <w:p w:rsidR="00EF3583" w:rsidRPr="004418B4" w:rsidRDefault="00EF3583" w:rsidP="001B3AC1">
      <w:pPr>
        <w:pStyle w:val="Textpoznpodarou"/>
        <w:spacing w:line="240" w:lineRule="auto"/>
        <w:rPr>
          <w:i/>
        </w:rPr>
      </w:pPr>
      <w:r w:rsidRPr="004418B4">
        <w:rPr>
          <w:i/>
        </w:rPr>
        <w:t>g) v úřadech územních samosprávných celků, pokud se dále nestanoví jinak.“</w:t>
      </w:r>
    </w:p>
    <w:p w:rsidR="00EF3583" w:rsidRPr="004418B4" w:rsidRDefault="00EF3583" w:rsidP="001B3AC1">
      <w:pPr>
        <w:pStyle w:val="Textpoznpodarou"/>
        <w:spacing w:line="240" w:lineRule="auto"/>
        <w:rPr>
          <w:i/>
        </w:rPr>
      </w:pPr>
      <w:r w:rsidRPr="004418B4">
        <w:t xml:space="preserve">Obdobně viz § 1 zákona č. 279/1992 Sb., o některých dalších předpokladech pro výkon některých funkcí obsazovaných ustanovením nebo jmenováním příslušníků Policie České republiky a příslušníků Sboru nápravné výchovy České republiky (tzv. „malý lustrační zákon“): </w:t>
      </w:r>
      <w:r w:rsidRPr="004418B4">
        <w:rPr>
          <w:i/>
        </w:rPr>
        <w:t>„Tento zákon stanoví některé další předpoklady pro výkon některých funkcí obsazovaných ustanovováním nebo jmenováním</w:t>
      </w:r>
    </w:p>
    <w:p w:rsidR="00EF3583" w:rsidRPr="004418B4" w:rsidRDefault="00EF3583" w:rsidP="001B3AC1">
      <w:pPr>
        <w:pStyle w:val="Textpoznpodarou"/>
        <w:spacing w:line="240" w:lineRule="auto"/>
        <w:rPr>
          <w:i/>
        </w:rPr>
      </w:pPr>
      <w:r w:rsidRPr="004418B4">
        <w:rPr>
          <w:i/>
        </w:rPr>
        <w:t>a) v ministerstvu vnitra České republiky (dále jen ‚ministerstvo‘),</w:t>
      </w:r>
    </w:p>
    <w:p w:rsidR="00EF3583" w:rsidRPr="004418B4" w:rsidRDefault="00EF3583" w:rsidP="001B3AC1">
      <w:pPr>
        <w:pStyle w:val="Textpoznpodarou"/>
        <w:spacing w:line="240" w:lineRule="auto"/>
        <w:rPr>
          <w:i/>
        </w:rPr>
      </w:pPr>
      <w:r w:rsidRPr="004418B4">
        <w:rPr>
          <w:i/>
        </w:rPr>
        <w:t xml:space="preserve"> b) v Policii České republiky,</w:t>
      </w:r>
    </w:p>
    <w:p w:rsidR="00EF3583" w:rsidRPr="004418B4" w:rsidRDefault="00EF3583" w:rsidP="001B3AC1">
      <w:pPr>
        <w:pStyle w:val="Textpoznpodarou"/>
        <w:spacing w:line="240" w:lineRule="auto"/>
        <w:rPr>
          <w:i/>
        </w:rPr>
      </w:pPr>
      <w:r w:rsidRPr="004418B4">
        <w:rPr>
          <w:i/>
        </w:rPr>
        <w:t xml:space="preserve"> c) ve Vězeňské službě České republiky.“</w:t>
      </w:r>
    </w:p>
  </w:footnote>
  <w:footnote w:id="10">
    <w:p w:rsidR="00EF3583" w:rsidRPr="004418B4" w:rsidRDefault="00EF3583" w:rsidP="001B3AC1">
      <w:pPr>
        <w:pStyle w:val="Textpoznpodarou"/>
        <w:spacing w:line="240" w:lineRule="auto"/>
      </w:pPr>
      <w:r w:rsidRPr="004418B4">
        <w:rPr>
          <w:rStyle w:val="Znakapoznpodarou"/>
        </w:rPr>
        <w:footnoteRef/>
      </w:r>
      <w:r w:rsidRPr="004418B4">
        <w:t xml:space="preserve"> Kromě funkce totiž může jít například o členství v určité organizaci (Lidové milice) či o studium na určité škole (například na Vysoké škole Felixe </w:t>
      </w:r>
      <w:proofErr w:type="spellStart"/>
      <w:r w:rsidRPr="004418B4">
        <w:t>Edmundoviče</w:t>
      </w:r>
      <w:proofErr w:type="spellEnd"/>
      <w:r w:rsidRPr="004418B4">
        <w:t xml:space="preserve"> Dzeržinského při Radě ministrů Svazu sovětských socialistických republik pro příslušníky Státní bezpečnosti).  </w:t>
      </w:r>
    </w:p>
  </w:footnote>
  <w:footnote w:id="11">
    <w:p w:rsidR="00EF3583" w:rsidRPr="004418B4" w:rsidRDefault="00EF3583" w:rsidP="001B3AC1">
      <w:pPr>
        <w:pStyle w:val="Textpoznpodarou"/>
        <w:spacing w:line="240" w:lineRule="auto"/>
      </w:pPr>
      <w:r w:rsidRPr="004418B4">
        <w:rPr>
          <w:rStyle w:val="Znakapoznpodarou"/>
        </w:rPr>
        <w:footnoteRef/>
      </w:r>
      <w:r w:rsidRPr="004418B4">
        <w:t xml:space="preserve"> Viz § 2 </w:t>
      </w:r>
      <w:proofErr w:type="gramStart"/>
      <w:r w:rsidRPr="004418B4">
        <w:t>nynějšího</w:t>
      </w:r>
      <w:proofErr w:type="gramEnd"/>
      <w:r w:rsidRPr="004418B4">
        <w:t xml:space="preserve"> znění tzv. velkého lustračního zákona: </w:t>
      </w:r>
    </w:p>
    <w:p w:rsidR="00EF3583" w:rsidRPr="004418B4" w:rsidRDefault="00EF3583" w:rsidP="001B3AC1">
      <w:pPr>
        <w:pStyle w:val="Textpoznpodarou"/>
        <w:spacing w:line="240" w:lineRule="auto"/>
        <w:rPr>
          <w:i/>
        </w:rPr>
      </w:pPr>
      <w:r w:rsidRPr="004418B4">
        <w:rPr>
          <w:i/>
        </w:rPr>
        <w:t>„(1) Předpokladem pro výkon funkce uvedené v § 1 je, že občan v období od 25. 2. 1948 do 17. 11. 1989 nebyl</w:t>
      </w:r>
    </w:p>
    <w:p w:rsidR="00EF3583" w:rsidRPr="004418B4" w:rsidRDefault="00EF3583" w:rsidP="001B3AC1">
      <w:pPr>
        <w:pStyle w:val="Textpoznpodarou"/>
        <w:spacing w:line="240" w:lineRule="auto"/>
        <w:rPr>
          <w:i/>
        </w:rPr>
      </w:pPr>
      <w:r w:rsidRPr="004418B4">
        <w:rPr>
          <w:i/>
        </w:rPr>
        <w:t>a) příslušníkem Sboru národní bezpečnosti zařazeným ve složce Státní bezpečnosti,</w:t>
      </w:r>
    </w:p>
    <w:p w:rsidR="00EF3583" w:rsidRPr="004418B4" w:rsidRDefault="00EF3583" w:rsidP="001B3AC1">
      <w:pPr>
        <w:pStyle w:val="Textpoznpodarou"/>
        <w:spacing w:line="240" w:lineRule="auto"/>
        <w:rPr>
          <w:i/>
        </w:rPr>
      </w:pPr>
      <w:r w:rsidRPr="004418B4">
        <w:rPr>
          <w:i/>
        </w:rPr>
        <w:t xml:space="preserve"> b) evidován v materiálech Státní bezpečnosti jako rezident, agent, držitel propůjčeného bytu, držitel konspiračního bytu, informátor nebo ideový spolupracovník Státní bezpečnosti,</w:t>
      </w:r>
    </w:p>
    <w:p w:rsidR="00EF3583" w:rsidRPr="004418B4" w:rsidRDefault="00EF3583" w:rsidP="001B3AC1">
      <w:pPr>
        <w:pStyle w:val="Textpoznpodarou"/>
        <w:spacing w:line="240" w:lineRule="auto"/>
      </w:pPr>
      <w:proofErr w:type="gramStart"/>
      <w:r w:rsidRPr="004418B4">
        <w:rPr>
          <w:i/>
        </w:rPr>
        <w:t xml:space="preserve">c) </w:t>
      </w:r>
      <w:r w:rsidRPr="004418B4">
        <w:t>(ztratilo</w:t>
      </w:r>
      <w:proofErr w:type="gramEnd"/>
      <w:r w:rsidRPr="004418B4">
        <w:t xml:space="preserve"> účinnost)</w:t>
      </w:r>
    </w:p>
    <w:p w:rsidR="00EF3583" w:rsidRPr="004418B4" w:rsidRDefault="00EF3583" w:rsidP="001B3AC1">
      <w:pPr>
        <w:pStyle w:val="Textpoznpodarou"/>
        <w:spacing w:line="240" w:lineRule="auto"/>
        <w:rPr>
          <w:i/>
        </w:rPr>
      </w:pPr>
      <w:r w:rsidRPr="004418B4">
        <w:rPr>
          <w:i/>
        </w:rPr>
        <w:t>d) 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EF3583" w:rsidRPr="004418B4" w:rsidRDefault="00EF3583" w:rsidP="001B3AC1">
      <w:pPr>
        <w:pStyle w:val="Textpoznpodarou"/>
        <w:spacing w:line="240" w:lineRule="auto"/>
        <w:rPr>
          <w:i/>
        </w:rPr>
      </w:pPr>
      <w:r w:rsidRPr="004418B4">
        <w:rPr>
          <w:i/>
        </w:rPr>
        <w:t>e) pracovníkem aparátu orgánů uvedených pod písmenem d) na úseku politického řízení Sboru národní bezpečnosti,</w:t>
      </w:r>
    </w:p>
    <w:p w:rsidR="00EF3583" w:rsidRPr="004418B4" w:rsidRDefault="00EF3583" w:rsidP="001B3AC1">
      <w:pPr>
        <w:pStyle w:val="Textpoznpodarou"/>
        <w:spacing w:line="240" w:lineRule="auto"/>
        <w:rPr>
          <w:i/>
        </w:rPr>
      </w:pPr>
      <w:r w:rsidRPr="004418B4">
        <w:rPr>
          <w:i/>
        </w:rPr>
        <w:t>f) příslušníkem Lidových milicí,</w:t>
      </w:r>
    </w:p>
    <w:p w:rsidR="00EF3583" w:rsidRPr="004418B4" w:rsidRDefault="00EF3583" w:rsidP="001B3AC1">
      <w:pPr>
        <w:pStyle w:val="Textpoznpodarou"/>
        <w:spacing w:line="240" w:lineRule="auto"/>
        <w:rPr>
          <w:i/>
        </w:rPr>
      </w:pPr>
      <w:r w:rsidRPr="004418B4">
        <w:rPr>
          <w:i/>
        </w:rPr>
        <w:t>g) členem akčního výboru Národní fronty po 25. 2. 1948, prověrkových komisí po 25. 2. 1948 nebo prověrkových a normalizačních komisí po 21. 8. 1968,</w:t>
      </w:r>
    </w:p>
    <w:p w:rsidR="00EF3583" w:rsidRPr="004418B4" w:rsidRDefault="00EF3583" w:rsidP="001B3AC1">
      <w:pPr>
        <w:pStyle w:val="Textpoznpodarou"/>
        <w:spacing w:line="240" w:lineRule="auto"/>
        <w:rPr>
          <w:i/>
        </w:rPr>
      </w:pPr>
      <w:r w:rsidRPr="004418B4">
        <w:rPr>
          <w:i/>
        </w:rPr>
        <w:t xml:space="preserve">h) studentem na Vysoké škole Felixe </w:t>
      </w:r>
      <w:proofErr w:type="spellStart"/>
      <w:r w:rsidRPr="004418B4">
        <w:rPr>
          <w:i/>
        </w:rPr>
        <w:t>Edmundoviče</w:t>
      </w:r>
      <w:proofErr w:type="spellEnd"/>
      <w:r w:rsidRPr="004418B4">
        <w:rPr>
          <w:i/>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 delších než 3 měsíce na těchto školách.“</w:t>
      </w:r>
    </w:p>
  </w:footnote>
  <w:footnote w:id="12">
    <w:p w:rsidR="00EF3583" w:rsidRPr="004418B4" w:rsidRDefault="00EF3583" w:rsidP="001B3AC1">
      <w:pPr>
        <w:pStyle w:val="Textpoznpodarou"/>
        <w:spacing w:line="240" w:lineRule="auto"/>
      </w:pPr>
      <w:r w:rsidRPr="004418B4">
        <w:rPr>
          <w:rStyle w:val="Znakapoznpodarou"/>
        </w:rPr>
        <w:footnoteRef/>
      </w:r>
      <w:r w:rsidRPr="004418B4">
        <w:t xml:space="preserve"> </w:t>
      </w:r>
      <w:r w:rsidR="00857DD9" w:rsidRPr="004418B4">
        <w:t>Z</w:t>
      </w:r>
      <w:r w:rsidRPr="004418B4">
        <w:t>ákon ČNR č. 279/1992 Sb., o některých dalších předpokladech pro výkon některých funkcí obsazovaných ustanovením nebo jmenováním příslušníků Policie České republiky a příslušníků Sboru nápravné výchovy České republiky</w:t>
      </w:r>
      <w:r w:rsidR="00857DD9" w:rsidRPr="004418B4">
        <w:t>.</w:t>
      </w:r>
    </w:p>
  </w:footnote>
  <w:footnote w:id="13">
    <w:p w:rsidR="00857DD9" w:rsidRPr="004418B4" w:rsidRDefault="00857DD9" w:rsidP="001B3AC1">
      <w:pPr>
        <w:pStyle w:val="Textpoznpodarou"/>
        <w:spacing w:line="240" w:lineRule="auto"/>
      </w:pPr>
      <w:r w:rsidRPr="004418B4">
        <w:rPr>
          <w:rStyle w:val="Znakapoznpodarou"/>
        </w:rPr>
        <w:footnoteRef/>
      </w:r>
      <w:r w:rsidRPr="004418B4">
        <w:t xml:space="preserve"> Zákon č. 451/1991 Sb., kterým se stanoví některé další předpoklady pro výkon některých funkcí ve státních orgánech a organizacích České a Slovenské Federativní Republiky, České republiky a Slovenské republiky.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312A0"/>
    <w:multiLevelType w:val="hybridMultilevel"/>
    <w:tmpl w:val="643A8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24487"/>
    <w:multiLevelType w:val="hybridMultilevel"/>
    <w:tmpl w:val="79A41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860885"/>
    <w:multiLevelType w:val="hybridMultilevel"/>
    <w:tmpl w:val="27B0D43A"/>
    <w:lvl w:ilvl="0" w:tplc="6B66A5CA">
      <w:start w:val="1"/>
      <w:numFmt w:val="decimal"/>
      <w:lvlText w:val="%1."/>
      <w:lvlJc w:val="left"/>
      <w:pPr>
        <w:tabs>
          <w:tab w:val="num" w:pos="720"/>
        </w:tabs>
        <w:ind w:left="720" w:hanging="360"/>
      </w:pPr>
    </w:lvl>
    <w:lvl w:ilvl="1" w:tplc="C20A7F4C" w:tentative="1">
      <w:start w:val="1"/>
      <w:numFmt w:val="decimal"/>
      <w:lvlText w:val="%2."/>
      <w:lvlJc w:val="left"/>
      <w:pPr>
        <w:tabs>
          <w:tab w:val="num" w:pos="1440"/>
        </w:tabs>
        <w:ind w:left="1440" w:hanging="360"/>
      </w:pPr>
    </w:lvl>
    <w:lvl w:ilvl="2" w:tplc="0F0CC034" w:tentative="1">
      <w:start w:val="1"/>
      <w:numFmt w:val="decimal"/>
      <w:lvlText w:val="%3."/>
      <w:lvlJc w:val="left"/>
      <w:pPr>
        <w:tabs>
          <w:tab w:val="num" w:pos="2160"/>
        </w:tabs>
        <w:ind w:left="2160" w:hanging="360"/>
      </w:pPr>
    </w:lvl>
    <w:lvl w:ilvl="3" w:tplc="10EA4E2C" w:tentative="1">
      <w:start w:val="1"/>
      <w:numFmt w:val="decimal"/>
      <w:lvlText w:val="%4."/>
      <w:lvlJc w:val="left"/>
      <w:pPr>
        <w:tabs>
          <w:tab w:val="num" w:pos="2880"/>
        </w:tabs>
        <w:ind w:left="2880" w:hanging="360"/>
      </w:pPr>
    </w:lvl>
    <w:lvl w:ilvl="4" w:tplc="4F96B59E" w:tentative="1">
      <w:start w:val="1"/>
      <w:numFmt w:val="decimal"/>
      <w:lvlText w:val="%5."/>
      <w:lvlJc w:val="left"/>
      <w:pPr>
        <w:tabs>
          <w:tab w:val="num" w:pos="3600"/>
        </w:tabs>
        <w:ind w:left="3600" w:hanging="360"/>
      </w:pPr>
    </w:lvl>
    <w:lvl w:ilvl="5" w:tplc="084A3FF8" w:tentative="1">
      <w:start w:val="1"/>
      <w:numFmt w:val="decimal"/>
      <w:lvlText w:val="%6."/>
      <w:lvlJc w:val="left"/>
      <w:pPr>
        <w:tabs>
          <w:tab w:val="num" w:pos="4320"/>
        </w:tabs>
        <w:ind w:left="4320" w:hanging="360"/>
      </w:pPr>
    </w:lvl>
    <w:lvl w:ilvl="6" w:tplc="849848F2" w:tentative="1">
      <w:start w:val="1"/>
      <w:numFmt w:val="decimal"/>
      <w:lvlText w:val="%7."/>
      <w:lvlJc w:val="left"/>
      <w:pPr>
        <w:tabs>
          <w:tab w:val="num" w:pos="5040"/>
        </w:tabs>
        <w:ind w:left="5040" w:hanging="360"/>
      </w:pPr>
    </w:lvl>
    <w:lvl w:ilvl="7" w:tplc="D878FFF2" w:tentative="1">
      <w:start w:val="1"/>
      <w:numFmt w:val="decimal"/>
      <w:lvlText w:val="%8."/>
      <w:lvlJc w:val="left"/>
      <w:pPr>
        <w:tabs>
          <w:tab w:val="num" w:pos="5760"/>
        </w:tabs>
        <w:ind w:left="5760" w:hanging="360"/>
      </w:pPr>
    </w:lvl>
    <w:lvl w:ilvl="8" w:tplc="988A7052" w:tentative="1">
      <w:start w:val="1"/>
      <w:numFmt w:val="decimal"/>
      <w:lvlText w:val="%9."/>
      <w:lvlJc w:val="left"/>
      <w:pPr>
        <w:tabs>
          <w:tab w:val="num" w:pos="6480"/>
        </w:tabs>
        <w:ind w:left="6480" w:hanging="360"/>
      </w:pPr>
    </w:lvl>
  </w:abstractNum>
  <w:abstractNum w:abstractNumId="3">
    <w:nsid w:val="3A091E3D"/>
    <w:multiLevelType w:val="hybridMultilevel"/>
    <w:tmpl w:val="86B43C6C"/>
    <w:lvl w:ilvl="0" w:tplc="5D40E758">
      <w:start w:val="1"/>
      <w:numFmt w:val="bullet"/>
      <w:lvlText w:val=""/>
      <w:lvlJc w:val="left"/>
      <w:pPr>
        <w:tabs>
          <w:tab w:val="num" w:pos="720"/>
        </w:tabs>
        <w:ind w:left="720" w:hanging="360"/>
      </w:pPr>
      <w:rPr>
        <w:rFonts w:ascii="Wingdings" w:hAnsi="Wingdings" w:hint="default"/>
      </w:rPr>
    </w:lvl>
    <w:lvl w:ilvl="1" w:tplc="CB841A42">
      <w:start w:val="2039"/>
      <w:numFmt w:val="bullet"/>
      <w:lvlText w:val=""/>
      <w:lvlJc w:val="left"/>
      <w:pPr>
        <w:tabs>
          <w:tab w:val="num" w:pos="1440"/>
        </w:tabs>
        <w:ind w:left="1440" w:hanging="360"/>
      </w:pPr>
      <w:rPr>
        <w:rFonts w:ascii="Wingdings 2" w:hAnsi="Wingdings 2" w:hint="default"/>
      </w:rPr>
    </w:lvl>
    <w:lvl w:ilvl="2" w:tplc="A832244E" w:tentative="1">
      <w:start w:val="1"/>
      <w:numFmt w:val="bullet"/>
      <w:lvlText w:val=""/>
      <w:lvlJc w:val="left"/>
      <w:pPr>
        <w:tabs>
          <w:tab w:val="num" w:pos="2160"/>
        </w:tabs>
        <w:ind w:left="2160" w:hanging="360"/>
      </w:pPr>
      <w:rPr>
        <w:rFonts w:ascii="Wingdings" w:hAnsi="Wingdings" w:hint="default"/>
      </w:rPr>
    </w:lvl>
    <w:lvl w:ilvl="3" w:tplc="23E20C7A" w:tentative="1">
      <w:start w:val="1"/>
      <w:numFmt w:val="bullet"/>
      <w:lvlText w:val=""/>
      <w:lvlJc w:val="left"/>
      <w:pPr>
        <w:tabs>
          <w:tab w:val="num" w:pos="2880"/>
        </w:tabs>
        <w:ind w:left="2880" w:hanging="360"/>
      </w:pPr>
      <w:rPr>
        <w:rFonts w:ascii="Wingdings" w:hAnsi="Wingdings" w:hint="default"/>
      </w:rPr>
    </w:lvl>
    <w:lvl w:ilvl="4" w:tplc="098CB812" w:tentative="1">
      <w:start w:val="1"/>
      <w:numFmt w:val="bullet"/>
      <w:lvlText w:val=""/>
      <w:lvlJc w:val="left"/>
      <w:pPr>
        <w:tabs>
          <w:tab w:val="num" w:pos="3600"/>
        </w:tabs>
        <w:ind w:left="3600" w:hanging="360"/>
      </w:pPr>
      <w:rPr>
        <w:rFonts w:ascii="Wingdings" w:hAnsi="Wingdings" w:hint="default"/>
      </w:rPr>
    </w:lvl>
    <w:lvl w:ilvl="5" w:tplc="375046C8" w:tentative="1">
      <w:start w:val="1"/>
      <w:numFmt w:val="bullet"/>
      <w:lvlText w:val=""/>
      <w:lvlJc w:val="left"/>
      <w:pPr>
        <w:tabs>
          <w:tab w:val="num" w:pos="4320"/>
        </w:tabs>
        <w:ind w:left="4320" w:hanging="360"/>
      </w:pPr>
      <w:rPr>
        <w:rFonts w:ascii="Wingdings" w:hAnsi="Wingdings" w:hint="default"/>
      </w:rPr>
    </w:lvl>
    <w:lvl w:ilvl="6" w:tplc="C81C855E" w:tentative="1">
      <w:start w:val="1"/>
      <w:numFmt w:val="bullet"/>
      <w:lvlText w:val=""/>
      <w:lvlJc w:val="left"/>
      <w:pPr>
        <w:tabs>
          <w:tab w:val="num" w:pos="5040"/>
        </w:tabs>
        <w:ind w:left="5040" w:hanging="360"/>
      </w:pPr>
      <w:rPr>
        <w:rFonts w:ascii="Wingdings" w:hAnsi="Wingdings" w:hint="default"/>
      </w:rPr>
    </w:lvl>
    <w:lvl w:ilvl="7" w:tplc="C7E093D2" w:tentative="1">
      <w:start w:val="1"/>
      <w:numFmt w:val="bullet"/>
      <w:lvlText w:val=""/>
      <w:lvlJc w:val="left"/>
      <w:pPr>
        <w:tabs>
          <w:tab w:val="num" w:pos="5760"/>
        </w:tabs>
        <w:ind w:left="5760" w:hanging="360"/>
      </w:pPr>
      <w:rPr>
        <w:rFonts w:ascii="Wingdings" w:hAnsi="Wingdings" w:hint="default"/>
      </w:rPr>
    </w:lvl>
    <w:lvl w:ilvl="8" w:tplc="8C1EF998" w:tentative="1">
      <w:start w:val="1"/>
      <w:numFmt w:val="bullet"/>
      <w:lvlText w:val=""/>
      <w:lvlJc w:val="left"/>
      <w:pPr>
        <w:tabs>
          <w:tab w:val="num" w:pos="6480"/>
        </w:tabs>
        <w:ind w:left="6480" w:hanging="360"/>
      </w:pPr>
      <w:rPr>
        <w:rFonts w:ascii="Wingdings" w:hAnsi="Wingdings" w:hint="default"/>
      </w:rPr>
    </w:lvl>
  </w:abstractNum>
  <w:abstractNum w:abstractNumId="4">
    <w:nsid w:val="7E167194"/>
    <w:multiLevelType w:val="hybridMultilevel"/>
    <w:tmpl w:val="2D4E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73"/>
    <w:rsid w:val="001B3AC1"/>
    <w:rsid w:val="001D69C8"/>
    <w:rsid w:val="001F3923"/>
    <w:rsid w:val="00335E84"/>
    <w:rsid w:val="00346305"/>
    <w:rsid w:val="0036005F"/>
    <w:rsid w:val="004031BA"/>
    <w:rsid w:val="004418B4"/>
    <w:rsid w:val="004E382D"/>
    <w:rsid w:val="00553B09"/>
    <w:rsid w:val="005B53D1"/>
    <w:rsid w:val="006061DC"/>
    <w:rsid w:val="00620BCE"/>
    <w:rsid w:val="007D60CF"/>
    <w:rsid w:val="0081794D"/>
    <w:rsid w:val="0085075C"/>
    <w:rsid w:val="00857DD9"/>
    <w:rsid w:val="00A160BA"/>
    <w:rsid w:val="00B025A2"/>
    <w:rsid w:val="00B17411"/>
    <w:rsid w:val="00B421CE"/>
    <w:rsid w:val="00B9624B"/>
    <w:rsid w:val="00C11973"/>
    <w:rsid w:val="00CB17C5"/>
    <w:rsid w:val="00CB38C9"/>
    <w:rsid w:val="00DB489C"/>
    <w:rsid w:val="00E32658"/>
    <w:rsid w:val="00E5731C"/>
    <w:rsid w:val="00E72BE8"/>
    <w:rsid w:val="00EF3583"/>
    <w:rsid w:val="00EF5FFC"/>
    <w:rsid w:val="00F01505"/>
    <w:rsid w:val="00F73072"/>
    <w:rsid w:val="00F7523E"/>
    <w:rsid w:val="00F83E31"/>
    <w:rsid w:val="00F87079"/>
    <w:rsid w:val="00FE6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3072"/>
    <w:pPr>
      <w:spacing w:line="360" w:lineRule="auto"/>
      <w:jc w:val="both"/>
    </w:pPr>
    <w:rPr>
      <w:rFonts w:ascii="Garamond" w:hAnsi="Garamond"/>
      <w:sz w:val="24"/>
      <w:szCs w:val="24"/>
      <w:lang w:val="cs-CZ" w:eastAsia="cs-CZ"/>
    </w:rPr>
  </w:style>
  <w:style w:type="paragraph" w:styleId="Nadpis1">
    <w:name w:val="heading 1"/>
    <w:basedOn w:val="Normln"/>
    <w:next w:val="Normln"/>
    <w:link w:val="Nadpis1Char"/>
    <w:uiPriority w:val="9"/>
    <w:qFormat/>
    <w:rsid w:val="00EF5FFC"/>
    <w:pPr>
      <w:keepNext/>
      <w:keepLines/>
      <w:spacing w:before="480"/>
      <w:jc w:val="center"/>
      <w:outlineLvl w:val="0"/>
    </w:pPr>
    <w:rPr>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F5FFC"/>
    <w:rPr>
      <w:rFonts w:ascii="Garamond" w:eastAsia="Times New Roman" w:hAnsi="Garamond" w:cs="Times New Roman"/>
      <w:bCs/>
      <w:sz w:val="32"/>
      <w:szCs w:val="28"/>
    </w:rPr>
  </w:style>
  <w:style w:type="paragraph" w:styleId="Textpoznpodarou">
    <w:name w:val="footnote text"/>
    <w:basedOn w:val="Normln"/>
    <w:link w:val="TextpoznpodarouChar"/>
    <w:uiPriority w:val="99"/>
    <w:semiHidden/>
    <w:unhideWhenUsed/>
    <w:rsid w:val="004E382D"/>
    <w:rPr>
      <w:sz w:val="20"/>
      <w:szCs w:val="20"/>
    </w:rPr>
  </w:style>
  <w:style w:type="character" w:customStyle="1" w:styleId="TextpoznpodarouChar">
    <w:name w:val="Text pozn. pod čarou Char"/>
    <w:link w:val="Textpoznpodarou"/>
    <w:uiPriority w:val="99"/>
    <w:semiHidden/>
    <w:rsid w:val="004E382D"/>
    <w:rPr>
      <w:rFonts w:ascii="Garamond" w:hAnsi="Garamond"/>
      <w:lang w:val="cs-CZ" w:eastAsia="cs-CZ"/>
    </w:rPr>
  </w:style>
  <w:style w:type="character" w:styleId="Znakapoznpodarou">
    <w:name w:val="footnote reference"/>
    <w:uiPriority w:val="99"/>
    <w:semiHidden/>
    <w:unhideWhenUsed/>
    <w:rsid w:val="004E382D"/>
    <w:rPr>
      <w:vertAlign w:val="superscript"/>
    </w:rPr>
  </w:style>
  <w:style w:type="paragraph" w:styleId="Odstavecseseznamem">
    <w:name w:val="List Paragraph"/>
    <w:basedOn w:val="Normln"/>
    <w:uiPriority w:val="34"/>
    <w:qFormat/>
    <w:rsid w:val="00F01505"/>
    <w:pPr>
      <w:ind w:left="708"/>
    </w:pPr>
  </w:style>
  <w:style w:type="paragraph" w:styleId="Zhlav">
    <w:name w:val="header"/>
    <w:basedOn w:val="Normln"/>
    <w:link w:val="ZhlavChar"/>
    <w:uiPriority w:val="99"/>
    <w:unhideWhenUsed/>
    <w:rsid w:val="00F01505"/>
    <w:pPr>
      <w:tabs>
        <w:tab w:val="center" w:pos="4536"/>
        <w:tab w:val="right" w:pos="9072"/>
      </w:tabs>
    </w:pPr>
  </w:style>
  <w:style w:type="character" w:customStyle="1" w:styleId="ZhlavChar">
    <w:name w:val="Záhlaví Char"/>
    <w:link w:val="Zhlav"/>
    <w:uiPriority w:val="99"/>
    <w:rsid w:val="00F01505"/>
    <w:rPr>
      <w:rFonts w:ascii="Garamond" w:hAnsi="Garamond"/>
      <w:sz w:val="24"/>
      <w:szCs w:val="24"/>
      <w:lang w:val="cs-CZ" w:eastAsia="cs-CZ"/>
    </w:rPr>
  </w:style>
  <w:style w:type="paragraph" w:styleId="Zpat">
    <w:name w:val="footer"/>
    <w:basedOn w:val="Normln"/>
    <w:link w:val="ZpatChar"/>
    <w:uiPriority w:val="99"/>
    <w:unhideWhenUsed/>
    <w:rsid w:val="00F01505"/>
    <w:pPr>
      <w:tabs>
        <w:tab w:val="center" w:pos="4536"/>
        <w:tab w:val="right" w:pos="9072"/>
      </w:tabs>
    </w:pPr>
  </w:style>
  <w:style w:type="character" w:customStyle="1" w:styleId="ZpatChar">
    <w:name w:val="Zápatí Char"/>
    <w:link w:val="Zpat"/>
    <w:uiPriority w:val="99"/>
    <w:rsid w:val="00F01505"/>
    <w:rPr>
      <w:rFonts w:ascii="Garamond" w:hAnsi="Garamond"/>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3072"/>
    <w:pPr>
      <w:spacing w:line="360" w:lineRule="auto"/>
      <w:jc w:val="both"/>
    </w:pPr>
    <w:rPr>
      <w:rFonts w:ascii="Garamond" w:hAnsi="Garamond"/>
      <w:sz w:val="24"/>
      <w:szCs w:val="24"/>
      <w:lang w:val="cs-CZ" w:eastAsia="cs-CZ"/>
    </w:rPr>
  </w:style>
  <w:style w:type="paragraph" w:styleId="Nadpis1">
    <w:name w:val="heading 1"/>
    <w:basedOn w:val="Normln"/>
    <w:next w:val="Normln"/>
    <w:link w:val="Nadpis1Char"/>
    <w:uiPriority w:val="9"/>
    <w:qFormat/>
    <w:rsid w:val="00EF5FFC"/>
    <w:pPr>
      <w:keepNext/>
      <w:keepLines/>
      <w:spacing w:before="480"/>
      <w:jc w:val="center"/>
      <w:outlineLvl w:val="0"/>
    </w:pPr>
    <w:rPr>
      <w:bCs/>
      <w:sz w:val="3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F5FFC"/>
    <w:rPr>
      <w:rFonts w:ascii="Garamond" w:eastAsia="Times New Roman" w:hAnsi="Garamond" w:cs="Times New Roman"/>
      <w:bCs/>
      <w:sz w:val="32"/>
      <w:szCs w:val="28"/>
    </w:rPr>
  </w:style>
  <w:style w:type="paragraph" w:styleId="Textpoznpodarou">
    <w:name w:val="footnote text"/>
    <w:basedOn w:val="Normln"/>
    <w:link w:val="TextpoznpodarouChar"/>
    <w:uiPriority w:val="99"/>
    <w:semiHidden/>
    <w:unhideWhenUsed/>
    <w:rsid w:val="004E382D"/>
    <w:rPr>
      <w:sz w:val="20"/>
      <w:szCs w:val="20"/>
    </w:rPr>
  </w:style>
  <w:style w:type="character" w:customStyle="1" w:styleId="TextpoznpodarouChar">
    <w:name w:val="Text pozn. pod čarou Char"/>
    <w:link w:val="Textpoznpodarou"/>
    <w:uiPriority w:val="99"/>
    <w:semiHidden/>
    <w:rsid w:val="004E382D"/>
    <w:rPr>
      <w:rFonts w:ascii="Garamond" w:hAnsi="Garamond"/>
      <w:lang w:val="cs-CZ" w:eastAsia="cs-CZ"/>
    </w:rPr>
  </w:style>
  <w:style w:type="character" w:styleId="Znakapoznpodarou">
    <w:name w:val="footnote reference"/>
    <w:uiPriority w:val="99"/>
    <w:semiHidden/>
    <w:unhideWhenUsed/>
    <w:rsid w:val="004E382D"/>
    <w:rPr>
      <w:vertAlign w:val="superscript"/>
    </w:rPr>
  </w:style>
  <w:style w:type="paragraph" w:styleId="Odstavecseseznamem">
    <w:name w:val="List Paragraph"/>
    <w:basedOn w:val="Normln"/>
    <w:uiPriority w:val="34"/>
    <w:qFormat/>
    <w:rsid w:val="00F01505"/>
    <w:pPr>
      <w:ind w:left="708"/>
    </w:pPr>
  </w:style>
  <w:style w:type="paragraph" w:styleId="Zhlav">
    <w:name w:val="header"/>
    <w:basedOn w:val="Normln"/>
    <w:link w:val="ZhlavChar"/>
    <w:uiPriority w:val="99"/>
    <w:unhideWhenUsed/>
    <w:rsid w:val="00F01505"/>
    <w:pPr>
      <w:tabs>
        <w:tab w:val="center" w:pos="4536"/>
        <w:tab w:val="right" w:pos="9072"/>
      </w:tabs>
    </w:pPr>
  </w:style>
  <w:style w:type="character" w:customStyle="1" w:styleId="ZhlavChar">
    <w:name w:val="Záhlaví Char"/>
    <w:link w:val="Zhlav"/>
    <w:uiPriority w:val="99"/>
    <w:rsid w:val="00F01505"/>
    <w:rPr>
      <w:rFonts w:ascii="Garamond" w:hAnsi="Garamond"/>
      <w:sz w:val="24"/>
      <w:szCs w:val="24"/>
      <w:lang w:val="cs-CZ" w:eastAsia="cs-CZ"/>
    </w:rPr>
  </w:style>
  <w:style w:type="paragraph" w:styleId="Zpat">
    <w:name w:val="footer"/>
    <w:basedOn w:val="Normln"/>
    <w:link w:val="ZpatChar"/>
    <w:uiPriority w:val="99"/>
    <w:unhideWhenUsed/>
    <w:rsid w:val="00F01505"/>
    <w:pPr>
      <w:tabs>
        <w:tab w:val="center" w:pos="4536"/>
        <w:tab w:val="right" w:pos="9072"/>
      </w:tabs>
    </w:pPr>
  </w:style>
  <w:style w:type="character" w:customStyle="1" w:styleId="ZpatChar">
    <w:name w:val="Zápatí Char"/>
    <w:link w:val="Zpat"/>
    <w:uiPriority w:val="99"/>
    <w:rsid w:val="00F01505"/>
    <w:rPr>
      <w:rFonts w:ascii="Garamond" w:hAnsi="Garamond"/>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0488">
      <w:bodyDiv w:val="1"/>
      <w:marLeft w:val="0"/>
      <w:marRight w:val="0"/>
      <w:marTop w:val="0"/>
      <w:marBottom w:val="0"/>
      <w:divBdr>
        <w:top w:val="none" w:sz="0" w:space="0" w:color="auto"/>
        <w:left w:val="none" w:sz="0" w:space="0" w:color="auto"/>
        <w:bottom w:val="none" w:sz="0" w:space="0" w:color="auto"/>
        <w:right w:val="none" w:sz="0" w:space="0" w:color="auto"/>
      </w:divBdr>
      <w:divsChild>
        <w:div w:id="176697601">
          <w:marLeft w:val="720"/>
          <w:marRight w:val="0"/>
          <w:marTop w:val="120"/>
          <w:marBottom w:val="0"/>
          <w:divBdr>
            <w:top w:val="none" w:sz="0" w:space="0" w:color="auto"/>
            <w:left w:val="none" w:sz="0" w:space="0" w:color="auto"/>
            <w:bottom w:val="none" w:sz="0" w:space="0" w:color="auto"/>
            <w:right w:val="none" w:sz="0" w:space="0" w:color="auto"/>
          </w:divBdr>
        </w:div>
        <w:div w:id="188766784">
          <w:marLeft w:val="720"/>
          <w:marRight w:val="0"/>
          <w:marTop w:val="120"/>
          <w:marBottom w:val="0"/>
          <w:divBdr>
            <w:top w:val="none" w:sz="0" w:space="0" w:color="auto"/>
            <w:left w:val="none" w:sz="0" w:space="0" w:color="auto"/>
            <w:bottom w:val="none" w:sz="0" w:space="0" w:color="auto"/>
            <w:right w:val="none" w:sz="0" w:space="0" w:color="auto"/>
          </w:divBdr>
        </w:div>
        <w:div w:id="548499641">
          <w:marLeft w:val="720"/>
          <w:marRight w:val="0"/>
          <w:marTop w:val="120"/>
          <w:marBottom w:val="0"/>
          <w:divBdr>
            <w:top w:val="none" w:sz="0" w:space="0" w:color="auto"/>
            <w:left w:val="none" w:sz="0" w:space="0" w:color="auto"/>
            <w:bottom w:val="none" w:sz="0" w:space="0" w:color="auto"/>
            <w:right w:val="none" w:sz="0" w:space="0" w:color="auto"/>
          </w:divBdr>
        </w:div>
        <w:div w:id="701327690">
          <w:marLeft w:val="720"/>
          <w:marRight w:val="0"/>
          <w:marTop w:val="120"/>
          <w:marBottom w:val="0"/>
          <w:divBdr>
            <w:top w:val="none" w:sz="0" w:space="0" w:color="auto"/>
            <w:left w:val="none" w:sz="0" w:space="0" w:color="auto"/>
            <w:bottom w:val="none" w:sz="0" w:space="0" w:color="auto"/>
            <w:right w:val="none" w:sz="0" w:space="0" w:color="auto"/>
          </w:divBdr>
        </w:div>
        <w:div w:id="734476482">
          <w:marLeft w:val="720"/>
          <w:marRight w:val="0"/>
          <w:marTop w:val="120"/>
          <w:marBottom w:val="0"/>
          <w:divBdr>
            <w:top w:val="none" w:sz="0" w:space="0" w:color="auto"/>
            <w:left w:val="none" w:sz="0" w:space="0" w:color="auto"/>
            <w:bottom w:val="none" w:sz="0" w:space="0" w:color="auto"/>
            <w:right w:val="none" w:sz="0" w:space="0" w:color="auto"/>
          </w:divBdr>
        </w:div>
      </w:divsChild>
    </w:div>
    <w:div w:id="1556619407">
      <w:bodyDiv w:val="1"/>
      <w:marLeft w:val="0"/>
      <w:marRight w:val="0"/>
      <w:marTop w:val="0"/>
      <w:marBottom w:val="0"/>
      <w:divBdr>
        <w:top w:val="none" w:sz="0" w:space="0" w:color="auto"/>
        <w:left w:val="none" w:sz="0" w:space="0" w:color="auto"/>
        <w:bottom w:val="none" w:sz="0" w:space="0" w:color="auto"/>
        <w:right w:val="none" w:sz="0" w:space="0" w:color="auto"/>
      </w:divBdr>
      <w:divsChild>
        <w:div w:id="354119353">
          <w:marLeft w:val="432"/>
          <w:marRight w:val="0"/>
          <w:marTop w:val="120"/>
          <w:marBottom w:val="0"/>
          <w:divBdr>
            <w:top w:val="none" w:sz="0" w:space="0" w:color="auto"/>
            <w:left w:val="none" w:sz="0" w:space="0" w:color="auto"/>
            <w:bottom w:val="none" w:sz="0" w:space="0" w:color="auto"/>
            <w:right w:val="none" w:sz="0" w:space="0" w:color="auto"/>
          </w:divBdr>
        </w:div>
        <w:div w:id="442190251">
          <w:marLeft w:val="1008"/>
          <w:marRight w:val="0"/>
          <w:marTop w:val="77"/>
          <w:marBottom w:val="0"/>
          <w:divBdr>
            <w:top w:val="none" w:sz="0" w:space="0" w:color="auto"/>
            <w:left w:val="none" w:sz="0" w:space="0" w:color="auto"/>
            <w:bottom w:val="none" w:sz="0" w:space="0" w:color="auto"/>
            <w:right w:val="none" w:sz="0" w:space="0" w:color="auto"/>
          </w:divBdr>
        </w:div>
        <w:div w:id="561522292">
          <w:marLeft w:val="1008"/>
          <w:marRight w:val="0"/>
          <w:marTop w:val="77"/>
          <w:marBottom w:val="0"/>
          <w:divBdr>
            <w:top w:val="none" w:sz="0" w:space="0" w:color="auto"/>
            <w:left w:val="none" w:sz="0" w:space="0" w:color="auto"/>
            <w:bottom w:val="none" w:sz="0" w:space="0" w:color="auto"/>
            <w:right w:val="none" w:sz="0" w:space="0" w:color="auto"/>
          </w:divBdr>
        </w:div>
        <w:div w:id="575476258">
          <w:marLeft w:val="1008"/>
          <w:marRight w:val="0"/>
          <w:marTop w:val="77"/>
          <w:marBottom w:val="0"/>
          <w:divBdr>
            <w:top w:val="none" w:sz="0" w:space="0" w:color="auto"/>
            <w:left w:val="none" w:sz="0" w:space="0" w:color="auto"/>
            <w:bottom w:val="none" w:sz="0" w:space="0" w:color="auto"/>
            <w:right w:val="none" w:sz="0" w:space="0" w:color="auto"/>
          </w:divBdr>
        </w:div>
        <w:div w:id="627205382">
          <w:marLeft w:val="1008"/>
          <w:marRight w:val="0"/>
          <w:marTop w:val="77"/>
          <w:marBottom w:val="0"/>
          <w:divBdr>
            <w:top w:val="none" w:sz="0" w:space="0" w:color="auto"/>
            <w:left w:val="none" w:sz="0" w:space="0" w:color="auto"/>
            <w:bottom w:val="none" w:sz="0" w:space="0" w:color="auto"/>
            <w:right w:val="none" w:sz="0" w:space="0" w:color="auto"/>
          </w:divBdr>
        </w:div>
        <w:div w:id="823349885">
          <w:marLeft w:val="1008"/>
          <w:marRight w:val="0"/>
          <w:marTop w:val="77"/>
          <w:marBottom w:val="0"/>
          <w:divBdr>
            <w:top w:val="none" w:sz="0" w:space="0" w:color="auto"/>
            <w:left w:val="none" w:sz="0" w:space="0" w:color="auto"/>
            <w:bottom w:val="none" w:sz="0" w:space="0" w:color="auto"/>
            <w:right w:val="none" w:sz="0" w:space="0" w:color="auto"/>
          </w:divBdr>
        </w:div>
        <w:div w:id="1089809464">
          <w:marLeft w:val="1008"/>
          <w:marRight w:val="0"/>
          <w:marTop w:val="77"/>
          <w:marBottom w:val="0"/>
          <w:divBdr>
            <w:top w:val="none" w:sz="0" w:space="0" w:color="auto"/>
            <w:left w:val="none" w:sz="0" w:space="0" w:color="auto"/>
            <w:bottom w:val="none" w:sz="0" w:space="0" w:color="auto"/>
            <w:right w:val="none" w:sz="0" w:space="0" w:color="auto"/>
          </w:divBdr>
        </w:div>
        <w:div w:id="1222326855">
          <w:marLeft w:val="432"/>
          <w:marRight w:val="0"/>
          <w:marTop w:val="120"/>
          <w:marBottom w:val="0"/>
          <w:divBdr>
            <w:top w:val="none" w:sz="0" w:space="0" w:color="auto"/>
            <w:left w:val="none" w:sz="0" w:space="0" w:color="auto"/>
            <w:bottom w:val="none" w:sz="0" w:space="0" w:color="auto"/>
            <w:right w:val="none" w:sz="0" w:space="0" w:color="auto"/>
          </w:divBdr>
        </w:div>
        <w:div w:id="1229074152">
          <w:marLeft w:val="1008"/>
          <w:marRight w:val="0"/>
          <w:marTop w:val="77"/>
          <w:marBottom w:val="0"/>
          <w:divBdr>
            <w:top w:val="none" w:sz="0" w:space="0" w:color="auto"/>
            <w:left w:val="none" w:sz="0" w:space="0" w:color="auto"/>
            <w:bottom w:val="none" w:sz="0" w:space="0" w:color="auto"/>
            <w:right w:val="none" w:sz="0" w:space="0" w:color="auto"/>
          </w:divBdr>
        </w:div>
        <w:div w:id="1551260467">
          <w:marLeft w:val="1008"/>
          <w:marRight w:val="0"/>
          <w:marTop w:val="77"/>
          <w:marBottom w:val="0"/>
          <w:divBdr>
            <w:top w:val="none" w:sz="0" w:space="0" w:color="auto"/>
            <w:left w:val="none" w:sz="0" w:space="0" w:color="auto"/>
            <w:bottom w:val="none" w:sz="0" w:space="0" w:color="auto"/>
            <w:right w:val="none" w:sz="0" w:space="0" w:color="auto"/>
          </w:divBdr>
        </w:div>
        <w:div w:id="1563101611">
          <w:marLeft w:val="1008"/>
          <w:marRight w:val="0"/>
          <w:marTop w:val="77"/>
          <w:marBottom w:val="0"/>
          <w:divBdr>
            <w:top w:val="none" w:sz="0" w:space="0" w:color="auto"/>
            <w:left w:val="none" w:sz="0" w:space="0" w:color="auto"/>
            <w:bottom w:val="none" w:sz="0" w:space="0" w:color="auto"/>
            <w:right w:val="none" w:sz="0" w:space="0" w:color="auto"/>
          </w:divBdr>
        </w:div>
        <w:div w:id="1567185824">
          <w:marLeft w:val="1008"/>
          <w:marRight w:val="0"/>
          <w:marTop w:val="77"/>
          <w:marBottom w:val="0"/>
          <w:divBdr>
            <w:top w:val="none" w:sz="0" w:space="0" w:color="auto"/>
            <w:left w:val="none" w:sz="0" w:space="0" w:color="auto"/>
            <w:bottom w:val="none" w:sz="0" w:space="0" w:color="auto"/>
            <w:right w:val="none" w:sz="0" w:space="0" w:color="auto"/>
          </w:divBdr>
        </w:div>
        <w:div w:id="2050911818">
          <w:marLeft w:val="1008"/>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082A-C4B3-4689-8655-7ED073F4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1353</Words>
  <Characters>7984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NP350</cp:lastModifiedBy>
  <cp:revision>5</cp:revision>
  <dcterms:created xsi:type="dcterms:W3CDTF">2020-04-21T18:37:00Z</dcterms:created>
  <dcterms:modified xsi:type="dcterms:W3CDTF">2020-04-22T12:26:00Z</dcterms:modified>
</cp:coreProperties>
</file>