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8779" w14:textId="2CED6953" w:rsidR="00293B88" w:rsidRDefault="00053101" w:rsidP="00053101">
      <w:pPr>
        <w:pStyle w:val="Nadpis1"/>
      </w:pPr>
      <w:r>
        <w:t>Kolokviální práce</w:t>
      </w:r>
    </w:p>
    <w:p w14:paraId="2AEE4D80" w14:textId="131FF1C2" w:rsidR="00053101" w:rsidRPr="00053101" w:rsidRDefault="00053101" w:rsidP="00053101">
      <w:pPr>
        <w:jc w:val="both"/>
        <w:rPr>
          <w:sz w:val="24"/>
          <w:szCs w:val="24"/>
        </w:rPr>
      </w:pPr>
    </w:p>
    <w:p w14:paraId="27939B1F" w14:textId="3AF18E95" w:rsidR="00053101" w:rsidRDefault="00053101" w:rsidP="000531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53101">
        <w:rPr>
          <w:sz w:val="24"/>
          <w:szCs w:val="24"/>
        </w:rPr>
        <w:t xml:space="preserve">Práci v rozsahu </w:t>
      </w:r>
      <w:r w:rsidRPr="00053101">
        <w:rPr>
          <w:b/>
          <w:bCs/>
          <w:sz w:val="24"/>
          <w:szCs w:val="24"/>
        </w:rPr>
        <w:t>10.000 znaků</w:t>
      </w:r>
      <w:r w:rsidRPr="00053101">
        <w:rPr>
          <w:sz w:val="24"/>
          <w:szCs w:val="24"/>
        </w:rPr>
        <w:t xml:space="preserve"> včetně mezer vložte do odevzdávárny </w:t>
      </w:r>
      <w:r w:rsidR="004D02F2">
        <w:rPr>
          <w:sz w:val="24"/>
          <w:szCs w:val="24"/>
        </w:rPr>
        <w:t>v</w:t>
      </w:r>
      <w:r w:rsidRPr="00053101">
        <w:rPr>
          <w:sz w:val="24"/>
          <w:szCs w:val="24"/>
        </w:rPr>
        <w:t xml:space="preserve">aší seminární skupiny v ISu nejpozději do </w:t>
      </w:r>
      <w:r w:rsidRPr="00053101">
        <w:rPr>
          <w:b/>
          <w:bCs/>
          <w:sz w:val="24"/>
          <w:szCs w:val="24"/>
        </w:rPr>
        <w:t>10. května 2020</w:t>
      </w:r>
      <w:r w:rsidRPr="00053101">
        <w:rPr>
          <w:sz w:val="24"/>
          <w:szCs w:val="24"/>
        </w:rPr>
        <w:t>.</w:t>
      </w:r>
    </w:p>
    <w:p w14:paraId="288E9328" w14:textId="3C54533A" w:rsidR="00053101" w:rsidRDefault="00053101" w:rsidP="000531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53101">
        <w:rPr>
          <w:sz w:val="24"/>
          <w:szCs w:val="24"/>
        </w:rPr>
        <w:t>Práce musí být původní a každý student ji zpracovává sám</w:t>
      </w:r>
      <w:r>
        <w:rPr>
          <w:sz w:val="24"/>
          <w:szCs w:val="24"/>
        </w:rPr>
        <w:t xml:space="preserve"> výlučně pro tento předmět</w:t>
      </w:r>
      <w:r w:rsidRPr="000531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3101">
        <w:rPr>
          <w:sz w:val="24"/>
          <w:szCs w:val="24"/>
        </w:rPr>
        <w:t xml:space="preserve">Při její tvorbě je třeba dodržet podmínky pro formální úpravu prací odevzdávaných na PrF MU (pozor </w:t>
      </w:r>
      <w:r>
        <w:rPr>
          <w:sz w:val="24"/>
          <w:szCs w:val="24"/>
        </w:rPr>
        <w:t xml:space="preserve">je třeba dávat </w:t>
      </w:r>
      <w:r w:rsidRPr="00053101">
        <w:rPr>
          <w:sz w:val="24"/>
          <w:szCs w:val="24"/>
        </w:rPr>
        <w:t>zejména na citace).</w:t>
      </w:r>
    </w:p>
    <w:p w14:paraId="5D45DB4C" w14:textId="00B01E8E" w:rsidR="00053101" w:rsidRDefault="00053101" w:rsidP="000531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53101">
        <w:rPr>
          <w:sz w:val="24"/>
          <w:szCs w:val="24"/>
        </w:rPr>
        <w:t xml:space="preserve">Práce bude hodnocena </w:t>
      </w:r>
      <w:r w:rsidRPr="00053101">
        <w:rPr>
          <w:b/>
          <w:bCs/>
          <w:sz w:val="24"/>
          <w:szCs w:val="24"/>
        </w:rPr>
        <w:t>až osmi body</w:t>
      </w:r>
      <w:r w:rsidRPr="00053101">
        <w:rPr>
          <w:sz w:val="24"/>
          <w:szCs w:val="24"/>
        </w:rPr>
        <w:t>.</w:t>
      </w:r>
    </w:p>
    <w:p w14:paraId="7F90E9D3" w14:textId="76766918" w:rsidR="00053101" w:rsidRDefault="00053101" w:rsidP="000531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Povolená témata jsou následující:</w:t>
      </w:r>
    </w:p>
    <w:p w14:paraId="37AAAFD6" w14:textId="24CD68BC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Právní principy</w:t>
      </w:r>
    </w:p>
    <w:p w14:paraId="1636E274" w14:textId="6DC477D0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Jazykový výklad</w:t>
      </w:r>
    </w:p>
    <w:p w14:paraId="2535674B" w14:textId="2ECF29DA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Systematický výklad</w:t>
      </w:r>
    </w:p>
    <w:p w14:paraId="57DDAB34" w14:textId="29450D67" w:rsid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Účel v</w:t>
      </w:r>
      <w:r>
        <w:rPr>
          <w:i/>
          <w:iCs/>
          <w:sz w:val="24"/>
          <w:szCs w:val="24"/>
        </w:rPr>
        <w:t> </w:t>
      </w:r>
      <w:r w:rsidRPr="00053101">
        <w:rPr>
          <w:i/>
          <w:iCs/>
          <w:sz w:val="24"/>
          <w:szCs w:val="24"/>
        </w:rPr>
        <w:t>právu</w:t>
      </w:r>
    </w:p>
    <w:p w14:paraId="70352780" w14:textId="0A70CF4D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Argumenty právní logiky</w:t>
      </w:r>
    </w:p>
    <w:p w14:paraId="098EE96F" w14:textId="5C856F21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Role úmyslu zákonodárce při interpretaci práva</w:t>
      </w:r>
    </w:p>
    <w:p w14:paraId="06052427" w14:textId="452AD80D" w:rsidR="00053101" w:rsidRP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Právní komparatistika</w:t>
      </w:r>
    </w:p>
    <w:p w14:paraId="17AF3D26" w14:textId="7FA3867B" w:rsid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 w:rsidRPr="00053101">
        <w:rPr>
          <w:i/>
          <w:iCs/>
          <w:sz w:val="24"/>
          <w:szCs w:val="24"/>
        </w:rPr>
        <w:t>Judiciální testy</w:t>
      </w:r>
    </w:p>
    <w:p w14:paraId="3F6B2A13" w14:textId="792BFF61" w:rsid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Mezery v právní úpravě</w:t>
      </w:r>
    </w:p>
    <w:p w14:paraId="377504FA" w14:textId="27F12CAB" w:rsidR="00053101" w:rsidRDefault="00053101" w:rsidP="00053101">
      <w:pPr>
        <w:pStyle w:val="Odstavecseseznamem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Závaznost judikatury</w:t>
      </w:r>
    </w:p>
    <w:p w14:paraId="67D68777" w14:textId="1FBB243D" w:rsidR="00053101" w:rsidRDefault="00053101" w:rsidP="0005310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Je možno si zvolit i téma jiné, avšak pouze se souhlasem vyučujícího. Je tedy třeba volbu takového tématu s vyučujícím předem konzultovat (emailem).</w:t>
      </w:r>
    </w:p>
    <w:p w14:paraId="6A4B5C7B" w14:textId="0A09B00A" w:rsidR="00053101" w:rsidRDefault="00053101" w:rsidP="000531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Doporučená literatura k vypracování seminárních prací je následující:</w:t>
      </w:r>
    </w:p>
    <w:p w14:paraId="21589E3D" w14:textId="61F66874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>BOBEK, Michal</w:t>
      </w:r>
      <w:r>
        <w:rPr>
          <w:sz w:val="24"/>
          <w:szCs w:val="24"/>
        </w:rPr>
        <w:t xml:space="preserve"> a KOLEKTIV</w:t>
      </w:r>
      <w:r w:rsidRPr="00A24F5F">
        <w:rPr>
          <w:sz w:val="24"/>
          <w:szCs w:val="24"/>
        </w:rPr>
        <w:t xml:space="preserve">. </w:t>
      </w:r>
      <w:r w:rsidRPr="00A24F5F">
        <w:rPr>
          <w:i/>
          <w:iCs/>
          <w:sz w:val="24"/>
          <w:szCs w:val="24"/>
        </w:rPr>
        <w:t>Judikatura a právní argumentace.</w:t>
      </w:r>
      <w:r w:rsidRPr="00A24F5F">
        <w:rPr>
          <w:sz w:val="24"/>
          <w:szCs w:val="24"/>
        </w:rPr>
        <w:t xml:space="preserve"> 2. vyd. Praha: Auditorium, 2013.</w:t>
      </w:r>
    </w:p>
    <w:p w14:paraId="0C63BC8F" w14:textId="58A732E7" w:rsidR="00A24F5F" w:rsidRDefault="00A24F5F" w:rsidP="00053101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ČERVÍNEK, Zdeněk. </w:t>
      </w:r>
      <w:r w:rsidRPr="00A24F5F">
        <w:rPr>
          <w:i/>
          <w:iCs/>
          <w:sz w:val="24"/>
          <w:szCs w:val="24"/>
        </w:rPr>
        <w:t>Omezování práv: Metoda proporcionality v judikatuře Ústavního soudu</w:t>
      </w:r>
      <w:r w:rsidRPr="00A24F5F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Praha: Leges, 2020.</w:t>
      </w:r>
    </w:p>
    <w:p w14:paraId="13C72038" w14:textId="7F2D6AB6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 xml:space="preserve">GERLOCH, Aleš, Jan TRYZNA a Jan WINTR </w:t>
      </w:r>
      <w:r>
        <w:rPr>
          <w:sz w:val="24"/>
          <w:szCs w:val="24"/>
        </w:rPr>
        <w:t>(</w:t>
      </w:r>
      <w:r w:rsidRPr="00A24F5F">
        <w:rPr>
          <w:sz w:val="24"/>
          <w:szCs w:val="24"/>
        </w:rPr>
        <w:t>ed</w:t>
      </w:r>
      <w:r>
        <w:rPr>
          <w:sz w:val="24"/>
          <w:szCs w:val="24"/>
        </w:rPr>
        <w:t>s</w:t>
      </w:r>
      <w:r w:rsidRPr="00A24F5F">
        <w:rPr>
          <w:sz w:val="24"/>
          <w:szCs w:val="24"/>
        </w:rPr>
        <w:t>.</w:t>
      </w:r>
      <w:r>
        <w:rPr>
          <w:sz w:val="24"/>
          <w:szCs w:val="24"/>
        </w:rPr>
        <w:t>).</w:t>
      </w:r>
      <w:r w:rsidRPr="00A24F5F">
        <w:rPr>
          <w:sz w:val="24"/>
          <w:szCs w:val="24"/>
        </w:rPr>
        <w:t xml:space="preserve"> </w:t>
      </w:r>
      <w:r w:rsidRPr="00A24F5F">
        <w:rPr>
          <w:i/>
          <w:iCs/>
          <w:sz w:val="24"/>
          <w:szCs w:val="24"/>
        </w:rPr>
        <w:t>Metodologie interpretace práva a právní jistota.</w:t>
      </w:r>
      <w:r w:rsidRPr="00A24F5F">
        <w:rPr>
          <w:sz w:val="24"/>
          <w:szCs w:val="24"/>
        </w:rPr>
        <w:t xml:space="preserve"> Plzeň: Vydavatelství a nakladatelství Aleš Čeněk, 2012.</w:t>
      </w:r>
    </w:p>
    <w:p w14:paraId="3F4860FE" w14:textId="0A8ABCCB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 xml:space="preserve">HLOUCH, Lukáš. </w:t>
      </w:r>
      <w:r w:rsidRPr="00A24F5F">
        <w:rPr>
          <w:i/>
          <w:iCs/>
          <w:sz w:val="24"/>
          <w:szCs w:val="24"/>
        </w:rPr>
        <w:t>Teorie a realita právní interpretace.</w:t>
      </w:r>
      <w:r w:rsidRPr="00A24F5F">
        <w:rPr>
          <w:sz w:val="24"/>
          <w:szCs w:val="24"/>
        </w:rPr>
        <w:t xml:space="preserve"> Plzeň: Vydavatelství a nakladatelství Aleš Čeněk, 2011.</w:t>
      </w:r>
    </w:p>
    <w:p w14:paraId="6AEED9D1" w14:textId="215DB437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 xml:space="preserve">MELZER, Filip. </w:t>
      </w:r>
      <w:r w:rsidRPr="00A24F5F">
        <w:rPr>
          <w:i/>
          <w:iCs/>
          <w:sz w:val="24"/>
          <w:szCs w:val="24"/>
        </w:rPr>
        <w:t>Metodologie nalézání práva: úvod do právní argumentace.</w:t>
      </w:r>
      <w:r w:rsidRPr="00A24F5F">
        <w:rPr>
          <w:sz w:val="24"/>
          <w:szCs w:val="24"/>
        </w:rPr>
        <w:t xml:space="preserve"> 2. vyd. Praha: C.H. Beck, 2011.</w:t>
      </w:r>
    </w:p>
    <w:p w14:paraId="22D776E0" w14:textId="2C7B916F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 xml:space="preserve">ONDŘEJEK, Pavel. </w:t>
      </w:r>
      <w:r w:rsidRPr="00A24F5F">
        <w:rPr>
          <w:i/>
          <w:iCs/>
          <w:sz w:val="24"/>
          <w:szCs w:val="24"/>
        </w:rPr>
        <w:t>Princip proporcionality a jeho role při interpretaci základních práv a svobod.</w:t>
      </w:r>
      <w:r w:rsidRPr="00A24F5F">
        <w:rPr>
          <w:sz w:val="24"/>
          <w:szCs w:val="24"/>
        </w:rPr>
        <w:t xml:space="preserve"> Praha: Leges, 2012.</w:t>
      </w:r>
    </w:p>
    <w:p w14:paraId="1B870EDE" w14:textId="2ED26631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>ROSENKRANZOVÁ, Olga</w:t>
      </w:r>
      <w:r>
        <w:rPr>
          <w:sz w:val="24"/>
          <w:szCs w:val="24"/>
        </w:rPr>
        <w:t xml:space="preserve"> a KOLEKTIV</w:t>
      </w:r>
      <w:r w:rsidRPr="00A24F5F">
        <w:rPr>
          <w:sz w:val="24"/>
          <w:szCs w:val="24"/>
        </w:rPr>
        <w:t xml:space="preserve">. </w:t>
      </w:r>
      <w:r w:rsidRPr="00A24F5F">
        <w:rPr>
          <w:i/>
          <w:iCs/>
          <w:sz w:val="24"/>
          <w:szCs w:val="24"/>
        </w:rPr>
        <w:t>Praktikum z právní metodologie.</w:t>
      </w:r>
      <w:r w:rsidRPr="00A24F5F">
        <w:rPr>
          <w:sz w:val="24"/>
          <w:szCs w:val="24"/>
        </w:rPr>
        <w:t xml:space="preserve"> Praha: Leges, 2017.</w:t>
      </w:r>
    </w:p>
    <w:p w14:paraId="563EB075" w14:textId="4E515604" w:rsidR="00A24F5F" w:rsidRDefault="00A24F5F" w:rsidP="00053101">
      <w:pPr>
        <w:pStyle w:val="Odstavecseseznamem"/>
        <w:jc w:val="both"/>
        <w:rPr>
          <w:sz w:val="24"/>
          <w:szCs w:val="24"/>
        </w:rPr>
      </w:pPr>
      <w:r w:rsidRPr="00A24F5F">
        <w:rPr>
          <w:sz w:val="24"/>
          <w:szCs w:val="24"/>
        </w:rPr>
        <w:t xml:space="preserve">SOBEK, Tomáš. </w:t>
      </w:r>
      <w:r w:rsidRPr="00A24F5F">
        <w:rPr>
          <w:i/>
          <w:iCs/>
          <w:sz w:val="24"/>
          <w:szCs w:val="24"/>
        </w:rPr>
        <w:t>Argumenty teorie práva.</w:t>
      </w:r>
      <w:r w:rsidRPr="00A24F5F">
        <w:rPr>
          <w:sz w:val="24"/>
          <w:szCs w:val="24"/>
        </w:rPr>
        <w:t xml:space="preserve"> Plzeň: Vydavatelství a nakladatelství Aleš Čeněk, 2008.</w:t>
      </w:r>
    </w:p>
    <w:p w14:paraId="2F8A6A86" w14:textId="27BCDF16" w:rsidR="00053101" w:rsidRDefault="00053101" w:rsidP="00053101">
      <w:pPr>
        <w:pStyle w:val="Odstavecseseznamem"/>
        <w:jc w:val="both"/>
        <w:rPr>
          <w:sz w:val="24"/>
          <w:szCs w:val="24"/>
        </w:rPr>
      </w:pPr>
      <w:r w:rsidRPr="00053101">
        <w:rPr>
          <w:sz w:val="24"/>
          <w:szCs w:val="24"/>
        </w:rPr>
        <w:t xml:space="preserve">WINTR, Jan. </w:t>
      </w:r>
      <w:r w:rsidRPr="00053101">
        <w:rPr>
          <w:i/>
          <w:iCs/>
          <w:sz w:val="24"/>
          <w:szCs w:val="24"/>
        </w:rPr>
        <w:t>Metody a zásady interpretace práva.</w:t>
      </w:r>
      <w:r w:rsidRPr="00053101">
        <w:rPr>
          <w:sz w:val="24"/>
          <w:szCs w:val="24"/>
        </w:rPr>
        <w:t xml:space="preserve"> 2. vydání. Praha: Auditorium, 2019.</w:t>
      </w:r>
    </w:p>
    <w:p w14:paraId="2A8CF80F" w14:textId="2C1696FF" w:rsidR="00053101" w:rsidRPr="00053101" w:rsidRDefault="00053101" w:rsidP="00053101">
      <w:pPr>
        <w:pStyle w:val="Odstavecseseznamem"/>
        <w:jc w:val="both"/>
        <w:rPr>
          <w:sz w:val="24"/>
          <w:szCs w:val="24"/>
        </w:rPr>
      </w:pPr>
      <w:r w:rsidRPr="00053101">
        <w:rPr>
          <w:sz w:val="24"/>
          <w:szCs w:val="24"/>
        </w:rPr>
        <w:t xml:space="preserve">WINTR, Jan. </w:t>
      </w:r>
      <w:r w:rsidRPr="00053101">
        <w:rPr>
          <w:i/>
          <w:iCs/>
          <w:sz w:val="24"/>
          <w:szCs w:val="24"/>
        </w:rPr>
        <w:t>Říše principů: obecné a odvětvové principy současného českého práva.</w:t>
      </w:r>
      <w:r w:rsidRPr="00053101">
        <w:rPr>
          <w:sz w:val="24"/>
          <w:szCs w:val="24"/>
        </w:rPr>
        <w:t xml:space="preserve"> Praha: Karolinum, 2006.</w:t>
      </w:r>
    </w:p>
    <w:sectPr w:rsidR="00053101" w:rsidRPr="0005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B68CB"/>
    <w:multiLevelType w:val="hybridMultilevel"/>
    <w:tmpl w:val="73669EBE"/>
    <w:lvl w:ilvl="0" w:tplc="FE1ACD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F9"/>
    <w:rsid w:val="00053101"/>
    <w:rsid w:val="00293B88"/>
    <w:rsid w:val="004D02F2"/>
    <w:rsid w:val="00A24F5F"/>
    <w:rsid w:val="00B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5B85"/>
  <w15:chartTrackingRefBased/>
  <w15:docId w15:val="{885DDEF9-BEC6-4AB0-A6EE-5794EBE4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3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5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2020-03-15T08:59:00Z</dcterms:created>
  <dcterms:modified xsi:type="dcterms:W3CDTF">2020-03-15T09:26:00Z</dcterms:modified>
</cp:coreProperties>
</file>