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130" w:rsidRDefault="00E3605D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3605D">
        <w:rPr>
          <w:rFonts w:ascii="Calibri" w:hAnsi="Calibri" w:cs="Calibri"/>
          <w:b/>
          <w:bCs/>
          <w:color w:val="000000"/>
          <w:sz w:val="24"/>
          <w:szCs w:val="24"/>
        </w:rPr>
        <w:t>Ekonomické základy práva</w:t>
      </w:r>
    </w:p>
    <w:p w:rsidR="000B3130" w:rsidRDefault="00E3605D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3605D">
        <w:rPr>
          <w:rFonts w:ascii="Calibri" w:hAnsi="Calibri" w:cs="Calibri"/>
          <w:b/>
          <w:bCs/>
          <w:color w:val="000000"/>
          <w:sz w:val="24"/>
          <w:szCs w:val="24"/>
        </w:rPr>
        <w:t xml:space="preserve">Informace </w:t>
      </w:r>
      <w:r w:rsidR="000B3130">
        <w:rPr>
          <w:rFonts w:ascii="Calibri" w:hAnsi="Calibri" w:cs="Calibri"/>
          <w:b/>
          <w:bCs/>
          <w:color w:val="000000"/>
          <w:sz w:val="24"/>
          <w:szCs w:val="24"/>
        </w:rPr>
        <w:t>k případovým studiím</w:t>
      </w:r>
    </w:p>
    <w:p w:rsidR="000B3130" w:rsidRDefault="000B3130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Určeno </w:t>
      </w:r>
      <w:r w:rsidR="00E3605D" w:rsidRPr="00E3605D">
        <w:rPr>
          <w:rFonts w:ascii="Calibri" w:hAnsi="Calibri" w:cs="Calibri"/>
          <w:b/>
          <w:bCs/>
          <w:color w:val="000000"/>
          <w:sz w:val="24"/>
          <w:szCs w:val="24"/>
        </w:rPr>
        <w:t xml:space="preserve">pro seminární skupiny, </w:t>
      </w:r>
      <w:r w:rsidR="009506BC">
        <w:rPr>
          <w:rFonts w:ascii="Calibri" w:hAnsi="Calibri" w:cs="Calibri"/>
          <w:b/>
          <w:bCs/>
          <w:color w:val="000000"/>
          <w:sz w:val="24"/>
          <w:szCs w:val="24"/>
        </w:rPr>
        <w:t>které vede doc Ing. Jiří Blažek, CSc.</w:t>
      </w:r>
    </w:p>
    <w:p w:rsidR="00E3605D" w:rsidRDefault="00E3605D" w:rsidP="00E3605D">
      <w:pPr>
        <w:pStyle w:val="Default"/>
        <w:jc w:val="both"/>
        <w:rPr>
          <w:bCs/>
        </w:rPr>
      </w:pPr>
    </w:p>
    <w:p w:rsidR="000B3130" w:rsidRDefault="000B3130" w:rsidP="00E3605D">
      <w:pPr>
        <w:pStyle w:val="Default"/>
        <w:jc w:val="both"/>
        <w:rPr>
          <w:bCs/>
        </w:rPr>
      </w:pPr>
      <w:r>
        <w:rPr>
          <w:bCs/>
        </w:rPr>
        <w:t>Vážené kolegyně, vážení kolegové,</w:t>
      </w:r>
    </w:p>
    <w:p w:rsidR="000B3130" w:rsidRDefault="000B3130" w:rsidP="00E3605D">
      <w:pPr>
        <w:pStyle w:val="Default"/>
        <w:jc w:val="both"/>
        <w:rPr>
          <w:bCs/>
        </w:rPr>
      </w:pPr>
    </w:p>
    <w:p w:rsidR="000B3130" w:rsidRDefault="000B3130" w:rsidP="00E3605D">
      <w:pPr>
        <w:pStyle w:val="Default"/>
        <w:jc w:val="both"/>
        <w:rPr>
          <w:bCs/>
        </w:rPr>
      </w:pPr>
      <w:r>
        <w:rPr>
          <w:bCs/>
        </w:rPr>
        <w:t xml:space="preserve">níže přikládám přehled lhůt pro odevzdání Vašich případových studií. </w:t>
      </w:r>
    </w:p>
    <w:p w:rsidR="003A012F" w:rsidRDefault="003A012F" w:rsidP="00E3605D">
      <w:pPr>
        <w:pStyle w:val="Default"/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3A012F" w:rsidTr="003A012F">
        <w:tc>
          <w:tcPr>
            <w:tcW w:w="4606" w:type="dxa"/>
          </w:tcPr>
          <w:p w:rsidR="003A012F" w:rsidRPr="004F75EB" w:rsidRDefault="003A012F" w:rsidP="00E3605D">
            <w:pPr>
              <w:pStyle w:val="Default"/>
              <w:jc w:val="both"/>
              <w:rPr>
                <w:b/>
                <w:bCs/>
              </w:rPr>
            </w:pPr>
            <w:r w:rsidRPr="004F75EB">
              <w:rPr>
                <w:b/>
                <w:bCs/>
              </w:rPr>
              <w:t>Téma</w:t>
            </w:r>
          </w:p>
        </w:tc>
        <w:tc>
          <w:tcPr>
            <w:tcW w:w="4606" w:type="dxa"/>
          </w:tcPr>
          <w:p w:rsidR="003A012F" w:rsidRPr="004F75EB" w:rsidRDefault="003A012F" w:rsidP="00E3605D">
            <w:pPr>
              <w:pStyle w:val="Default"/>
              <w:jc w:val="both"/>
              <w:rPr>
                <w:b/>
                <w:bCs/>
              </w:rPr>
            </w:pPr>
            <w:r w:rsidRPr="004F75EB">
              <w:rPr>
                <w:b/>
                <w:bCs/>
              </w:rPr>
              <w:t>Lhůta pro odevzdání do odevzdávárny</w:t>
            </w:r>
          </w:p>
        </w:tc>
      </w:tr>
      <w:tr w:rsidR="003A012F" w:rsidTr="003A012F">
        <w:tc>
          <w:tcPr>
            <w:tcW w:w="4606" w:type="dxa"/>
          </w:tcPr>
          <w:p w:rsidR="003A012F" w:rsidRDefault="003A012F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Výkaznictví</w:t>
            </w:r>
          </w:p>
        </w:tc>
        <w:tc>
          <w:tcPr>
            <w:tcW w:w="4606" w:type="dxa"/>
          </w:tcPr>
          <w:p w:rsidR="003A012F" w:rsidRDefault="009506BC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3A012F">
              <w:rPr>
                <w:bCs/>
              </w:rPr>
              <w:t>. 4. 2020</w:t>
            </w:r>
          </w:p>
        </w:tc>
      </w:tr>
      <w:tr w:rsidR="003A012F" w:rsidTr="003A012F">
        <w:tc>
          <w:tcPr>
            <w:tcW w:w="4606" w:type="dxa"/>
          </w:tcPr>
          <w:p w:rsidR="003A012F" w:rsidRDefault="003A012F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Financování vlastního bydlení</w:t>
            </w:r>
          </w:p>
        </w:tc>
        <w:tc>
          <w:tcPr>
            <w:tcW w:w="4606" w:type="dxa"/>
          </w:tcPr>
          <w:p w:rsidR="003A012F" w:rsidRDefault="009506BC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30</w:t>
            </w:r>
            <w:r w:rsidR="003A012F">
              <w:rPr>
                <w:bCs/>
              </w:rPr>
              <w:t>. 4. 2020</w:t>
            </w:r>
          </w:p>
        </w:tc>
      </w:tr>
      <w:tr w:rsidR="003A012F" w:rsidTr="003A012F">
        <w:tc>
          <w:tcPr>
            <w:tcW w:w="4606" w:type="dxa"/>
          </w:tcPr>
          <w:p w:rsidR="003A012F" w:rsidRDefault="003A012F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Investice</w:t>
            </w:r>
          </w:p>
        </w:tc>
        <w:tc>
          <w:tcPr>
            <w:tcW w:w="4606" w:type="dxa"/>
          </w:tcPr>
          <w:p w:rsidR="003A012F" w:rsidRDefault="009506BC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3A012F">
              <w:rPr>
                <w:bCs/>
              </w:rPr>
              <w:t>. 5. 2020</w:t>
            </w:r>
          </w:p>
        </w:tc>
      </w:tr>
    </w:tbl>
    <w:p w:rsidR="003A012F" w:rsidRDefault="003A012F" w:rsidP="00E3605D">
      <w:pPr>
        <w:pStyle w:val="Default"/>
        <w:jc w:val="both"/>
        <w:rPr>
          <w:bCs/>
        </w:rPr>
      </w:pPr>
    </w:p>
    <w:p w:rsidR="000B3130" w:rsidRDefault="000B3130" w:rsidP="00E3605D">
      <w:pPr>
        <w:pStyle w:val="Default"/>
        <w:jc w:val="both"/>
        <w:rPr>
          <w:bCs/>
        </w:rPr>
      </w:pPr>
    </w:p>
    <w:p w:rsidR="003A012F" w:rsidRDefault="003A012F" w:rsidP="00E3605D">
      <w:pPr>
        <w:pStyle w:val="Default"/>
        <w:jc w:val="both"/>
        <w:rPr>
          <w:bCs/>
        </w:rPr>
      </w:pPr>
      <w:r>
        <w:rPr>
          <w:bCs/>
        </w:rPr>
        <w:t>Ti z Vás, kteří se neúčastnili prvního semináře, na nichž byla témata rozdělována, si mohou zvolit téma dle vlastního uvážení.</w:t>
      </w:r>
      <w:r w:rsidR="004F75EB">
        <w:rPr>
          <w:bCs/>
        </w:rPr>
        <w:t xml:space="preserve"> Každý si zvolí jedno téma</w:t>
      </w:r>
      <w:r w:rsidR="00C750C5">
        <w:rPr>
          <w:bCs/>
        </w:rPr>
        <w:t>,</w:t>
      </w:r>
      <w:r w:rsidR="004F75EB">
        <w:rPr>
          <w:bCs/>
        </w:rPr>
        <w:t xml:space="preserve"> na něž zpracuje případovou studii o délce cca 3 normostran.</w:t>
      </w:r>
    </w:p>
    <w:p w:rsidR="00C750C5" w:rsidRDefault="00C750C5" w:rsidP="00E3605D">
      <w:pPr>
        <w:pStyle w:val="Default"/>
        <w:jc w:val="both"/>
        <w:rPr>
          <w:bCs/>
        </w:rPr>
      </w:pPr>
    </w:p>
    <w:p w:rsidR="00C750C5" w:rsidRDefault="00C750C5" w:rsidP="00E3605D">
      <w:pPr>
        <w:pStyle w:val="Default"/>
        <w:jc w:val="both"/>
        <w:rPr>
          <w:bCs/>
        </w:rPr>
      </w:pPr>
      <w:r>
        <w:rPr>
          <w:bCs/>
        </w:rPr>
        <w:t>Text případové studie by neměl být „učebnicový“ popis. Vyberte si oblast, kterou nějakým způsobem můžete zkoumat, nejen jinými slovy popsat to, co bylo již jinde napsáno.</w:t>
      </w:r>
    </w:p>
    <w:p w:rsidR="003A012F" w:rsidRDefault="003A012F" w:rsidP="00E3605D">
      <w:pPr>
        <w:pStyle w:val="Default"/>
        <w:jc w:val="both"/>
        <w:rPr>
          <w:bCs/>
        </w:rPr>
      </w:pPr>
    </w:p>
    <w:p w:rsidR="003A012F" w:rsidRDefault="003A012F" w:rsidP="00E3605D">
      <w:pPr>
        <w:pStyle w:val="Default"/>
        <w:jc w:val="both"/>
        <w:rPr>
          <w:bCs/>
        </w:rPr>
      </w:pPr>
      <w:r>
        <w:rPr>
          <w:bCs/>
        </w:rPr>
        <w:t xml:space="preserve">Bližší informace k tématům </w:t>
      </w:r>
      <w:r w:rsidR="000B3130">
        <w:rPr>
          <w:bCs/>
        </w:rPr>
        <w:t>případových studií</w:t>
      </w:r>
      <w:r w:rsidR="00C750C5">
        <w:rPr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3A012F" w:rsidTr="003A012F">
        <w:tc>
          <w:tcPr>
            <w:tcW w:w="4606" w:type="dxa"/>
          </w:tcPr>
          <w:p w:rsidR="003A012F" w:rsidRPr="004F75EB" w:rsidRDefault="003A012F" w:rsidP="00E3605D">
            <w:pPr>
              <w:pStyle w:val="Default"/>
              <w:jc w:val="both"/>
              <w:rPr>
                <w:b/>
                <w:bCs/>
              </w:rPr>
            </w:pPr>
            <w:r w:rsidRPr="004F75EB">
              <w:rPr>
                <w:b/>
                <w:bCs/>
              </w:rPr>
              <w:t>Téma</w:t>
            </w:r>
          </w:p>
        </w:tc>
        <w:tc>
          <w:tcPr>
            <w:tcW w:w="4606" w:type="dxa"/>
          </w:tcPr>
          <w:p w:rsidR="003A012F" w:rsidRPr="004F75EB" w:rsidRDefault="003A012F" w:rsidP="00E3605D">
            <w:pPr>
              <w:pStyle w:val="Default"/>
              <w:jc w:val="both"/>
              <w:rPr>
                <w:b/>
                <w:bCs/>
              </w:rPr>
            </w:pPr>
            <w:r w:rsidRPr="004F75EB">
              <w:rPr>
                <w:b/>
                <w:bCs/>
              </w:rPr>
              <w:t>Zaměření případové studie</w:t>
            </w:r>
          </w:p>
        </w:tc>
      </w:tr>
      <w:tr w:rsidR="003A012F" w:rsidTr="003A012F">
        <w:tc>
          <w:tcPr>
            <w:tcW w:w="4606" w:type="dxa"/>
          </w:tcPr>
          <w:p w:rsidR="003A012F" w:rsidRDefault="004F75EB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Výkaznictví</w:t>
            </w:r>
          </w:p>
        </w:tc>
        <w:tc>
          <w:tcPr>
            <w:tcW w:w="4606" w:type="dxa"/>
          </w:tcPr>
          <w:p w:rsidR="003A012F" w:rsidRDefault="004F75EB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Vyberte si obchodní společnost a sezn</w:t>
            </w:r>
            <w:r w:rsidR="009506BC">
              <w:rPr>
                <w:bCs/>
              </w:rPr>
              <w:t xml:space="preserve">amte </w:t>
            </w:r>
            <w:r>
              <w:rPr>
                <w:bCs/>
              </w:rPr>
              <w:t>se s její výroční zprávou. Případov</w:t>
            </w:r>
            <w:r w:rsidR="009506BC">
              <w:rPr>
                <w:bCs/>
              </w:rPr>
              <w:t>á</w:t>
            </w:r>
            <w:r>
              <w:rPr>
                <w:bCs/>
              </w:rPr>
              <w:t xml:space="preserve"> studie se bude skládat ze dvou částí. V první části pop</w:t>
            </w:r>
            <w:r w:rsidR="009506BC">
              <w:rPr>
                <w:bCs/>
              </w:rPr>
              <w:t>ište</w:t>
            </w:r>
            <w:r>
              <w:rPr>
                <w:bCs/>
              </w:rPr>
              <w:t xml:space="preserve"> to, čím se vybraná společnost zabývá, tj. co je jejím produktem pro zákazníka, jakou má strukturu (vedení i vlastnictví). Ve druhé části prove</w:t>
            </w:r>
            <w:r w:rsidR="009506BC">
              <w:rPr>
                <w:bCs/>
              </w:rPr>
              <w:t>ď</w:t>
            </w:r>
            <w:r>
              <w:rPr>
                <w:bCs/>
              </w:rPr>
              <w:t>te jednoduchou analýzu účetních výkazů (např. pop</w:t>
            </w:r>
            <w:r w:rsidR="009506BC">
              <w:rPr>
                <w:bCs/>
              </w:rPr>
              <w:t>ište</w:t>
            </w:r>
            <w:r>
              <w:rPr>
                <w:bCs/>
              </w:rPr>
              <w:t xml:space="preserve"> míru zadlužení, strukturu aktiv, vývoj výsledku hospodaření</w:t>
            </w:r>
            <w:r w:rsidR="009506BC">
              <w:rPr>
                <w:bCs/>
              </w:rPr>
              <w:t xml:space="preserve"> </w:t>
            </w:r>
            <w:r>
              <w:rPr>
                <w:bCs/>
              </w:rPr>
              <w:t>atd.)</w:t>
            </w:r>
          </w:p>
        </w:tc>
      </w:tr>
      <w:tr w:rsidR="003A012F" w:rsidTr="003A012F">
        <w:tc>
          <w:tcPr>
            <w:tcW w:w="4606" w:type="dxa"/>
          </w:tcPr>
          <w:p w:rsidR="003A012F" w:rsidRDefault="004F75EB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Financování vlastního bydlení</w:t>
            </w:r>
          </w:p>
        </w:tc>
        <w:tc>
          <w:tcPr>
            <w:tcW w:w="4606" w:type="dxa"/>
          </w:tcPr>
          <w:p w:rsidR="001C2A1A" w:rsidRDefault="004F75EB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Vyberte si nemovitost, která je nabízena na internetu k prodeji (byt, dům) a v rámci </w:t>
            </w:r>
            <w:r w:rsidR="001C2A1A">
              <w:rPr>
                <w:bCs/>
              </w:rPr>
              <w:t>případové studie se zaměřte na otázky související s jejím nákupem (např. výši akontace, výši úrokové sazby, výši měsíčních splátek, daň z nabytí nemovitosti, daň z nemovitých věcí atd.)</w:t>
            </w:r>
          </w:p>
          <w:p w:rsidR="001C2A1A" w:rsidRDefault="001C2A1A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Můžete vycházet z předpokladu, že máte stabilní příjem v určité výši a k dispozici určitou částku na akontaci.</w:t>
            </w:r>
          </w:p>
        </w:tc>
      </w:tr>
      <w:tr w:rsidR="003A012F" w:rsidTr="003A012F">
        <w:tc>
          <w:tcPr>
            <w:tcW w:w="4606" w:type="dxa"/>
          </w:tcPr>
          <w:p w:rsidR="003A012F" w:rsidRDefault="004F75EB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Investice</w:t>
            </w:r>
          </w:p>
        </w:tc>
        <w:tc>
          <w:tcPr>
            <w:tcW w:w="4606" w:type="dxa"/>
          </w:tcPr>
          <w:p w:rsidR="003A012F" w:rsidRDefault="001C2A1A" w:rsidP="00E360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Při volbě tohoto tématu si rovněž zvolte konkrétní téma, na které budete svoji případovou studii zpracovávat. Témata mohou být např. Burza cenných papírů Praha, </w:t>
            </w:r>
            <w:proofErr w:type="spellStart"/>
            <w:r>
              <w:rPr>
                <w:bCs/>
              </w:rPr>
              <w:t>Vienna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Stock</w:t>
            </w:r>
            <w:proofErr w:type="spellEnd"/>
            <w:r>
              <w:rPr>
                <w:bCs/>
              </w:rPr>
              <w:t xml:space="preserve"> Exchange, NYSE, London </w:t>
            </w:r>
            <w:proofErr w:type="spellStart"/>
            <w:r>
              <w:rPr>
                <w:bCs/>
              </w:rPr>
              <w:t>Stock</w:t>
            </w:r>
            <w:proofErr w:type="spellEnd"/>
            <w:r>
              <w:rPr>
                <w:bCs/>
              </w:rPr>
              <w:t xml:space="preserve"> Exchange, burzy s deriváty, fondy kolektivního investování, </w:t>
            </w:r>
            <w:proofErr w:type="spellStart"/>
            <w:r>
              <w:rPr>
                <w:bCs/>
              </w:rPr>
              <w:t>hedge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funds</w:t>
            </w:r>
            <w:proofErr w:type="spellEnd"/>
            <w:r>
              <w:rPr>
                <w:bCs/>
              </w:rPr>
              <w:t>, investiční banky, společnost typu SICAV, mezinárodní ochrana investic atd.</w:t>
            </w:r>
          </w:p>
        </w:tc>
      </w:tr>
    </w:tbl>
    <w:p w:rsidR="003A012F" w:rsidRDefault="003A012F" w:rsidP="00E3605D">
      <w:pPr>
        <w:pStyle w:val="Default"/>
        <w:jc w:val="both"/>
        <w:rPr>
          <w:bCs/>
        </w:rPr>
      </w:pPr>
    </w:p>
    <w:p w:rsidR="003A012F" w:rsidRDefault="003A012F" w:rsidP="00E3605D">
      <w:pPr>
        <w:pStyle w:val="Default"/>
        <w:jc w:val="both"/>
        <w:rPr>
          <w:bCs/>
        </w:rPr>
      </w:pPr>
    </w:p>
    <w:p w:rsidR="000B3130" w:rsidRPr="00224631" w:rsidRDefault="003A012F" w:rsidP="00224631">
      <w:pPr>
        <w:pStyle w:val="Default"/>
        <w:jc w:val="both"/>
        <w:rPr>
          <w:rFonts w:asciiTheme="minorHAnsi" w:hAnsiTheme="minorHAnsi" w:cstheme="minorHAnsi"/>
          <w:bCs/>
        </w:rPr>
      </w:pPr>
      <w:r w:rsidRPr="00224631">
        <w:rPr>
          <w:rFonts w:asciiTheme="minorHAnsi" w:hAnsiTheme="minorHAnsi" w:cstheme="minorHAnsi"/>
          <w:bCs/>
        </w:rPr>
        <w:t xml:space="preserve">Případové studie je třeba odevzdat do odevzdávány ve výše uvedených termínech. </w:t>
      </w:r>
    </w:p>
    <w:p w:rsidR="00E3605D" w:rsidRPr="00224631" w:rsidRDefault="00E3605D" w:rsidP="00224631">
      <w:pPr>
        <w:pStyle w:val="Default"/>
        <w:jc w:val="both"/>
        <w:rPr>
          <w:rFonts w:asciiTheme="minorHAnsi" w:hAnsiTheme="minorHAnsi" w:cstheme="minorHAnsi"/>
        </w:rPr>
      </w:pPr>
      <w:r w:rsidRPr="00224631">
        <w:rPr>
          <w:rFonts w:asciiTheme="minorHAnsi" w:hAnsiTheme="minorHAnsi" w:cstheme="minorHAnsi"/>
        </w:rPr>
        <w:t>V případě jakýchkoli dotazů mě, prosím, neváhejte kontaktovat prostřednictvím emailu.</w:t>
      </w:r>
    </w:p>
    <w:p w:rsidR="00224631" w:rsidRPr="00224631" w:rsidRDefault="00224631" w:rsidP="00224631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224631">
        <w:rPr>
          <w:rFonts w:asciiTheme="minorHAnsi" w:hAnsiTheme="minorHAnsi" w:cstheme="minorHAnsi"/>
          <w:b/>
          <w:bCs/>
        </w:rPr>
        <w:t>Doplňující informace</w:t>
      </w:r>
      <w:r w:rsidRPr="00224631">
        <w:rPr>
          <w:rFonts w:asciiTheme="minorHAnsi" w:hAnsiTheme="minorHAnsi" w:cstheme="minorHAnsi"/>
        </w:rPr>
        <w:t xml:space="preserve">: Jak jsem již psal v hromadném e-mailu, odkazuji při studiu na prezentace přednášek jednotlivých učitelů uložené v ISU, dále </w:t>
      </w:r>
      <w:r w:rsidRPr="00224631">
        <w:rPr>
          <w:rFonts w:asciiTheme="minorHAnsi" w:hAnsiTheme="minorHAnsi" w:cstheme="minorHAnsi"/>
          <w:color w:val="000000"/>
        </w:rPr>
        <w:t xml:space="preserve">zejména </w:t>
      </w:r>
      <w:r w:rsidRPr="00224631">
        <w:rPr>
          <w:rFonts w:asciiTheme="minorHAnsi" w:hAnsiTheme="minorHAnsi" w:cstheme="minorHAnsi"/>
          <w:color w:val="000000"/>
        </w:rPr>
        <w:t xml:space="preserve">na </w:t>
      </w:r>
      <w:r w:rsidRPr="00224631">
        <w:rPr>
          <w:rFonts w:asciiTheme="minorHAnsi" w:hAnsiTheme="minorHAnsi" w:cstheme="minorHAnsi"/>
          <w:color w:val="000000"/>
        </w:rPr>
        <w:t xml:space="preserve">publikaci </w:t>
      </w:r>
      <w:bookmarkStart w:id="0" w:name="_GoBack"/>
      <w:bookmarkEnd w:id="0"/>
      <w:r w:rsidRPr="00224631">
        <w:rPr>
          <w:rFonts w:asciiTheme="minorHAnsi" w:hAnsiTheme="minorHAnsi" w:cstheme="minorHAnsi"/>
          <w:color w:val="000000"/>
        </w:rPr>
        <w:t>Ekonomické</w:t>
      </w:r>
      <w:r w:rsidRPr="00224631">
        <w:rPr>
          <w:rFonts w:asciiTheme="minorHAnsi" w:hAnsiTheme="minorHAnsi" w:cstheme="minorHAnsi"/>
          <w:color w:val="000000"/>
        </w:rPr>
        <w:t xml:space="preserve"> </w:t>
      </w:r>
      <w:r w:rsidRPr="00224631">
        <w:rPr>
          <w:rFonts w:asciiTheme="minorHAnsi" w:hAnsiTheme="minorHAnsi" w:cstheme="minorHAnsi"/>
          <w:color w:val="000000"/>
        </w:rPr>
        <w:t>základy práva (dostupná např. zde: https://obchod.wolterskluwer.cz/cz/ekonomicke-zaklady-prava.p5465.html i v elektronické podobě)</w:t>
      </w:r>
      <w:r w:rsidRPr="00224631">
        <w:rPr>
          <w:rFonts w:asciiTheme="minorHAnsi" w:hAnsiTheme="minorHAnsi" w:cstheme="minorHAnsi"/>
          <w:color w:val="000000"/>
        </w:rPr>
        <w:t xml:space="preserve"> a v ní zejména obsažené kontrolní otázky, základní pojmy a odkazy na další doplňující literaturu. </w:t>
      </w:r>
    </w:p>
    <w:p w:rsidR="00224631" w:rsidRPr="00224631" w:rsidRDefault="00224631" w:rsidP="00E3605D">
      <w:pPr>
        <w:pStyle w:val="Default"/>
        <w:jc w:val="both"/>
        <w:rPr>
          <w:rFonts w:asciiTheme="minorHAnsi" w:hAnsiTheme="minorHAnsi" w:cstheme="minorHAnsi"/>
        </w:rPr>
      </w:pPr>
      <w:r w:rsidRPr="00224631">
        <w:rPr>
          <w:rFonts w:asciiTheme="minorHAnsi" w:hAnsiTheme="minorHAnsi" w:cstheme="minorHAnsi"/>
        </w:rPr>
        <w:t xml:space="preserve">O způsobu, formě a podobě zápočtu i zkoušek vás budu včas informovat. S největší pravděpodobností bude obojí probíhat bezkontaktně – pouze elektronickou formou. Podrobné informace budou jasné koncem dubna. </w:t>
      </w:r>
    </w:p>
    <w:p w:rsidR="00E3605D" w:rsidRPr="00224631" w:rsidRDefault="00E3605D" w:rsidP="00E3605D">
      <w:pPr>
        <w:ind w:left="4248" w:firstLine="708"/>
        <w:jc w:val="both"/>
        <w:rPr>
          <w:rFonts w:cstheme="minorHAnsi"/>
          <w:color w:val="000000"/>
          <w:szCs w:val="24"/>
        </w:rPr>
      </w:pPr>
    </w:p>
    <w:p w:rsidR="00E3605D" w:rsidRPr="00AC66FA" w:rsidRDefault="009506BC" w:rsidP="00E3605D">
      <w:pPr>
        <w:ind w:left="4248" w:firstLine="708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Doc. Ing. Jiří Blažek, CSc.</w:t>
      </w:r>
    </w:p>
    <w:p w:rsidR="00E3605D" w:rsidRPr="00AC66FA" w:rsidRDefault="00E3605D" w:rsidP="00E3605D">
      <w:pPr>
        <w:ind w:left="4956"/>
        <w:jc w:val="both"/>
        <w:rPr>
          <w:rFonts w:ascii="Calibri" w:hAnsi="Calibri" w:cs="Calibri"/>
          <w:color w:val="000000"/>
          <w:szCs w:val="24"/>
        </w:rPr>
      </w:pPr>
      <w:r w:rsidRPr="00AC66FA">
        <w:rPr>
          <w:rFonts w:ascii="Calibri" w:hAnsi="Calibri" w:cs="Calibri"/>
          <w:color w:val="000000"/>
          <w:szCs w:val="24"/>
        </w:rPr>
        <w:t xml:space="preserve">Kontakt: </w:t>
      </w:r>
      <w:hyperlink r:id="rId4" w:history="1">
        <w:r w:rsidR="009506BC">
          <w:rPr>
            <w:rStyle w:val="Hypertextovodkaz"/>
            <w:rFonts w:ascii="Calibri" w:hAnsi="Calibri" w:cs="Calibri"/>
            <w:szCs w:val="24"/>
          </w:rPr>
          <w:t>blazek</w:t>
        </w:r>
        <w:r w:rsidRPr="00AC66FA">
          <w:rPr>
            <w:rStyle w:val="Hypertextovodkaz"/>
            <w:rFonts w:ascii="Calibri" w:hAnsi="Calibri" w:cs="Calibri"/>
            <w:szCs w:val="24"/>
          </w:rPr>
          <w:t>@law.muni.cz</w:t>
        </w:r>
      </w:hyperlink>
    </w:p>
    <w:p w:rsidR="00E3605D" w:rsidRDefault="00E3605D"/>
    <w:sectPr w:rsidR="00E3605D" w:rsidSect="0087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5D"/>
    <w:rsid w:val="000B3130"/>
    <w:rsid w:val="00156B09"/>
    <w:rsid w:val="001C2A1A"/>
    <w:rsid w:val="0021119F"/>
    <w:rsid w:val="00224631"/>
    <w:rsid w:val="00264DE1"/>
    <w:rsid w:val="00381AFA"/>
    <w:rsid w:val="003A012F"/>
    <w:rsid w:val="004F75EB"/>
    <w:rsid w:val="005D6F3A"/>
    <w:rsid w:val="007E35E6"/>
    <w:rsid w:val="0087129C"/>
    <w:rsid w:val="00896D3F"/>
    <w:rsid w:val="009506BC"/>
    <w:rsid w:val="00B15BA4"/>
    <w:rsid w:val="00C6400C"/>
    <w:rsid w:val="00C750C5"/>
    <w:rsid w:val="00E3605D"/>
    <w:rsid w:val="00F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872D"/>
  <w15:docId w15:val="{8CC66452-F9FD-4BE3-BFC3-3C35FB01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2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6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605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A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2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an.Schweigl@law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Jiří Blažek</cp:lastModifiedBy>
  <cp:revision>6</cp:revision>
  <dcterms:created xsi:type="dcterms:W3CDTF">2020-04-07T12:28:00Z</dcterms:created>
  <dcterms:modified xsi:type="dcterms:W3CDTF">2020-04-07T12:43:00Z</dcterms:modified>
</cp:coreProperties>
</file>