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B8" w:rsidRPr="004B07B8" w:rsidRDefault="004B07B8" w:rsidP="004B07B8">
      <w:pPr>
        <w:jc w:val="both"/>
        <w:rPr>
          <w:b/>
          <w:sz w:val="28"/>
          <w:szCs w:val="28"/>
        </w:rPr>
      </w:pPr>
      <w:bookmarkStart w:id="0" w:name="_GoBack"/>
      <w:bookmarkEnd w:id="0"/>
      <w:r w:rsidRPr="004B07B8">
        <w:rPr>
          <w:b/>
          <w:sz w:val="28"/>
          <w:szCs w:val="28"/>
        </w:rPr>
        <w:t>I. ÚS 2637/17</w:t>
      </w:r>
    </w:p>
    <w:p w:rsidR="00D462F8" w:rsidRPr="004B07B8" w:rsidRDefault="004B07B8" w:rsidP="004B07B8">
      <w:pPr>
        <w:jc w:val="both"/>
        <w:rPr>
          <w:sz w:val="28"/>
          <w:szCs w:val="28"/>
        </w:rPr>
      </w:pPr>
      <w:r w:rsidRPr="004B07B8">
        <w:rPr>
          <w:sz w:val="28"/>
          <w:szCs w:val="28"/>
        </w:rPr>
        <w:t>Dále Nejvyšší správní soud popřel, že by podle českého právního řádu stěžovateli náleželo „všeobecné veřejné subjektivní právo na poskytnutí konkrétní služby sociální péče v požadovaném časovém horizontu a na vymezeném území“; takové právo podle Nejvyššího správního soudu nelze dovodit ani z Listiny základních práv a svobod, která navíc oblast sociálních služeb vůbec nepokrývá, ani z Úmluvy o právech osob se zdravotním postižením (jež podle Nejvyššího správního soudu není přímo aplikovatelnou ve smyslu čl. 10 Ústavy, ale představuje tzv. soft-</w:t>
      </w:r>
      <w:proofErr w:type="spellStart"/>
      <w:r w:rsidRPr="004B07B8">
        <w:rPr>
          <w:sz w:val="28"/>
          <w:szCs w:val="28"/>
        </w:rPr>
        <w:t>law</w:t>
      </w:r>
      <w:proofErr w:type="spellEnd"/>
      <w:r w:rsidRPr="004B07B8">
        <w:rPr>
          <w:sz w:val="28"/>
          <w:szCs w:val="28"/>
        </w:rPr>
        <w:t>)</w:t>
      </w:r>
    </w:p>
    <w:p w:rsidR="004B07B8" w:rsidRPr="004B07B8" w:rsidRDefault="004B07B8" w:rsidP="004B07B8">
      <w:pPr>
        <w:jc w:val="both"/>
        <w:rPr>
          <w:sz w:val="28"/>
          <w:szCs w:val="28"/>
        </w:rPr>
      </w:pPr>
    </w:p>
    <w:p w:rsidR="004B07B8" w:rsidRPr="004B07B8" w:rsidRDefault="004B07B8" w:rsidP="004B07B8">
      <w:pPr>
        <w:jc w:val="both"/>
        <w:rPr>
          <w:sz w:val="28"/>
          <w:szCs w:val="28"/>
        </w:rPr>
      </w:pPr>
      <w:r w:rsidRPr="004B07B8">
        <w:rPr>
          <w:sz w:val="28"/>
          <w:szCs w:val="28"/>
        </w:rPr>
        <w:t xml:space="preserve">Ústavní soud na tomto místě zdůrazňuje, že jmenovaná úmluva je v souladu s čl. 10 Ústavy plnohodnotnou a závaznou součástí právního řádu České republiky, neboť se jedná o vyhlášenou mezinárodní smlouvu, k jejíž ratifikaci dal Parlament souhlas a jíž je Česká republika vázána…Naopak, v souladu s čl. 95 odst. 1 Ústavy jsou touto mezinárodní smlouvou vázány i soudy při svém rozhodování a též na základě čl. 1 odst. 2 Ústavy, podle nějž Česká republika dodržuje závazky, které pro ni vyplývají z mezinárodního práva, jsou povinny dotčenou mezinárodní úmluvu respektovat a vnitrostátní právo vykládat souladně s jejími ustanoveními. Pokud by to nebylo možné a vnitrostátní </w:t>
      </w:r>
      <w:proofErr w:type="spellStart"/>
      <w:r w:rsidRPr="004B07B8">
        <w:rPr>
          <w:sz w:val="28"/>
          <w:szCs w:val="28"/>
        </w:rPr>
        <w:t>podústavní</w:t>
      </w:r>
      <w:proofErr w:type="spellEnd"/>
      <w:r w:rsidRPr="004B07B8">
        <w:rPr>
          <w:sz w:val="28"/>
          <w:szCs w:val="28"/>
        </w:rPr>
        <w:t xml:space="preserve"> právo by bylo v rozporu s touto úmluvou bez možnosti konformního výkladu, bylo by namístě aplikovat přednostně tuto úmluvu (čl. 10 část věty za středníkem Ústavy), a to za podmínky, že by její relevantní ustanovení bylo tzv. </w:t>
      </w:r>
      <w:proofErr w:type="spellStart"/>
      <w:r w:rsidRPr="004B07B8">
        <w:rPr>
          <w:sz w:val="28"/>
          <w:szCs w:val="28"/>
        </w:rPr>
        <w:t>samovykonatelné</w:t>
      </w:r>
      <w:proofErr w:type="spellEnd"/>
      <w:r w:rsidRPr="004B07B8">
        <w:rPr>
          <w:sz w:val="28"/>
          <w:szCs w:val="28"/>
        </w:rPr>
        <w:t xml:space="preserve"> („</w:t>
      </w:r>
      <w:proofErr w:type="spellStart"/>
      <w:r w:rsidRPr="004B07B8">
        <w:rPr>
          <w:sz w:val="28"/>
          <w:szCs w:val="28"/>
        </w:rPr>
        <w:t>self-executing</w:t>
      </w:r>
      <w:proofErr w:type="spellEnd"/>
      <w:r w:rsidRPr="004B07B8">
        <w:rPr>
          <w:sz w:val="28"/>
          <w:szCs w:val="28"/>
        </w:rPr>
        <w:t>“)</w:t>
      </w:r>
    </w:p>
    <w:p w:rsidR="004B07B8" w:rsidRDefault="004B07B8" w:rsidP="004B07B8">
      <w:pPr>
        <w:jc w:val="both"/>
        <w:rPr>
          <w:color w:val="000000"/>
          <w:sz w:val="28"/>
          <w:szCs w:val="28"/>
        </w:rPr>
      </w:pPr>
    </w:p>
    <w:p w:rsidR="004B07B8" w:rsidRDefault="004B07B8" w:rsidP="004B07B8">
      <w:pPr>
        <w:jc w:val="both"/>
        <w:rPr>
          <w:color w:val="000000"/>
          <w:sz w:val="28"/>
          <w:szCs w:val="28"/>
        </w:rPr>
      </w:pPr>
    </w:p>
    <w:p w:rsidR="004B07B8" w:rsidRDefault="004B07B8" w:rsidP="004B07B8">
      <w:pPr>
        <w:jc w:val="both"/>
        <w:rPr>
          <w:color w:val="000000"/>
          <w:sz w:val="28"/>
          <w:szCs w:val="28"/>
        </w:rPr>
      </w:pPr>
    </w:p>
    <w:p w:rsidR="004B07B8" w:rsidRDefault="004B07B8" w:rsidP="004B07B8">
      <w:pPr>
        <w:jc w:val="both"/>
        <w:rPr>
          <w:color w:val="000000"/>
          <w:sz w:val="28"/>
          <w:szCs w:val="28"/>
        </w:rPr>
      </w:pPr>
    </w:p>
    <w:p w:rsidR="004B07B8" w:rsidRDefault="004B07B8" w:rsidP="004B07B8">
      <w:pPr>
        <w:jc w:val="both"/>
        <w:rPr>
          <w:color w:val="000000"/>
          <w:sz w:val="28"/>
          <w:szCs w:val="28"/>
        </w:rPr>
      </w:pPr>
    </w:p>
    <w:p w:rsidR="004B07B8" w:rsidRDefault="004B07B8" w:rsidP="004B07B8">
      <w:pPr>
        <w:jc w:val="both"/>
        <w:rPr>
          <w:color w:val="000000"/>
          <w:sz w:val="28"/>
          <w:szCs w:val="28"/>
        </w:rPr>
      </w:pPr>
    </w:p>
    <w:p w:rsidR="004B07B8" w:rsidRDefault="004B07B8" w:rsidP="004B07B8">
      <w:pPr>
        <w:jc w:val="both"/>
        <w:rPr>
          <w:color w:val="000000"/>
          <w:sz w:val="28"/>
          <w:szCs w:val="28"/>
        </w:rPr>
      </w:pPr>
    </w:p>
    <w:p w:rsidR="004B07B8" w:rsidRPr="004B07B8" w:rsidRDefault="004B07B8" w:rsidP="004B07B8">
      <w:pPr>
        <w:jc w:val="both"/>
        <w:rPr>
          <w:b/>
          <w:color w:val="000000"/>
          <w:sz w:val="28"/>
          <w:szCs w:val="28"/>
        </w:rPr>
      </w:pPr>
      <w:r w:rsidRPr="004B07B8">
        <w:rPr>
          <w:b/>
          <w:color w:val="000000"/>
          <w:sz w:val="28"/>
          <w:szCs w:val="28"/>
        </w:rPr>
        <w:lastRenderedPageBreak/>
        <w:t>I ÚS 310/05</w:t>
      </w:r>
    </w:p>
    <w:p w:rsidR="004B07B8" w:rsidRDefault="004B07B8" w:rsidP="004B07B8">
      <w:pPr>
        <w:jc w:val="both"/>
        <w:rPr>
          <w:color w:val="000000"/>
          <w:sz w:val="28"/>
          <w:szCs w:val="28"/>
        </w:rPr>
      </w:pPr>
      <w:r w:rsidRPr="004B07B8">
        <w:rPr>
          <w:color w:val="000000"/>
          <w:sz w:val="28"/>
          <w:szCs w:val="28"/>
        </w:rPr>
        <w:t>Bezprostřední aplikovatelnost mezinárodních smluv zahrnuje též povinnost českých soudů a jiných orgánů veřejné moci přihlížet k interpretaci těchto smluv příslušnými mezinárodními tribunály jako orgány povolanými autoritativně se vyslovovat k interpretaci mezinárodních smluv. To se pochopitelně vztahuje též na interpretaci Evropské úmluvy Evropským soudem pro lidská práva (dále také "ESLP"), přičemž relevance rozhodnutí ESLP dosahuje v českém právu ústavněprávní kvality.</w:t>
      </w:r>
    </w:p>
    <w:p w:rsidR="004B07B8" w:rsidRDefault="004B07B8" w:rsidP="004B07B8">
      <w:pPr>
        <w:jc w:val="both"/>
        <w:rPr>
          <w:color w:val="000000"/>
          <w:sz w:val="28"/>
          <w:szCs w:val="28"/>
        </w:rPr>
      </w:pPr>
    </w:p>
    <w:p w:rsidR="004B07B8" w:rsidRDefault="004B07B8" w:rsidP="004B07B8">
      <w:pPr>
        <w:jc w:val="both"/>
        <w:rPr>
          <w:b/>
          <w:color w:val="000000"/>
          <w:sz w:val="28"/>
          <w:szCs w:val="28"/>
        </w:rPr>
      </w:pPr>
      <w:r w:rsidRPr="004B07B8">
        <w:rPr>
          <w:b/>
          <w:color w:val="000000"/>
          <w:sz w:val="28"/>
          <w:szCs w:val="28"/>
        </w:rPr>
        <w:t>I ÚS 860/15</w:t>
      </w:r>
    </w:p>
    <w:p w:rsidR="004B07B8" w:rsidRPr="004B07B8" w:rsidRDefault="004B07B8" w:rsidP="004B07B8">
      <w:pPr>
        <w:jc w:val="both"/>
        <w:rPr>
          <w:b/>
          <w:sz w:val="28"/>
          <w:szCs w:val="28"/>
        </w:rPr>
      </w:pPr>
      <w:r w:rsidRPr="004B07B8">
        <w:rPr>
          <w:sz w:val="28"/>
          <w:szCs w:val="28"/>
        </w:rPr>
        <w:t xml:space="preserve">Při posuzování porušení zákazu špatného zacházení Ústavní soud musí tyto názory CPT zohlednit. CPT je expertní orgán, který na základě svých bohatých zkušeností z návštěv míst, kde se nacházejí osoby zbavené svobody, poskytuje pro různé kontexty výklad pojmů mučení, nelidské a ponižující zacházení. Nejde tedy sice o výklad závazný, ale přesto jde o výklad autoritativní, poskytovaný orgánem, který státy zřídily za účelem posílení ochrany osob zbavených svobody před mučením a nelidským či ponižujícím zacházením nebo trestáním (čl. 1 Evropské úmluvy o zabránění mučení a nelidskému či ponižujícímu zacházení nebo trestání, č. 9/1996 Sb.). Vysokou relevanci výkladů provedených CPT dokládá i skutečnost, že je často přebírá též ESLP (viz např. rozsudek ESLP ve věci </w:t>
      </w:r>
      <w:proofErr w:type="spellStart"/>
      <w:r w:rsidRPr="004B07B8">
        <w:rPr>
          <w:sz w:val="28"/>
          <w:szCs w:val="28"/>
        </w:rPr>
        <w:t>Kummer</w:t>
      </w:r>
      <w:proofErr w:type="spellEnd"/>
      <w:r w:rsidRPr="004B07B8">
        <w:rPr>
          <w:sz w:val="28"/>
          <w:szCs w:val="28"/>
        </w:rPr>
        <w:t xml:space="preserve"> proti České republice ze dne 25. 7. 2013 č. 32133/11, § 67). I Ústavní soud tak, jak uvedeno výše, stejně jako ostatní orgány České republiky, musí tento právně nezávazný, ale autoritativní výklad právně závazného zákazu špatného zacházení vzít v úvahu. Od výkladu podaného CPT se lze sice na rozdíl od závazného výkladu odchýlit, avšak taková odchylka musí být velmi důkladně a přesvědčivě odůvodněna. V opačném případě, pokud nějaký orgán veřejné moci relevantní výklad podaný CPT ignoruje či se s ním nedostatečně vypořádá, ohrožuje základní ústavní hodnotu, jíž je podle čl. 1 odst. 2 Ústavy vázanost České republiky závazky, které pro ni vyplývají z mezinárodního práva.</w:t>
      </w:r>
    </w:p>
    <w:sectPr w:rsidR="004B07B8" w:rsidRPr="004B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B8"/>
    <w:rsid w:val="004B07B8"/>
    <w:rsid w:val="00D462F8"/>
    <w:rsid w:val="00EB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2909</Characters>
  <Application>Microsoft Office Word</Application>
  <DocSecurity>0</DocSecurity>
  <Lines>46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Palackeho v Olomouci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Svaček</dc:creator>
  <cp:lastModifiedBy>Zdeněk Nový</cp:lastModifiedBy>
  <cp:revision>2</cp:revision>
  <dcterms:created xsi:type="dcterms:W3CDTF">2018-03-08T21:58:00Z</dcterms:created>
  <dcterms:modified xsi:type="dcterms:W3CDTF">2018-03-08T21:58:00Z</dcterms:modified>
</cp:coreProperties>
</file>