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Liberation Sans" w:ascii="Liberation Sans" w:hAnsi="Liberation Sans"/>
          <w:b/>
          <w:color w:val="003366"/>
          <w:sz w:val="36"/>
          <w:szCs w:val="36"/>
          <w:highlight w:val="yellow"/>
        </w:rPr>
        <w:t xml:space="preserve">Seminární úkol č. </w:t>
      </w:r>
      <w:r>
        <w:rPr>
          <w:rFonts w:cs="Liberation Sans" w:ascii="Liberation Sans" w:hAnsi="Liberation Sans"/>
          <w:b/>
          <w:color w:val="003366"/>
          <w:sz w:val="36"/>
          <w:szCs w:val="36"/>
          <w:highlight w:val="yellow"/>
        </w:rPr>
        <w:t>2</w:t>
      </w:r>
      <w:r>
        <w:rPr>
          <w:rFonts w:cs="Liberation Sans" w:ascii="Liberation Sans" w:hAnsi="Liberation Sans"/>
          <w:b/>
          <w:color w:val="003366"/>
          <w:sz w:val="36"/>
          <w:szCs w:val="36"/>
          <w:highlight w:val="yellow"/>
        </w:rPr>
        <w:t xml:space="preserve"> – 20</w:t>
      </w:r>
      <w:r>
        <w:rPr>
          <w:rFonts w:cs="Liberation Sans" w:ascii="Liberation Sans" w:hAnsi="Liberation Sans"/>
          <w:b/>
          <w:color w:val="003366"/>
          <w:sz w:val="36"/>
          <w:szCs w:val="36"/>
          <w:highlight w:val="yellow"/>
        </w:rPr>
        <w:t>20</w:t>
      </w:r>
    </w:p>
    <w:p>
      <w:pPr>
        <w:pStyle w:val="Normal"/>
        <w:rPr>
          <w:rFonts w:ascii="Liberation Sans" w:hAnsi="Liberation Sans" w:cs="Liberation Sans"/>
          <w:b/>
          <w:b/>
          <w:color w:val="333300"/>
          <w:sz w:val="28"/>
          <w:szCs w:val="28"/>
        </w:rPr>
      </w:pPr>
      <w:r>
        <w:rPr>
          <w:rFonts w:cs="Liberation Sans" w:ascii="Liberation Sans" w:hAnsi="Liberation Sans"/>
          <w:b/>
          <w:color w:val="333300"/>
          <w:sz w:val="28"/>
          <w:szCs w:val="28"/>
        </w:rPr>
      </w:r>
    </w:p>
    <w:p>
      <w:pPr>
        <w:pStyle w:val="Normal"/>
        <w:spacing w:before="113" w:after="0"/>
        <w:rPr/>
      </w:pPr>
      <w:r>
        <w:rPr>
          <w:rFonts w:cs="Liberation Sans" w:ascii="Liberation Sans" w:hAnsi="Liberation Sans"/>
          <w:b/>
          <w:bCs/>
          <w:color w:val="C00000"/>
          <w:sz w:val="28"/>
          <w:szCs w:val="28"/>
        </w:rPr>
        <w:t xml:space="preserve">ODPOVĚZTE NA NÁSLEDUJÍCÍ OTÁZKY (mailem na </w:t>
      </w:r>
      <w:hyperlink r:id="rId2">
        <w:r>
          <w:rPr>
            <w:rStyle w:val="Internetovodkaz"/>
            <w:rFonts w:cs="Liberation Sans" w:ascii="Liberation Sans" w:hAnsi="Liberation Sans"/>
            <w:b/>
            <w:bCs/>
            <w:color w:val="C00000"/>
            <w:sz w:val="28"/>
            <w:szCs w:val="28"/>
          </w:rPr>
          <w:t>tyc@law.muni.cz</w:t>
        </w:r>
      </w:hyperlink>
      <w:r>
        <w:rPr>
          <w:rFonts w:cs="Liberation Sans" w:ascii="Liberation Sans" w:hAnsi="Liberation Sans"/>
          <w:b/>
          <w:bCs/>
          <w:color w:val="C00000"/>
          <w:sz w:val="28"/>
          <w:szCs w:val="28"/>
        </w:rPr>
        <w:t xml:space="preserve">, a to do </w:t>
      </w:r>
      <w:r>
        <w:rPr>
          <w:rFonts w:cs="Liberation Sans" w:ascii="Liberation Sans" w:hAnsi="Liberation Sans"/>
          <w:b/>
          <w:bCs/>
          <w:color w:val="C00000"/>
          <w:sz w:val="28"/>
          <w:szCs w:val="28"/>
        </w:rPr>
        <w:t>3. května 2020</w:t>
      </w:r>
      <w:r>
        <w:rPr>
          <w:rFonts w:cs="Liberation Sans" w:ascii="Liberation Sans" w:hAnsi="Liberation Sans"/>
          <w:b/>
          <w:bCs/>
          <w:color w:val="C00000"/>
          <w:sz w:val="28"/>
          <w:szCs w:val="28"/>
        </w:rPr>
        <w:t>)</w:t>
      </w:r>
    </w:p>
    <w:p>
      <w:pPr>
        <w:pStyle w:val="Normal"/>
        <w:spacing w:before="113" w:after="0"/>
        <w:rPr>
          <w:rFonts w:ascii="Liberation Sans" w:hAnsi="Liberation Sans" w:cs="Liberation Sans"/>
          <w:b/>
          <w:b/>
          <w:bCs/>
          <w:color w:val="333300"/>
          <w:sz w:val="26"/>
          <w:szCs w:val="26"/>
        </w:rPr>
      </w:pPr>
      <w:r>
        <w:rPr>
          <w:rFonts w:cs="Liberation Sans" w:ascii="Liberation Sans" w:hAnsi="Liberation Sans"/>
          <w:b/>
          <w:bCs/>
          <w:color w:val="333300"/>
          <w:sz w:val="26"/>
          <w:szCs w:val="26"/>
        </w:rPr>
      </w:r>
    </w:p>
    <w:p>
      <w:pPr>
        <w:pStyle w:val="Normal"/>
        <w:spacing w:before="113" w:after="0"/>
        <w:rPr/>
      </w:pPr>
      <w:r>
        <w:rPr>
          <w:rFonts w:cs="Arial" w:ascii="Arial Black" w:hAnsi="Arial Black"/>
          <w:b/>
          <w:bCs/>
          <w:color w:val="333300"/>
          <w:sz w:val="48"/>
          <w:szCs w:val="48"/>
        </w:rPr>
        <w:t>1.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Je možná aplikace Vídeňské úmluvy o smluvním právu vůči Francii, byť není smluvní stranou (kvůli definici ius cogens v čl. 53, kterou nesdílí)?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Zamyslete se nad tím.</w:t>
      </w:r>
    </w:p>
    <w:p>
      <w:pPr>
        <w:pStyle w:val="Normal"/>
        <w:spacing w:before="113" w:after="0"/>
        <w:rPr>
          <w:rFonts w:ascii="Arial" w:hAnsi="Arial" w:cs="Arial"/>
          <w:b/>
          <w:b/>
          <w:bCs/>
          <w:color w:val="333300"/>
          <w:sz w:val="26"/>
          <w:szCs w:val="26"/>
        </w:rPr>
      </w:pPr>
      <w:r>
        <w:rPr>
          <w:rFonts w:cs="Arial" w:ascii="Arial" w:hAnsi="Arial"/>
          <w:b/>
          <w:bCs/>
          <w:color w:val="333300"/>
          <w:sz w:val="26"/>
          <w:szCs w:val="26"/>
        </w:rPr>
      </w:r>
    </w:p>
    <w:p>
      <w:pPr>
        <w:pStyle w:val="Normal"/>
        <w:spacing w:before="113" w:after="0"/>
        <w:rPr/>
      </w:pPr>
      <w:r>
        <w:rPr>
          <w:rFonts w:cs="Arial" w:ascii="Arial Black" w:hAnsi="Arial Black"/>
          <w:b/>
          <w:bCs/>
          <w:color w:val="333300"/>
          <w:sz w:val="48"/>
          <w:szCs w:val="48"/>
        </w:rPr>
        <w:t>2.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Jak </w:t>
      </w:r>
      <w:r>
        <w:rPr>
          <w:rFonts w:cs="Arial" w:ascii="Arial" w:hAnsi="Arial"/>
          <w:b/>
          <w:bCs/>
          <w:color w:val="333300"/>
          <w:sz w:val="26"/>
          <w:szCs w:val="26"/>
          <w:u w:val="single"/>
        </w:rPr>
        <w:t>dnes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hodnotit </w:t>
      </w:r>
      <w:r>
        <w:rPr>
          <w:rFonts w:cs="Arial" w:ascii="Arial" w:hAnsi="Arial"/>
          <w:b/>
          <w:bCs/>
          <w:color w:val="0070C0"/>
          <w:sz w:val="26"/>
          <w:szCs w:val="26"/>
        </w:rPr>
        <w:t xml:space="preserve">pravidla obsažená 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ve Smlouvě o Antarktidě (1959), která zmrazila územní nároky jednotlivých států, zavedla demilitarizaci celé oblasti, a která zahrnuje 48 smluvních stran a </w:t>
      </w:r>
      <w:r>
        <w:rPr>
          <w:rFonts w:cs="Arial" w:ascii="Arial" w:hAnsi="Arial"/>
          <w:b/>
          <w:bCs/>
          <w:color w:val="333300"/>
          <w:sz w:val="26"/>
          <w:szCs w:val="26"/>
          <w:u w:val="single"/>
        </w:rPr>
        <w:t>je dodnes respektována všemi zeměmi světa</w:t>
      </w:r>
      <w:r>
        <w:rPr>
          <w:rFonts w:cs="Arial" w:ascii="Arial" w:hAnsi="Arial"/>
          <w:b/>
          <w:bCs/>
          <w:color w:val="333300"/>
          <w:sz w:val="26"/>
          <w:szCs w:val="26"/>
        </w:rPr>
        <w:t>?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Mohou být tato pravidla považována za závazná i pro další (nesmluvní) státy?</w:t>
      </w:r>
    </w:p>
    <w:p>
      <w:pPr>
        <w:pStyle w:val="Normal"/>
        <w:spacing w:before="113" w:after="0"/>
        <w:rPr>
          <w:rFonts w:ascii="Arial" w:hAnsi="Arial" w:cs="Arial"/>
          <w:b/>
          <w:b/>
          <w:bCs/>
          <w:color w:val="333300"/>
          <w:sz w:val="26"/>
          <w:szCs w:val="26"/>
        </w:rPr>
      </w:pPr>
      <w:r>
        <w:rPr>
          <w:rFonts w:cs="Arial" w:ascii="Arial" w:hAnsi="Arial"/>
          <w:b/>
          <w:bCs/>
          <w:color w:val="333300"/>
          <w:sz w:val="26"/>
          <w:szCs w:val="26"/>
        </w:rPr>
      </w:r>
    </w:p>
    <w:p>
      <w:pPr>
        <w:pStyle w:val="Normal"/>
        <w:spacing w:before="240" w:after="0"/>
        <w:rPr/>
      </w:pPr>
      <w:r>
        <w:rPr>
          <w:rFonts w:cs="Arial" w:ascii="Arial Black" w:hAnsi="Arial Black"/>
          <w:b/>
          <w:bCs/>
          <w:color w:val="333300"/>
          <w:sz w:val="48"/>
          <w:szCs w:val="48"/>
        </w:rPr>
        <w:t>3.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color w:val="333300"/>
          <w:sz w:val="26"/>
          <w:szCs w:val="26"/>
        </w:rPr>
        <w:t>Dva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příklady dokumentů: ODPOVĚZTE - je to </w:t>
      </w:r>
      <w:r>
        <w:rPr>
          <w:rFonts w:cs="Arial" w:ascii="Arial" w:hAnsi="Arial"/>
          <w:b/>
          <w:bCs/>
          <w:color w:val="C00000"/>
          <w:sz w:val="26"/>
          <w:szCs w:val="26"/>
        </w:rPr>
        <w:t>mezinárodní smlouva</w:t>
      </w:r>
      <w:r>
        <w:rPr>
          <w:rFonts w:cs="Arial" w:ascii="Arial" w:hAnsi="Arial"/>
          <w:b/>
          <w:bCs/>
          <w:color w:val="333300"/>
          <w:sz w:val="26"/>
          <w:szCs w:val="26"/>
        </w:rPr>
        <w:t xml:space="preserve"> nebo jiná smlouva? Nebo to není vůbec žádná smlouva? </w:t>
      </w:r>
      <w:r>
        <w:rPr>
          <w:rFonts w:cs="Arial" w:ascii="Arial" w:hAnsi="Arial"/>
          <w:b/>
          <w:bCs/>
          <w:color w:val="333300"/>
          <w:sz w:val="26"/>
          <w:szCs w:val="26"/>
          <w:u w:val="single"/>
        </w:rPr>
        <w:t>Svůj závěr stručně zdůvodněte</w:t>
      </w:r>
      <w:r>
        <w:rPr>
          <w:rFonts w:cs="Arial" w:ascii="Arial" w:hAnsi="Arial"/>
          <w:b/>
          <w:bCs/>
          <w:color w:val="333300"/>
          <w:sz w:val="26"/>
          <w:szCs w:val="26"/>
        </w:rPr>
        <w:t>.</w:t>
      </w:r>
    </w:p>
    <w:p>
      <w:pPr>
        <w:pStyle w:val="Normal"/>
        <w:spacing w:before="240" w:after="0"/>
        <w:rPr/>
      </w:pPr>
      <w:r>
        <w:rPr>
          <w:rFonts w:cs="Arial" w:ascii="Arial Black" w:hAnsi="Arial Black"/>
          <w:i/>
          <w:color w:val="000000"/>
          <w:sz w:val="48"/>
          <w:szCs w:val="48"/>
          <w:u w:val="single"/>
        </w:rPr>
        <w:t>3</w:t>
      </w:r>
      <w:r>
        <w:rPr>
          <w:rFonts w:cs="Arial" w:ascii="Arial Black" w:hAnsi="Arial Black"/>
          <w:i/>
          <w:color w:val="000000"/>
          <w:sz w:val="48"/>
          <w:szCs w:val="48"/>
          <w:u w:val="single"/>
        </w:rPr>
        <w:t>a</w:t>
      </w:r>
      <w:r>
        <w:rPr>
          <w:rFonts w:cs="Arial" w:ascii="Arial Black" w:hAnsi="Arial Black"/>
          <w:i/>
          <w:color w:val="000000"/>
          <w:sz w:val="48"/>
          <w:szCs w:val="48"/>
          <w:u w:val="single"/>
        </w:rPr>
        <w:t>)</w:t>
      </w:r>
      <w:r>
        <w:rPr>
          <w:rFonts w:cs="Arial" w:ascii="Arial Black" w:hAnsi="Arial Black"/>
          <w:i/>
          <w:color w:val="000000"/>
          <w:sz w:val="26"/>
          <w:szCs w:val="26"/>
          <w:u w:val="single"/>
        </w:rPr>
        <w:t xml:space="preserve"> Ujednání mezi Městským státním zastupitelstvím Praha 5 a Městskou prokuraturou v Užhorodě o výměně informací a vzájemné spolupráci.</w:t>
      </w:r>
    </w:p>
    <w:p>
      <w:pPr>
        <w:pStyle w:val="Normal"/>
        <w:spacing w:before="240" w:after="0"/>
        <w:rPr/>
      </w:pPr>
      <w:r>
        <w:rPr>
          <w:rFonts w:cs="Arial" w:ascii="Arial" w:hAnsi="Arial"/>
          <w:color w:val="000000"/>
          <w:sz w:val="26"/>
          <w:szCs w:val="26"/>
        </w:rPr>
        <w:t>(zde stačí k odpovědi znát název dokumentu a zamyslet se nad ním)</w:t>
      </w:r>
    </w:p>
    <w:p>
      <w:pPr>
        <w:pStyle w:val="Normal"/>
        <w:spacing w:before="240"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before="120" w:after="0"/>
        <w:rPr/>
      </w:pPr>
      <w:r>
        <w:rPr>
          <w:rFonts w:cs="Arial" w:ascii="Arial Black" w:hAnsi="Arial Black"/>
          <w:b w:val="false"/>
          <w:bCs w:val="false"/>
          <w:i/>
          <w:color w:val="000000"/>
          <w:sz w:val="48"/>
          <w:szCs w:val="48"/>
          <w:u w:val="single"/>
        </w:rPr>
        <w:t>3</w:t>
      </w:r>
      <w:r>
        <w:rPr>
          <w:rFonts w:cs="Arial" w:ascii="Arial Black" w:hAnsi="Arial Black"/>
          <w:b w:val="false"/>
          <w:bCs w:val="false"/>
          <w:i/>
          <w:color w:val="000000"/>
          <w:sz w:val="48"/>
          <w:szCs w:val="48"/>
          <w:u w:val="single"/>
        </w:rPr>
        <w:t>b</w:t>
      </w:r>
      <w:r>
        <w:rPr>
          <w:rFonts w:cs="Times New Roman" w:ascii="Arial Black" w:hAnsi="Arial Black"/>
          <w:b w:val="false"/>
          <w:bCs w:val="false"/>
          <w:i/>
          <w:color w:val="000000"/>
          <w:sz w:val="48"/>
          <w:szCs w:val="48"/>
          <w:u w:val="single"/>
        </w:rPr>
        <w:t>)</w:t>
      </w:r>
      <w:r>
        <w:rPr>
          <w:rFonts w:cs="Times New Roman" w:ascii="Arial Black" w:hAnsi="Arial Black"/>
          <w:b w:val="false"/>
          <w:bCs w:val="false"/>
          <w:i/>
          <w:color w:val="000000"/>
          <w:sz w:val="26"/>
          <w:szCs w:val="26"/>
          <w:u w:val="single"/>
        </w:rPr>
        <w:t xml:space="preserve"> ZÁ</w:t>
      </w:r>
      <w:r>
        <w:rPr>
          <w:rFonts w:cs="Times New Roman" w:ascii="Arial Black" w:hAnsi="Arial Black"/>
          <w:i/>
          <w:color w:val="000000"/>
          <w:sz w:val="26"/>
          <w:szCs w:val="26"/>
          <w:u w:val="single"/>
        </w:rPr>
        <w:t>VĚREČNÝ AKT HELSINSKÉ KONFERENCE O BEZPEČNOSTI A SPOLUPRÁCI V EVROPĚ (1. 8. 1975)</w:t>
      </w:r>
    </w:p>
    <w:p>
      <w:pPr>
        <w:pStyle w:val="Normal"/>
        <w:spacing w:before="120" w:after="0"/>
        <w:rPr/>
      </w:pPr>
      <w:r>
        <w:rPr>
          <w:rFonts w:cs="Times New Roman" w:ascii="Times New Roman" w:hAnsi="Times New Roman"/>
          <w:color w:val="000080"/>
          <w:sz w:val="26"/>
          <w:szCs w:val="26"/>
        </w:rPr>
        <w:t>(výňatky z textu – potřebné pro formulaci závěru:)</w:t>
      </w:r>
    </w:p>
    <w:p>
      <w:pPr>
        <w:pStyle w:val="Normal"/>
        <w:spacing w:before="120" w:after="0"/>
        <w:rPr>
          <w:rFonts w:ascii="Arial" w:hAnsi="Arial" w:cs="Arial"/>
          <w:color w:val="000080"/>
          <w:sz w:val="26"/>
          <w:szCs w:val="26"/>
        </w:rPr>
      </w:pPr>
      <w:r>
        <w:rPr>
          <w:rFonts w:cs="Arial" w:ascii="Arial" w:hAnsi="Arial"/>
          <w:color w:val="000080"/>
          <w:sz w:val="26"/>
          <w:szCs w:val="26"/>
        </w:rPr>
      </w:r>
    </w:p>
    <w:p>
      <w:pPr>
        <w:pStyle w:val="Normal"/>
        <w:widowControl/>
        <w:suppressAutoHyphens w:val="false"/>
        <w:overflowPunct w:val="true"/>
        <w:textAlignment w:val="auto"/>
        <w:rPr/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(Část preambule:)</w:t>
      </w:r>
    </w:p>
    <w:p>
      <w:pPr>
        <w:pStyle w:val="Normal"/>
        <w:widowControl/>
        <w:suppressAutoHyphens w:val="false"/>
        <w:overflowPunct w:val="true"/>
        <w:textAlignment w:val="auto"/>
        <w:rPr/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Vedeni politickou vůlí, v zájmu národů, zlepšit a zintenzívnit své</w:t>
      </w:r>
    </w:p>
    <w:p>
      <w:pPr>
        <w:pStyle w:val="Normal"/>
        <w:widowControl/>
        <w:suppressAutoHyphens w:val="false"/>
        <w:overflowPunct w:val="true"/>
        <w:textAlignment w:val="auto"/>
        <w:rPr>
          <w:rFonts w:ascii="TimesNewRoman;Times New Roman" w:hAnsi="TimesNewRoman;Times New Roman" w:cs="TimesNewRoman;Times New Roman"/>
          <w:kern w:val="0"/>
          <w:sz w:val="28"/>
          <w:szCs w:val="28"/>
          <w:lang w:eastAsia="cs-CZ"/>
        </w:rPr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vztahy a přispět k míru, bezpečnosti, spravedlnosti a spolupráci v Evropě,</w:t>
      </w:r>
    </w:p>
    <w:p>
      <w:pPr>
        <w:pStyle w:val="Normal"/>
        <w:widowControl/>
        <w:suppressAutoHyphens w:val="false"/>
        <w:overflowPunct w:val="true"/>
        <w:textAlignment w:val="auto"/>
        <w:rPr>
          <w:rFonts w:ascii="TimesNewRoman;Times New Roman" w:hAnsi="TimesNewRoman;Times New Roman" w:cs="TimesNewRoman;Times New Roman"/>
          <w:kern w:val="0"/>
          <w:sz w:val="28"/>
          <w:szCs w:val="28"/>
          <w:lang w:eastAsia="cs-CZ"/>
        </w:rPr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jakož i ke sblížení mezi sebou a ostatními státy světa,</w:t>
      </w:r>
    </w:p>
    <w:p>
      <w:pPr>
        <w:pStyle w:val="Normal"/>
        <w:widowControl/>
        <w:suppressAutoHyphens w:val="false"/>
        <w:overflowPunct w:val="true"/>
        <w:textAlignment w:val="auto"/>
        <w:rPr>
          <w:rFonts w:ascii="TimesNewRoman;Times New Roman" w:hAnsi="TimesNewRoman;Times New Roman" w:cs="TimesNewRoman;Times New Roman"/>
          <w:kern w:val="0"/>
          <w:sz w:val="28"/>
          <w:szCs w:val="28"/>
          <w:lang w:eastAsia="cs-CZ"/>
        </w:rPr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rozhodnuti v důsledku toho plně uskutečnit výsledky Konference a</w:t>
      </w:r>
    </w:p>
    <w:p>
      <w:pPr>
        <w:pStyle w:val="Normal"/>
        <w:widowControl/>
        <w:suppressAutoHyphens w:val="false"/>
        <w:overflowPunct w:val="true"/>
        <w:textAlignment w:val="auto"/>
        <w:rPr>
          <w:rFonts w:ascii="TimesNewRoman;Times New Roman" w:hAnsi="TimesNewRoman;Times New Roman" w:cs="TimesNewRoman;Times New Roman"/>
          <w:kern w:val="0"/>
          <w:sz w:val="28"/>
          <w:szCs w:val="28"/>
          <w:lang w:eastAsia="cs-CZ"/>
        </w:rPr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zajistit svým státům a celé Evropě prospěch plynoucí z těchto výsledků</w:t>
      </w:r>
    </w:p>
    <w:p>
      <w:pPr>
        <w:pStyle w:val="Normal"/>
        <w:widowControl/>
        <w:suppressAutoHyphens w:val="false"/>
        <w:overflowPunct w:val="true"/>
        <w:textAlignment w:val="auto"/>
        <w:rPr/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a tím proces uvolňování napětí rozšířit, prohloubit, zajistit jeho</w:t>
      </w:r>
    </w:p>
    <w:p>
      <w:pPr>
        <w:pStyle w:val="Normal"/>
        <w:widowControl/>
        <w:suppressAutoHyphens w:val="false"/>
        <w:overflowPunct w:val="true"/>
        <w:textAlignment w:val="auto"/>
        <w:rPr>
          <w:rFonts w:ascii="TimesNewRoman;Times New Roman" w:hAnsi="TimesNewRoman;Times New Roman" w:cs="TimesNewRoman;Times New Roman"/>
          <w:kern w:val="0"/>
          <w:sz w:val="28"/>
          <w:szCs w:val="28"/>
          <w:lang w:eastAsia="cs-CZ"/>
        </w:rPr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>pokračování a učinit je trvalým,</w:t>
      </w:r>
    </w:p>
    <w:p>
      <w:pPr>
        <w:pStyle w:val="Normal"/>
        <w:spacing w:before="120" w:after="0"/>
        <w:rPr/>
      </w:pPr>
      <w:r>
        <w:rPr>
          <w:rFonts w:cs="TimesNewRoman;Times New Roman" w:ascii="TimesNewRoman;Times New Roman" w:hAnsi="TimesNewRoman;Times New Roman"/>
          <w:kern w:val="0"/>
          <w:sz w:val="28"/>
          <w:szCs w:val="28"/>
          <w:lang w:eastAsia="cs-CZ"/>
        </w:rPr>
        <w:t xml:space="preserve">vysocí představitelé zúčastněných států schválili </w:t>
      </w:r>
      <w:r>
        <w:rPr>
          <w:rFonts w:cs="Times New Roman" w:ascii="Times New Roman" w:hAnsi="Times New Roman"/>
          <w:sz w:val="28"/>
          <w:szCs w:val="28"/>
        </w:rPr>
        <w:t>následující:</w:t>
      </w:r>
      <w:r>
        <w:rPr>
          <w:rFonts w:cs="Arial" w:ascii="Arial" w:hAnsi="Arial"/>
          <w:color w:val="000080"/>
          <w:sz w:val="28"/>
          <w:szCs w:val="28"/>
        </w:rPr>
        <w:t xml:space="preserve"> </w:t>
      </w:r>
    </w:p>
    <w:p>
      <w:pPr>
        <w:pStyle w:val="Normal"/>
        <w:spacing w:before="120" w:after="0"/>
        <w:rPr/>
      </w:pPr>
      <w:r>
        <w:rPr>
          <w:rFonts w:cs="Times New Roman" w:ascii="Times New Roman" w:hAnsi="Times New Roman"/>
          <w:color w:val="000080"/>
          <w:sz w:val="28"/>
          <w:szCs w:val="28"/>
        </w:rPr>
        <w:t>.......</w:t>
      </w:r>
      <w:r>
        <w:rPr>
          <w:rFonts w:cs="Times New Roman" w:ascii="Times New Roman" w:hAnsi="Times New Roman"/>
          <w:i/>
          <w:iCs/>
          <w:color w:val="000080"/>
          <w:sz w:val="28"/>
          <w:szCs w:val="28"/>
        </w:rPr>
        <w:t xml:space="preserve">..(následují meritorní ustanovení o spolupráci mezi státy) 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b/>
          <w:b/>
          <w:bCs/>
          <w:i/>
          <w:i/>
          <w:iCs/>
          <w:color w:val="000000"/>
          <w:kern w:val="0"/>
          <w:sz w:val="20"/>
          <w:szCs w:val="28"/>
          <w:lang w:eastAsia="cs-CZ"/>
        </w:rPr>
      </w:pPr>
      <w:r>
        <w:rPr>
          <w:rFonts w:cs="Times New Roman" w:ascii="Verdana" w:hAnsi="Verdana"/>
          <w:b/>
          <w:bCs/>
          <w:i/>
          <w:iCs/>
          <w:color w:val="000000"/>
          <w:kern w:val="0"/>
          <w:sz w:val="20"/>
          <w:szCs w:val="28"/>
          <w:lang w:eastAsia="cs-CZ"/>
        </w:rPr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b/>
          <w:b/>
          <w:bCs/>
          <w:i/>
          <w:i/>
          <w:iCs/>
          <w:color w:val="000000"/>
          <w:kern w:val="0"/>
          <w:szCs w:val="24"/>
          <w:lang w:eastAsia="cs-CZ"/>
        </w:rPr>
      </w:pPr>
      <w:r>
        <w:rPr>
          <w:rFonts w:cs="Times New Roman" w:ascii="Verdana" w:hAnsi="Verdana"/>
          <w:b/>
          <w:bCs/>
          <w:i/>
          <w:iCs/>
          <w:color w:val="000000"/>
          <w:kern w:val="0"/>
          <w:szCs w:val="24"/>
          <w:lang w:eastAsia="cs-CZ"/>
        </w:rPr>
        <w:t>Ukázka meritorních ustanovení: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b/>
          <w:bCs/>
          <w:i/>
          <w:iCs/>
          <w:color w:val="000000"/>
          <w:kern w:val="0"/>
          <w:sz w:val="20"/>
          <w:lang w:eastAsia="cs-CZ"/>
        </w:rPr>
        <w:t>V. Mírové urovnání sporů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Zúčastněné státy budou urovnávat spory mezi sebou mírovými prostředky takovým způsobem, aby nebyl ohrožen mezinárodní mír, bezpečnost a spravedlnost.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Budou usilovat podle svého poctivého přesvědčení a v duchu spolupráce o dosažení rychlého a spravedlivého řešení na základě mezinárodního práva.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Za tímto účelem budou používat takových prostředků jako vyjednávání, šetření, zprostředkování, smírčího, rozhodčího a soudního řízení nebo jiných mírových prostředků podle vlastní volby včetně jakéhokoli postupu urovnání svých sporů, na němž se zúčastněné strany před vznikem sporu dohodly.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Nebude-li možno dosáhnout řešení žádným ze shora uvedených mírových prostředků, budou strany zúčastněné na sporu nadále hledat cestu k mírovému urovnání způsobem, na kterém se vzájemně dohodnou.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b/>
          <w:bCs/>
          <w:i/>
          <w:iCs/>
          <w:color w:val="000000"/>
          <w:kern w:val="0"/>
          <w:sz w:val="20"/>
          <w:lang w:eastAsia="cs-CZ"/>
        </w:rPr>
        <w:t>VI. Nevměšování do vnitřních záležitostí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Zúčastněné státy se bez ohledu na své vzájemné vztahy zdrží jakéhokoli přímého i nepřímého, individuálního i kolektivního vměšování do vnitřních i zahraničních záležitostí, které spadají do vnitřní pravomoci jiného zúčastněného státu.</w:t>
      </w:r>
    </w:p>
    <w:p>
      <w:pPr>
        <w:pStyle w:val="Normal"/>
        <w:widowControl/>
        <w:shd w:fill="F9F9F9" w:val="clear"/>
        <w:suppressAutoHyphens w:val="false"/>
        <w:overflowPunct w:val="true"/>
        <w:autoSpaceDE w:val="true"/>
        <w:spacing w:before="100" w:after="100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>
        <w:rPr>
          <w:rFonts w:cs="Times New Roman" w:ascii="Verdana" w:hAnsi="Verdana"/>
          <w:color w:val="000000"/>
          <w:kern w:val="0"/>
          <w:sz w:val="20"/>
          <w:lang w:eastAsia="cs-CZ"/>
        </w:rPr>
        <w:t>V souladu s tím se zdrží jakékoli formy ozbrojené intervence i hrozby takovou intervencí proti jinému zúčastněnému státu.</w:t>
      </w:r>
    </w:p>
    <w:p>
      <w:pPr>
        <w:pStyle w:val="Normal"/>
        <w:spacing w:before="120" w:after="0"/>
        <w:rPr>
          <w:rFonts w:ascii="Times New Roman" w:hAnsi="Times New Roman" w:cs="Times New Roman"/>
          <w:b/>
          <w:b/>
          <w:color w:val="000080"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color w:val="000080"/>
          <w:sz w:val="26"/>
          <w:szCs w:val="26"/>
        </w:rPr>
        <w:t>Závěrečná ustanovení:</w:t>
      </w:r>
    </w:p>
    <w:p>
      <w:pPr>
        <w:pStyle w:val="Normal"/>
        <w:spacing w:before="120" w:after="0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cs="Times New Roman" w:ascii="Times New Roman" w:hAnsi="Times New Roman"/>
          <w:color w:val="000080"/>
          <w:sz w:val="26"/>
          <w:szCs w:val="26"/>
        </w:rPr>
        <w:t xml:space="preserve">Originál tohoto Závěrečného aktu, vyhotovený v angličtině, francouzštině, italštině, němčině, ruštině a španělštině, bude předán vládě Finské republiky, která ho uloží ve svém archívu. Každý ze zúčastněných států obdrží od vlády Finské republiky věrný opis tohoto Závěrečného aktu. </w:t>
      </w:r>
    </w:p>
    <w:p>
      <w:pPr>
        <w:pStyle w:val="Normal"/>
        <w:spacing w:before="113" w:after="0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cs="Times New Roman" w:ascii="Times New Roman" w:hAnsi="Times New Roman"/>
          <w:color w:val="000080"/>
          <w:sz w:val="26"/>
          <w:szCs w:val="26"/>
        </w:rPr>
        <w:t xml:space="preserve">Text Závěrečného aktu bude zveřejněn v každém ze zúčastněných států, který ho rozšíří a zabezpečí co možná nejširší obeznámení s ním. Vláda Finské republiky se žádá, aby předala generálnímu tajemníkovi OSN text tohoto Závěrečného aktu, který podléhá registraci podle článku 102 Charty OSN s tím, aby byl rozeslán všem členům organizace jako oficiální dokument OSN. Vláda Finské republiky se rovněž žádá, aby předala text tohoto Závěrečného aktu generálnímu řediteli UNESCO a výkonnému tajemníkovi Evropské hospodářské komise OSN. </w:t>
      </w:r>
    </w:p>
    <w:p>
      <w:pPr>
        <w:pStyle w:val="Normal"/>
        <w:spacing w:before="113" w:after="0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cs="Times New Roman" w:ascii="Times New Roman" w:hAnsi="Times New Roman"/>
          <w:color w:val="000080"/>
          <w:sz w:val="26"/>
          <w:szCs w:val="26"/>
        </w:rPr>
        <w:t xml:space="preserve">Pročež níže podepsaní vysocí představitelé zúčastněných států, vědomi si velkého politického významu, který přikládají výsledkům Konference a vyhlašujíce své odhodlání jednat v souladu s ustanoveními obsaženými ve výše uvedených textech,  připojili níže své podpisy k tomuto Závěrečnému aktu. </w:t>
      </w:r>
    </w:p>
    <w:p>
      <w:pPr>
        <w:pStyle w:val="Normal"/>
        <w:spacing w:before="113" w:after="0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cs="Times New Roman" w:ascii="Times New Roman" w:hAnsi="Times New Roman"/>
          <w:color w:val="000080"/>
          <w:sz w:val="26"/>
          <w:szCs w:val="26"/>
        </w:rPr>
        <w:t xml:space="preserve">V Helsinkách dne 1. srpna 1975 </w:t>
      </w:r>
    </w:p>
    <w:p>
      <w:pPr>
        <w:pStyle w:val="Normal"/>
        <w:spacing w:before="113" w:after="0"/>
        <w:rPr/>
      </w:pPr>
      <w:r>
        <w:rPr>
          <w:rFonts w:cs="Times New Roman" w:ascii="Times New Roman" w:hAnsi="Times New Roman"/>
          <w:color w:val="00008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80"/>
          <w:sz w:val="26"/>
          <w:szCs w:val="26"/>
        </w:rPr>
        <w:t>Podpisy.</w:t>
      </w:r>
    </w:p>
    <w:p>
      <w:pPr>
        <w:pStyle w:val="Normal"/>
        <w:spacing w:before="113" w:after="0"/>
        <w:rPr>
          <w:rFonts w:ascii="Arial Black" w:hAnsi="Arial Black" w:cs="Times New Roman"/>
          <w:color w:val="C00000"/>
          <w:sz w:val="26"/>
          <w:szCs w:val="26"/>
        </w:rPr>
      </w:pPr>
      <w:r>
        <w:rPr>
          <w:rFonts w:cs="Times New Roman" w:ascii="Arial Black" w:hAnsi="Arial Black"/>
          <w:color w:val="C00000"/>
          <w:sz w:val="26"/>
          <w:szCs w:val="26"/>
        </w:rPr>
        <w:t>Je to mezinárodní smlouva nebo jen politické prohlášení 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Black">
    <w:charset w:val="ee"/>
    <w:family w:val="swiss"/>
    <w:pitch w:val="variable"/>
  </w:font>
  <w:font w:name="Arial">
    <w:charset w:val="ee"/>
    <w:family w:val="swiss"/>
    <w:pitch w:val="variable"/>
  </w:font>
  <w:font w:name="TimesNewRoman">
    <w:altName w:val="Times New Roman"/>
    <w:charset w:val="00"/>
    <w:family w:val="roman"/>
    <w:pitch w:val="default"/>
  </w:font>
  <w:font w:name="Verdan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isplayBackgroundShape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textAlignment w:val="baseline"/>
    </w:pPr>
    <w:rPr>
      <w:rFonts w:ascii="Liberation Serif" w:hAnsi="Liberation Serif" w:eastAsia="Times New Roman" w:cs="Liberation Serif"/>
      <w:color w:val="auto"/>
      <w:kern w:val="2"/>
      <w:sz w:val="24"/>
      <w:szCs w:val="20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Standardnpsmoodstavce1">
    <w:name w:val="Standardní písmo odstavce1"/>
    <w:qFormat/>
    <w:rPr/>
  </w:style>
  <w:style w:type="character" w:styleId="FormtovanvHTMLChar">
    <w:name w:val="Formátovaný v HTML Char"/>
    <w:qFormat/>
    <w:rPr>
      <w:rFonts w:ascii="Courier New" w:hAnsi="Courier New" w:cs="Courier New"/>
    </w:rPr>
  </w:style>
  <w:style w:type="character" w:styleId="Internetovodkaz">
    <w:name w:val="Internetový odkaz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cs="Liberation Sans"/>
      <w:sz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i/>
    </w:rPr>
  </w:style>
  <w:style w:type="paragraph" w:styleId="Rejstk1">
    <w:name w:val="Rejst?ík"/>
    <w:basedOn w:val="Normal"/>
    <w:qFormat/>
    <w:pPr>
      <w:suppressLineNumbers/>
    </w:pPr>
    <w:rPr/>
  </w:style>
  <w:style w:type="paragraph" w:styleId="FormtovanvHTML">
    <w:name w:val="Formátovaný v HTML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overflowPunct w:val="true"/>
      <w:autoSpaceDE w:val="true"/>
      <w:textAlignment w:val="auto"/>
    </w:pPr>
    <w:rPr>
      <w:rFonts w:ascii="Courier New" w:hAnsi="Courier New" w:cs="Courier New"/>
      <w:kern w:val="0"/>
      <w:sz w:val="20"/>
    </w:rPr>
  </w:style>
  <w:style w:type="paragraph" w:styleId="Normlnweb">
    <w:name w:val="Normální (web)"/>
    <w:basedOn w:val="Normal"/>
    <w:qFormat/>
    <w:pPr>
      <w:widowControl/>
      <w:suppressAutoHyphens w:val="false"/>
      <w:overflowPunct w:val="true"/>
      <w:autoSpaceDE w:val="true"/>
      <w:spacing w:before="100" w:after="100"/>
      <w:textAlignment w:val="auto"/>
    </w:pPr>
    <w:rPr>
      <w:rFonts w:ascii="Times New Roman" w:hAnsi="Times New Roman" w:cs="Times New Roman"/>
      <w:kern w:val="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yc@law.muni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LibreOffice/6.0.7.3$Linux_X86_64 LibreOffice_project/00m0$Build-3</Application>
  <Pages>2</Pages>
  <Words>583</Words>
  <Characters>3540</Characters>
  <CharactersWithSpaces>4098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2018-03-21T15:49:00Z</dcterms:created>
  <dc:creator>Vladimír Týč</dc:creator>
  <dc:description/>
  <cp:keywords/>
  <dc:language>cs-CZ</dc:language>
  <cp:lastModifiedBy>Vladimír Týč</cp:lastModifiedBy>
  <cp:lastPrinted>2012-03-05T10:58:00Z</cp:lastPrinted>
  <dcterms:modified xsi:type="dcterms:W3CDTF">2020-04-19T21:49:41Z</dcterms:modified>
  <cp:revision>5</cp:revision>
  <dc:subject/>
  <dc:title>Seminář č</dc:title>
</cp:coreProperties>
</file>