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3E" w:rsidRPr="0094523E" w:rsidRDefault="000B1364" w:rsidP="0094523E">
      <w:pPr>
        <w:pStyle w:val="Odstavecseseznamem"/>
        <w:jc w:val="right"/>
        <w:rPr>
          <w:rFonts w:asciiTheme="majorHAnsi" w:hAnsiTheme="majorHAnsi" w:cstheme="majorHAnsi"/>
          <w:color w:val="A6A6A6" w:themeColor="background1" w:themeShade="A6"/>
        </w:rPr>
      </w:pPr>
      <w:r>
        <w:rPr>
          <w:rFonts w:asciiTheme="majorHAnsi" w:hAnsiTheme="majorHAnsi" w:cstheme="majorHAnsi"/>
          <w:color w:val="A6A6A6" w:themeColor="background1" w:themeShade="A6"/>
        </w:rPr>
        <w:t>Praxe řízení před ESLP</w:t>
      </w:r>
      <w:r w:rsidR="0094523E" w:rsidRPr="0094523E">
        <w:rPr>
          <w:rFonts w:asciiTheme="majorHAnsi" w:hAnsiTheme="majorHAnsi" w:cstheme="majorHAnsi"/>
          <w:color w:val="A6A6A6" w:themeColor="background1" w:themeShade="A6"/>
        </w:rPr>
        <w:t xml:space="preserve">, </w:t>
      </w:r>
      <w:r>
        <w:rPr>
          <w:rFonts w:asciiTheme="majorHAnsi" w:hAnsiTheme="majorHAnsi" w:cstheme="majorHAnsi"/>
          <w:color w:val="A6A6A6" w:themeColor="background1" w:themeShade="A6"/>
        </w:rPr>
        <w:t xml:space="preserve">17. března </w:t>
      </w:r>
      <w:bookmarkStart w:id="0" w:name="_GoBack"/>
      <w:bookmarkEnd w:id="0"/>
      <w:r w:rsidR="0094523E" w:rsidRPr="0094523E">
        <w:rPr>
          <w:rFonts w:asciiTheme="majorHAnsi" w:hAnsiTheme="majorHAnsi" w:cstheme="majorHAnsi"/>
          <w:color w:val="A6A6A6" w:themeColor="background1" w:themeShade="A6"/>
        </w:rPr>
        <w:t>2020</w:t>
      </w:r>
    </w:p>
    <w:p w:rsidR="0094523E" w:rsidRDefault="0094523E" w:rsidP="0094523E">
      <w:pPr>
        <w:pStyle w:val="Odstavecseseznamem"/>
        <w:jc w:val="right"/>
        <w:rPr>
          <w:rFonts w:asciiTheme="majorHAnsi" w:hAnsiTheme="majorHAnsi" w:cstheme="majorHAnsi"/>
          <w:color w:val="A6A6A6" w:themeColor="background1" w:themeShade="A6"/>
        </w:rPr>
      </w:pPr>
      <w:r w:rsidRPr="0094523E">
        <w:rPr>
          <w:rFonts w:asciiTheme="majorHAnsi" w:hAnsiTheme="majorHAnsi" w:cstheme="majorHAnsi"/>
          <w:color w:val="A6A6A6" w:themeColor="background1" w:themeShade="A6"/>
        </w:rPr>
        <w:t xml:space="preserve">Kateřina Radová, </w:t>
      </w:r>
      <w:hyperlink r:id="rId8" w:history="1">
        <w:r w:rsidRPr="00514CE4">
          <w:rPr>
            <w:rStyle w:val="Hypertextovodkaz"/>
            <w:rFonts w:asciiTheme="majorHAnsi" w:hAnsiTheme="majorHAnsi" w:cstheme="majorHAnsi"/>
            <w:color w:val="03407D" w:themeColor="hyperlink" w:themeShade="A6"/>
          </w:rPr>
          <w:t>kradova@msp.justice.cz</w:t>
        </w:r>
      </w:hyperlink>
    </w:p>
    <w:p w:rsidR="0094523E" w:rsidRPr="0094523E" w:rsidRDefault="0094523E" w:rsidP="0094523E">
      <w:pPr>
        <w:pStyle w:val="Odstavecseseznamem"/>
        <w:jc w:val="right"/>
        <w:rPr>
          <w:rFonts w:asciiTheme="majorHAnsi" w:hAnsiTheme="majorHAnsi" w:cstheme="majorHAnsi"/>
          <w:color w:val="A6A6A6" w:themeColor="background1" w:themeShade="A6"/>
        </w:rPr>
      </w:pPr>
    </w:p>
    <w:p w:rsidR="0094523E" w:rsidRDefault="0094523E" w:rsidP="0094523E">
      <w:pPr>
        <w:pStyle w:val="Odstavecseseznamem"/>
        <w:rPr>
          <w:rFonts w:asciiTheme="majorHAnsi" w:hAnsiTheme="majorHAnsi" w:cstheme="majorHAnsi"/>
          <w:b/>
          <w:sz w:val="28"/>
        </w:rPr>
      </w:pPr>
    </w:p>
    <w:p w:rsidR="00FD32D4" w:rsidRDefault="00220DF1" w:rsidP="00B0099A">
      <w:pPr>
        <w:pStyle w:val="Odstavecseseznamem"/>
        <w:jc w:val="both"/>
        <w:rPr>
          <w:rFonts w:asciiTheme="majorHAnsi" w:hAnsiTheme="majorHAnsi" w:cstheme="majorHAnsi"/>
          <w:b/>
          <w:sz w:val="28"/>
        </w:rPr>
      </w:pPr>
      <w:r w:rsidRPr="00B0099A">
        <w:rPr>
          <w:rFonts w:asciiTheme="majorHAnsi" w:hAnsiTheme="majorHAnsi" w:cstheme="majorHAnsi"/>
          <w:b/>
          <w:sz w:val="28"/>
        </w:rPr>
        <w:t xml:space="preserve">Migranti a uprchlíci </w:t>
      </w:r>
      <w:r w:rsidR="004A04FB">
        <w:rPr>
          <w:rFonts w:asciiTheme="majorHAnsi" w:hAnsiTheme="majorHAnsi" w:cstheme="majorHAnsi"/>
          <w:b/>
          <w:sz w:val="28"/>
        </w:rPr>
        <w:t>aneb Cesta tam</w:t>
      </w:r>
      <w:r w:rsidR="00BC59D5" w:rsidRPr="00B0099A">
        <w:rPr>
          <w:rFonts w:asciiTheme="majorHAnsi" w:hAnsiTheme="majorHAnsi" w:cstheme="majorHAnsi"/>
          <w:b/>
          <w:sz w:val="28"/>
        </w:rPr>
        <w:t xml:space="preserve"> </w:t>
      </w:r>
      <w:r w:rsidR="004A04FB">
        <w:rPr>
          <w:rFonts w:asciiTheme="majorHAnsi" w:hAnsiTheme="majorHAnsi" w:cstheme="majorHAnsi"/>
          <w:b/>
          <w:sz w:val="28"/>
        </w:rPr>
        <w:t>(</w:t>
      </w:r>
      <w:r w:rsidR="00BC59D5" w:rsidRPr="00B0099A">
        <w:rPr>
          <w:rFonts w:asciiTheme="majorHAnsi" w:hAnsiTheme="majorHAnsi" w:cstheme="majorHAnsi"/>
          <w:b/>
          <w:sz w:val="28"/>
        </w:rPr>
        <w:t>do Evropy</w:t>
      </w:r>
      <w:r w:rsidR="004A04FB">
        <w:rPr>
          <w:rFonts w:asciiTheme="majorHAnsi" w:hAnsiTheme="majorHAnsi" w:cstheme="majorHAnsi"/>
          <w:b/>
          <w:sz w:val="28"/>
        </w:rPr>
        <w:t>) a zase zpátky?</w:t>
      </w:r>
    </w:p>
    <w:p w:rsidR="00BC59D5" w:rsidRDefault="00BC59D5" w:rsidP="00B0099A">
      <w:pPr>
        <w:pStyle w:val="Odstavecseseznamem"/>
        <w:jc w:val="both"/>
        <w:rPr>
          <w:rFonts w:asciiTheme="majorHAnsi" w:hAnsiTheme="majorHAnsi" w:cstheme="majorHAnsi"/>
        </w:rPr>
      </w:pPr>
    </w:p>
    <w:p w:rsidR="00BC59D5" w:rsidRDefault="00BC59D5" w:rsidP="00B0099A">
      <w:pPr>
        <w:pStyle w:val="Odstavecseseznamem"/>
        <w:pBdr>
          <w:bottom w:val="single" w:sz="4" w:space="1" w:color="auto"/>
        </w:pBdr>
        <w:jc w:val="both"/>
        <w:rPr>
          <w:rFonts w:asciiTheme="majorHAnsi" w:hAnsiTheme="majorHAnsi" w:cstheme="majorHAnsi"/>
        </w:rPr>
      </w:pPr>
      <w:r>
        <w:rPr>
          <w:rFonts w:asciiTheme="majorHAnsi" w:hAnsiTheme="majorHAnsi" w:cstheme="majorHAnsi"/>
        </w:rPr>
        <w:t xml:space="preserve">1. Migranti, uprchlíci a </w:t>
      </w:r>
      <w:r w:rsidR="004A04FB">
        <w:rPr>
          <w:rFonts w:asciiTheme="majorHAnsi" w:hAnsiTheme="majorHAnsi" w:cstheme="majorHAnsi"/>
        </w:rPr>
        <w:t>Evropská ú</w:t>
      </w:r>
      <w:r>
        <w:rPr>
          <w:rFonts w:asciiTheme="majorHAnsi" w:hAnsiTheme="majorHAnsi" w:cstheme="majorHAnsi"/>
        </w:rPr>
        <w:t xml:space="preserve">mluva </w:t>
      </w:r>
      <w:r w:rsidR="004A04FB">
        <w:rPr>
          <w:rFonts w:asciiTheme="majorHAnsi" w:hAnsiTheme="majorHAnsi" w:cstheme="majorHAnsi"/>
        </w:rPr>
        <w:t>o lidských právech („Úmluva“)</w:t>
      </w:r>
    </w:p>
    <w:p w:rsidR="00BC59D5" w:rsidRDefault="00BC59D5" w:rsidP="00B0099A">
      <w:pPr>
        <w:pStyle w:val="Odstavecseseznamem"/>
        <w:jc w:val="both"/>
        <w:rPr>
          <w:rFonts w:asciiTheme="majorHAnsi" w:hAnsiTheme="majorHAnsi" w:cstheme="majorHAnsi"/>
        </w:rPr>
      </w:pPr>
    </w:p>
    <w:p w:rsidR="00202461" w:rsidRDefault="00202461" w:rsidP="00B0099A">
      <w:pPr>
        <w:pStyle w:val="Odstavecseseznamem"/>
        <w:jc w:val="both"/>
        <w:rPr>
          <w:rFonts w:asciiTheme="majorHAnsi" w:hAnsiTheme="majorHAnsi" w:cstheme="majorHAnsi"/>
        </w:rPr>
      </w:pPr>
      <w:r>
        <w:rPr>
          <w:rFonts w:asciiTheme="majorHAnsi" w:hAnsiTheme="majorHAnsi" w:cstheme="majorHAnsi"/>
        </w:rPr>
        <w:t>Lidé, kteří přicházejí do Evropy s úmyslem se zde usadit</w:t>
      </w:r>
      <w:r w:rsidR="003D4772">
        <w:rPr>
          <w:rFonts w:asciiTheme="majorHAnsi" w:hAnsiTheme="majorHAnsi" w:cstheme="majorHAnsi"/>
        </w:rPr>
        <w:t>,</w:t>
      </w:r>
      <w:r w:rsidR="008F644F">
        <w:rPr>
          <w:rFonts w:asciiTheme="majorHAnsi" w:hAnsiTheme="majorHAnsi" w:cstheme="majorHAnsi"/>
        </w:rPr>
        <w:t xml:space="preserve"> jsou označováni pojmy jako </w:t>
      </w:r>
      <w:r>
        <w:rPr>
          <w:rFonts w:asciiTheme="majorHAnsi" w:hAnsiTheme="majorHAnsi" w:cstheme="majorHAnsi"/>
        </w:rPr>
        <w:t>migrant</w:t>
      </w:r>
      <w:r w:rsidR="008F644F">
        <w:rPr>
          <w:rFonts w:asciiTheme="majorHAnsi" w:hAnsiTheme="majorHAnsi" w:cstheme="majorHAnsi"/>
        </w:rPr>
        <w:t xml:space="preserve">, </w:t>
      </w:r>
      <w:r>
        <w:rPr>
          <w:rFonts w:asciiTheme="majorHAnsi" w:hAnsiTheme="majorHAnsi" w:cstheme="majorHAnsi"/>
        </w:rPr>
        <w:t>uprchlík</w:t>
      </w:r>
      <w:r w:rsidR="008F644F">
        <w:rPr>
          <w:rFonts w:asciiTheme="majorHAnsi" w:hAnsiTheme="majorHAnsi" w:cstheme="majorHAnsi"/>
        </w:rPr>
        <w:t xml:space="preserve"> či žadatel o azyl nebo žadatel o mezinárodní ochranu</w:t>
      </w:r>
      <w:r>
        <w:rPr>
          <w:rFonts w:asciiTheme="majorHAnsi" w:hAnsiTheme="majorHAnsi" w:cstheme="majorHAnsi"/>
        </w:rPr>
        <w:t xml:space="preserve">. </w:t>
      </w:r>
      <w:r w:rsidR="00B94805">
        <w:rPr>
          <w:rFonts w:asciiTheme="majorHAnsi" w:hAnsiTheme="majorHAnsi" w:cstheme="majorHAnsi"/>
        </w:rPr>
        <w:t xml:space="preserve">Pro vyjasnění uvádím </w:t>
      </w:r>
      <w:r w:rsidR="008F644F">
        <w:rPr>
          <w:rFonts w:asciiTheme="majorHAnsi" w:hAnsiTheme="majorHAnsi" w:cstheme="majorHAnsi"/>
        </w:rPr>
        <w:t xml:space="preserve">na začátek </w:t>
      </w:r>
      <w:r w:rsidR="00B94805">
        <w:rPr>
          <w:rFonts w:asciiTheme="majorHAnsi" w:hAnsiTheme="majorHAnsi" w:cstheme="majorHAnsi"/>
        </w:rPr>
        <w:t>vysvětlení základních pojmů.</w:t>
      </w:r>
    </w:p>
    <w:p w:rsidR="00BE7DB9" w:rsidRDefault="00202461" w:rsidP="00B0099A">
      <w:pPr>
        <w:pStyle w:val="Odstavecseseznamem"/>
        <w:jc w:val="both"/>
        <w:rPr>
          <w:rFonts w:asciiTheme="majorHAnsi" w:hAnsiTheme="majorHAnsi" w:cstheme="majorHAnsi"/>
        </w:rPr>
      </w:pPr>
      <w:r>
        <w:rPr>
          <w:rFonts w:asciiTheme="majorHAnsi" w:hAnsiTheme="majorHAnsi" w:cstheme="majorHAnsi"/>
        </w:rPr>
        <w:t xml:space="preserve">Pojem </w:t>
      </w:r>
      <w:r w:rsidRPr="00202461">
        <w:rPr>
          <w:rFonts w:asciiTheme="majorHAnsi" w:hAnsiTheme="majorHAnsi" w:cstheme="majorHAnsi"/>
          <w:b/>
        </w:rPr>
        <w:t>migran</w:t>
      </w:r>
      <w:r w:rsidR="00A15E77" w:rsidRPr="00A15E77">
        <w:rPr>
          <w:rFonts w:asciiTheme="majorHAnsi" w:hAnsiTheme="majorHAnsi" w:cstheme="majorHAnsi"/>
          <w:b/>
        </w:rPr>
        <w:t>t</w:t>
      </w:r>
      <w:r>
        <w:rPr>
          <w:rFonts w:asciiTheme="majorHAnsi" w:hAnsiTheme="majorHAnsi" w:cstheme="majorHAnsi"/>
        </w:rPr>
        <w:t xml:space="preserve"> označuje osobu, která </w:t>
      </w:r>
      <w:r w:rsidR="00A15E77">
        <w:rPr>
          <w:rFonts w:asciiTheme="majorHAnsi" w:hAnsiTheme="majorHAnsi" w:cstheme="majorHAnsi"/>
        </w:rPr>
        <w:t xml:space="preserve">se přesouvá z jednoho místa, regionu, země, na místo jiné. </w:t>
      </w:r>
    </w:p>
    <w:p w:rsidR="00B94805" w:rsidRDefault="00A15E77" w:rsidP="00B0099A">
      <w:pPr>
        <w:pStyle w:val="Odstavecseseznamem"/>
        <w:jc w:val="both"/>
        <w:rPr>
          <w:rFonts w:asciiTheme="majorHAnsi" w:hAnsiTheme="majorHAnsi" w:cstheme="majorHAnsi"/>
        </w:rPr>
      </w:pPr>
      <w:r>
        <w:rPr>
          <w:rFonts w:asciiTheme="majorHAnsi" w:hAnsiTheme="majorHAnsi" w:cstheme="majorHAnsi"/>
        </w:rPr>
        <w:t xml:space="preserve">Pojem </w:t>
      </w:r>
      <w:r w:rsidRPr="00BE7DB9">
        <w:rPr>
          <w:rFonts w:asciiTheme="majorHAnsi" w:hAnsiTheme="majorHAnsi" w:cstheme="majorHAnsi"/>
          <w:b/>
        </w:rPr>
        <w:t>uprchlík</w:t>
      </w:r>
      <w:r>
        <w:rPr>
          <w:rFonts w:asciiTheme="majorHAnsi" w:hAnsiTheme="majorHAnsi" w:cstheme="majorHAnsi"/>
        </w:rPr>
        <w:t xml:space="preserve"> ve smyslu Úmluvy o postavení uprchlíků z roku 1951</w:t>
      </w:r>
      <w:r w:rsidR="00BE7DB9">
        <w:rPr>
          <w:rFonts w:asciiTheme="majorHAnsi" w:hAnsiTheme="majorHAnsi" w:cstheme="majorHAnsi"/>
        </w:rPr>
        <w:t xml:space="preserve"> </w:t>
      </w:r>
      <w:r w:rsidR="00733C98">
        <w:rPr>
          <w:rFonts w:asciiTheme="majorHAnsi" w:hAnsiTheme="majorHAnsi" w:cstheme="majorHAnsi"/>
        </w:rPr>
        <w:t>(„Ženevská úmluva“</w:t>
      </w:r>
      <w:r w:rsidR="00EF579E">
        <w:rPr>
          <w:rFonts w:asciiTheme="majorHAnsi" w:hAnsiTheme="majorHAnsi" w:cstheme="majorHAnsi"/>
        </w:rPr>
        <w:t xml:space="preserve">) </w:t>
      </w:r>
      <w:r w:rsidR="00BE7DB9">
        <w:rPr>
          <w:rFonts w:asciiTheme="majorHAnsi" w:hAnsiTheme="majorHAnsi" w:cstheme="majorHAnsi"/>
        </w:rPr>
        <w:t xml:space="preserve">označuje osobu, </w:t>
      </w:r>
      <w:r w:rsidR="00BE7DB9" w:rsidRPr="00BE7DB9">
        <w:rPr>
          <w:rFonts w:asciiTheme="majorHAnsi" w:hAnsiTheme="majorHAnsi" w:cstheme="majorHAnsi"/>
        </w:rPr>
        <w:t>která se nachází mimo svou vlast a má oprávněné obavy před pronásledováním z důvodů rasových, náboženských nebo národnostních nebo z důvodů příslušnosti k určitým společenským vrstvám nebo i zastávání určitých politických názorů a je neschopna přijmout, nebo vzhledem ke shora uvedeným obavám, odmítá ochranu své vlasti.</w:t>
      </w:r>
      <w:r w:rsidR="00733C98">
        <w:rPr>
          <w:rFonts w:asciiTheme="majorHAnsi" w:hAnsiTheme="majorHAnsi" w:cstheme="majorHAnsi"/>
        </w:rPr>
        <w:t xml:space="preserve"> Uprchlíkem se osoba stává v momentě, kdy opustí svou vlast. Postavení uprchlíka a možnost požívat tak ochrany a práv obsažený</w:t>
      </w:r>
      <w:r w:rsidR="003D4772">
        <w:rPr>
          <w:rFonts w:asciiTheme="majorHAnsi" w:hAnsiTheme="majorHAnsi" w:cstheme="majorHAnsi"/>
        </w:rPr>
        <w:t>ch</w:t>
      </w:r>
      <w:r w:rsidR="00733C98">
        <w:rPr>
          <w:rFonts w:asciiTheme="majorHAnsi" w:hAnsiTheme="majorHAnsi" w:cstheme="majorHAnsi"/>
        </w:rPr>
        <w:t xml:space="preserve"> </w:t>
      </w:r>
      <w:r w:rsidR="00B94805">
        <w:rPr>
          <w:rFonts w:asciiTheme="majorHAnsi" w:hAnsiTheme="majorHAnsi" w:cstheme="majorHAnsi"/>
        </w:rPr>
        <w:t xml:space="preserve">v Ženevské úmluvě </w:t>
      </w:r>
      <w:r w:rsidR="00733C98">
        <w:rPr>
          <w:rFonts w:asciiTheme="majorHAnsi" w:hAnsiTheme="majorHAnsi" w:cstheme="majorHAnsi"/>
        </w:rPr>
        <w:t>získá ale až udělením</w:t>
      </w:r>
      <w:r w:rsidR="00B94805">
        <w:rPr>
          <w:rFonts w:asciiTheme="majorHAnsi" w:hAnsiTheme="majorHAnsi" w:cstheme="majorHAnsi"/>
        </w:rPr>
        <w:t xml:space="preserve"> daného statusu ze strany státu. Pro získání daného postavené osoba v přijímacím státě žádá o azyl. </w:t>
      </w:r>
    </w:p>
    <w:p w:rsidR="00202461" w:rsidRDefault="00B94805" w:rsidP="00B0099A">
      <w:pPr>
        <w:pStyle w:val="Odstavecseseznamem"/>
        <w:jc w:val="both"/>
        <w:rPr>
          <w:rFonts w:asciiTheme="majorHAnsi" w:hAnsiTheme="majorHAnsi" w:cstheme="majorHAnsi"/>
        </w:rPr>
      </w:pPr>
      <w:r>
        <w:rPr>
          <w:rFonts w:asciiTheme="majorHAnsi" w:hAnsiTheme="majorHAnsi" w:cstheme="majorHAnsi"/>
        </w:rPr>
        <w:t xml:space="preserve">Pojem </w:t>
      </w:r>
      <w:r w:rsidRPr="0002452F">
        <w:rPr>
          <w:rFonts w:asciiTheme="majorHAnsi" w:hAnsiTheme="majorHAnsi" w:cstheme="majorHAnsi"/>
          <w:b/>
        </w:rPr>
        <w:t>žadatel o azyl</w:t>
      </w:r>
      <w:r>
        <w:rPr>
          <w:rFonts w:asciiTheme="majorHAnsi" w:hAnsiTheme="majorHAnsi" w:cstheme="majorHAnsi"/>
        </w:rPr>
        <w:t xml:space="preserve"> označuje osobu, která na území přijímacího státu žádá o získání </w:t>
      </w:r>
      <w:r w:rsidR="0002452F">
        <w:rPr>
          <w:rFonts w:asciiTheme="majorHAnsi" w:hAnsiTheme="majorHAnsi" w:cstheme="majorHAnsi"/>
        </w:rPr>
        <w:t>postavení uprchlíka</w:t>
      </w:r>
      <w:r w:rsidR="00653ACA">
        <w:rPr>
          <w:rFonts w:asciiTheme="majorHAnsi" w:hAnsiTheme="majorHAnsi" w:cstheme="majorHAnsi"/>
        </w:rPr>
        <w:t>.</w:t>
      </w:r>
    </w:p>
    <w:p w:rsidR="00787FAA" w:rsidRDefault="00AE4913" w:rsidP="00787FAA">
      <w:pPr>
        <w:pStyle w:val="Odstavecseseznamem"/>
        <w:jc w:val="both"/>
        <w:rPr>
          <w:rFonts w:asciiTheme="majorHAnsi" w:hAnsiTheme="majorHAnsi" w:cstheme="majorHAnsi"/>
        </w:rPr>
      </w:pPr>
      <w:r>
        <w:rPr>
          <w:rFonts w:asciiTheme="majorHAnsi" w:hAnsiTheme="majorHAnsi" w:cstheme="majorHAnsi"/>
        </w:rPr>
        <w:t xml:space="preserve">Na základě práva Evropské unie může osoba získat tzv. </w:t>
      </w:r>
      <w:r w:rsidRPr="00AA6F99">
        <w:rPr>
          <w:rFonts w:asciiTheme="majorHAnsi" w:hAnsiTheme="majorHAnsi" w:cstheme="majorHAnsi"/>
        </w:rPr>
        <w:t>mezinárodní ochranu</w:t>
      </w:r>
      <w:r>
        <w:rPr>
          <w:rFonts w:asciiTheme="majorHAnsi" w:hAnsiTheme="majorHAnsi" w:cstheme="majorHAnsi"/>
        </w:rPr>
        <w:t xml:space="preserve">. </w:t>
      </w:r>
      <w:r w:rsidR="000262ED" w:rsidRPr="00AA6F99">
        <w:rPr>
          <w:rFonts w:asciiTheme="majorHAnsi" w:hAnsiTheme="majorHAnsi" w:cstheme="majorHAnsi"/>
          <w:b/>
        </w:rPr>
        <w:t>Mezinárodní ochrana</w:t>
      </w:r>
      <w:r w:rsidR="00AA6F99">
        <w:rPr>
          <w:rStyle w:val="Znakapoznpodarou"/>
          <w:rFonts w:asciiTheme="majorHAnsi" w:hAnsiTheme="majorHAnsi" w:cstheme="majorHAnsi"/>
          <w:b/>
        </w:rPr>
        <w:footnoteReference w:id="1"/>
      </w:r>
      <w:r w:rsidR="000262ED">
        <w:rPr>
          <w:rFonts w:asciiTheme="majorHAnsi" w:hAnsiTheme="majorHAnsi" w:cstheme="majorHAnsi"/>
        </w:rPr>
        <w:t xml:space="preserve"> se uděluje ve dvou formách</w:t>
      </w:r>
      <w:r w:rsidR="00C52BCD">
        <w:rPr>
          <w:rFonts w:asciiTheme="majorHAnsi" w:hAnsiTheme="majorHAnsi" w:cstheme="majorHAnsi"/>
        </w:rPr>
        <w:t xml:space="preserve">, a to ve formě uprchlického statusu </w:t>
      </w:r>
      <w:r w:rsidR="007D7F88">
        <w:rPr>
          <w:rFonts w:asciiTheme="majorHAnsi" w:hAnsiTheme="majorHAnsi" w:cstheme="majorHAnsi"/>
        </w:rPr>
        <w:t xml:space="preserve">ve smyslu Ženevské úmluvy </w:t>
      </w:r>
      <w:r w:rsidR="00C52BCD">
        <w:rPr>
          <w:rFonts w:asciiTheme="majorHAnsi" w:hAnsiTheme="majorHAnsi" w:cstheme="majorHAnsi"/>
        </w:rPr>
        <w:t>nebo ve formě doplňkov</w:t>
      </w:r>
      <w:r w:rsidR="00AA6F99">
        <w:rPr>
          <w:rFonts w:asciiTheme="majorHAnsi" w:hAnsiTheme="majorHAnsi" w:cstheme="majorHAnsi"/>
        </w:rPr>
        <w:t>é</w:t>
      </w:r>
      <w:r w:rsidR="00C52BCD">
        <w:rPr>
          <w:rFonts w:asciiTheme="majorHAnsi" w:hAnsiTheme="majorHAnsi" w:cstheme="majorHAnsi"/>
        </w:rPr>
        <w:t xml:space="preserve"> ochran</w:t>
      </w:r>
      <w:r w:rsidR="00AA6F99">
        <w:rPr>
          <w:rFonts w:asciiTheme="majorHAnsi" w:hAnsiTheme="majorHAnsi" w:cstheme="majorHAnsi"/>
        </w:rPr>
        <w:t xml:space="preserve">y. Osoba žádající na území EU o mezinárodní ochranu </w:t>
      </w:r>
      <w:r w:rsidR="009366BA">
        <w:rPr>
          <w:rFonts w:asciiTheme="majorHAnsi" w:hAnsiTheme="majorHAnsi" w:cstheme="majorHAnsi"/>
        </w:rPr>
        <w:t>bývá</w:t>
      </w:r>
      <w:r w:rsidR="00AA6F99">
        <w:rPr>
          <w:rFonts w:asciiTheme="majorHAnsi" w:hAnsiTheme="majorHAnsi" w:cstheme="majorHAnsi"/>
        </w:rPr>
        <w:t xml:space="preserve"> označovaná jako žadatel o mezinárodní ochranu nebo i jako žadatel o azyl.</w:t>
      </w:r>
    </w:p>
    <w:p w:rsidR="00787FAA" w:rsidRDefault="00787FAA" w:rsidP="00787FAA">
      <w:pPr>
        <w:pStyle w:val="Odstavecseseznamem"/>
        <w:jc w:val="both"/>
        <w:rPr>
          <w:rFonts w:asciiTheme="majorHAnsi" w:hAnsiTheme="majorHAnsi" w:cstheme="majorHAnsi"/>
        </w:rPr>
      </w:pPr>
    </w:p>
    <w:p w:rsidR="00AA6F99" w:rsidRDefault="007D7F88" w:rsidP="00B0099A">
      <w:pPr>
        <w:pStyle w:val="Odstavecseseznamem"/>
        <w:jc w:val="both"/>
        <w:rPr>
          <w:rFonts w:asciiTheme="majorHAnsi" w:hAnsiTheme="majorHAnsi" w:cstheme="majorHAnsi"/>
        </w:rPr>
      </w:pPr>
      <w:r w:rsidRPr="00EF579E">
        <w:rPr>
          <w:rFonts w:asciiTheme="majorHAnsi" w:hAnsiTheme="majorHAnsi" w:cstheme="majorHAnsi"/>
          <w:b/>
        </w:rPr>
        <w:t>Evropský soud pro lidská práva</w:t>
      </w:r>
      <w:r>
        <w:rPr>
          <w:rFonts w:asciiTheme="majorHAnsi" w:hAnsiTheme="majorHAnsi" w:cstheme="majorHAnsi"/>
        </w:rPr>
        <w:t xml:space="preserve"> </w:t>
      </w:r>
      <w:r w:rsidR="00DC6D34">
        <w:rPr>
          <w:rFonts w:asciiTheme="majorHAnsi" w:hAnsiTheme="majorHAnsi" w:cstheme="majorHAnsi"/>
        </w:rPr>
        <w:t xml:space="preserve">(„Soud“) </w:t>
      </w:r>
      <w:r w:rsidRPr="00AF251E">
        <w:rPr>
          <w:rFonts w:asciiTheme="majorHAnsi" w:hAnsiTheme="majorHAnsi" w:cstheme="majorHAnsi"/>
          <w:b/>
        </w:rPr>
        <w:t>není oprávněn přezkoumávat žádosti o mezinárodní ochranu.</w:t>
      </w:r>
      <w:r>
        <w:rPr>
          <w:rFonts w:asciiTheme="majorHAnsi" w:hAnsiTheme="majorHAnsi" w:cstheme="majorHAnsi"/>
        </w:rPr>
        <w:t xml:space="preserve"> Úmluva jako taková</w:t>
      </w:r>
      <w:r w:rsidR="00DC6D34">
        <w:rPr>
          <w:rFonts w:asciiTheme="majorHAnsi" w:hAnsiTheme="majorHAnsi" w:cstheme="majorHAnsi"/>
        </w:rPr>
        <w:t xml:space="preserve"> </w:t>
      </w:r>
      <w:r w:rsidR="00DC6D34" w:rsidRPr="00AF251E">
        <w:rPr>
          <w:rFonts w:asciiTheme="majorHAnsi" w:hAnsiTheme="majorHAnsi" w:cstheme="majorHAnsi"/>
          <w:b/>
        </w:rPr>
        <w:t>neobsahuje právo na získání mezinárodní ochrany, resp. politického azylu</w:t>
      </w:r>
      <w:r w:rsidR="00DC6D34">
        <w:rPr>
          <w:rFonts w:asciiTheme="majorHAnsi" w:hAnsiTheme="majorHAnsi" w:cstheme="majorHAnsi"/>
        </w:rPr>
        <w:t>. Soud ve své judikatuře upozorňuje na zásadu</w:t>
      </w:r>
      <w:r w:rsidR="00EF579E">
        <w:rPr>
          <w:rFonts w:asciiTheme="majorHAnsi" w:hAnsiTheme="majorHAnsi" w:cstheme="majorHAnsi"/>
        </w:rPr>
        <w:t xml:space="preserve"> mezinárodního práva</w:t>
      </w:r>
      <w:r w:rsidR="00DC6D34">
        <w:rPr>
          <w:rFonts w:asciiTheme="majorHAnsi" w:hAnsiTheme="majorHAnsi" w:cstheme="majorHAnsi"/>
        </w:rPr>
        <w:t xml:space="preserve">, že </w:t>
      </w:r>
      <w:r w:rsidR="006D1047">
        <w:rPr>
          <w:rFonts w:asciiTheme="majorHAnsi" w:hAnsiTheme="majorHAnsi" w:cstheme="majorHAnsi"/>
        </w:rPr>
        <w:t>státy</w:t>
      </w:r>
      <w:r w:rsidR="00EF579E">
        <w:rPr>
          <w:rFonts w:asciiTheme="majorHAnsi" w:hAnsiTheme="majorHAnsi" w:cstheme="majorHAnsi"/>
        </w:rPr>
        <w:t xml:space="preserve"> mají právo kontrolovat vstup a pobyt </w:t>
      </w:r>
      <w:r w:rsidR="003D4E3D">
        <w:rPr>
          <w:rFonts w:asciiTheme="majorHAnsi" w:hAnsiTheme="majorHAnsi" w:cstheme="majorHAnsi"/>
        </w:rPr>
        <w:t xml:space="preserve">cizinců na svém území. Nicméně smluvní strany mají na základě článku 1 Úmluvy povinnost přiznat každému, kdo podléhá jejich jurisdikci, práva a svobody Úmluvou chráněné. V tomto ohledu </w:t>
      </w:r>
      <w:r w:rsidR="009F0177">
        <w:rPr>
          <w:rFonts w:asciiTheme="majorHAnsi" w:hAnsiTheme="majorHAnsi" w:cstheme="majorHAnsi"/>
        </w:rPr>
        <w:t>Úmluv</w:t>
      </w:r>
      <w:r w:rsidR="00F30ED3">
        <w:rPr>
          <w:rFonts w:asciiTheme="majorHAnsi" w:hAnsiTheme="majorHAnsi" w:cstheme="majorHAnsi"/>
        </w:rPr>
        <w:t>a ukládá státům určité povinnosti, které omezují jejich právo někoho ze svého území vyhostit nebo mu na je</w:t>
      </w:r>
      <w:r w:rsidR="005369AF">
        <w:rPr>
          <w:rFonts w:asciiTheme="majorHAnsi" w:hAnsiTheme="majorHAnsi" w:cstheme="majorHAnsi"/>
        </w:rPr>
        <w:t>jich</w:t>
      </w:r>
      <w:r w:rsidR="00F30ED3">
        <w:rPr>
          <w:rFonts w:asciiTheme="majorHAnsi" w:hAnsiTheme="majorHAnsi" w:cstheme="majorHAnsi"/>
        </w:rPr>
        <w:t xml:space="preserve"> území vstup povolit.</w:t>
      </w:r>
    </w:p>
    <w:p w:rsidR="00D367DF" w:rsidRDefault="00D367DF" w:rsidP="00B0099A">
      <w:pPr>
        <w:pStyle w:val="Odstavecseseznamem"/>
        <w:jc w:val="both"/>
        <w:rPr>
          <w:rFonts w:asciiTheme="majorHAnsi" w:hAnsiTheme="majorHAnsi" w:cstheme="majorHAnsi"/>
        </w:rPr>
      </w:pPr>
    </w:p>
    <w:p w:rsidR="00DB7E51" w:rsidRPr="00D70740" w:rsidRDefault="007F4322" w:rsidP="00B0099A">
      <w:pPr>
        <w:pStyle w:val="Odstavecseseznamem"/>
        <w:jc w:val="both"/>
        <w:rPr>
          <w:rFonts w:asciiTheme="majorHAnsi" w:hAnsiTheme="majorHAnsi" w:cstheme="majorHAnsi"/>
          <w:b/>
        </w:rPr>
      </w:pPr>
      <w:r>
        <w:rPr>
          <w:rFonts w:asciiTheme="majorHAnsi" w:hAnsiTheme="majorHAnsi" w:cstheme="majorHAnsi"/>
          <w:b/>
        </w:rPr>
        <w:t xml:space="preserve">Níže si ukážeme, jak Úmluva může </w:t>
      </w:r>
      <w:r w:rsidR="00DB7E51" w:rsidRPr="00D70740">
        <w:rPr>
          <w:rFonts w:asciiTheme="majorHAnsi" w:hAnsiTheme="majorHAnsi" w:cstheme="majorHAnsi"/>
          <w:b/>
        </w:rPr>
        <w:t xml:space="preserve">bránit </w:t>
      </w:r>
      <w:r>
        <w:rPr>
          <w:rFonts w:asciiTheme="majorHAnsi" w:hAnsiTheme="majorHAnsi" w:cstheme="majorHAnsi"/>
          <w:b/>
        </w:rPr>
        <w:t xml:space="preserve">ve </w:t>
      </w:r>
      <w:r w:rsidR="00DB7E51" w:rsidRPr="00D70740">
        <w:rPr>
          <w:rFonts w:asciiTheme="majorHAnsi" w:hAnsiTheme="majorHAnsi" w:cstheme="majorHAnsi"/>
          <w:b/>
        </w:rPr>
        <w:t xml:space="preserve">vyhoštění </w:t>
      </w:r>
      <w:r>
        <w:rPr>
          <w:rFonts w:asciiTheme="majorHAnsi" w:hAnsiTheme="majorHAnsi" w:cstheme="majorHAnsi"/>
          <w:b/>
        </w:rPr>
        <w:t xml:space="preserve">cizince </w:t>
      </w:r>
      <w:r w:rsidR="00DB7E51" w:rsidRPr="00D70740">
        <w:rPr>
          <w:rFonts w:asciiTheme="majorHAnsi" w:hAnsiTheme="majorHAnsi" w:cstheme="majorHAnsi"/>
          <w:b/>
        </w:rPr>
        <w:t>z území smluvního státu</w:t>
      </w:r>
      <w:r>
        <w:rPr>
          <w:rFonts w:asciiTheme="majorHAnsi" w:hAnsiTheme="majorHAnsi" w:cstheme="majorHAnsi"/>
          <w:b/>
        </w:rPr>
        <w:t>.</w:t>
      </w:r>
    </w:p>
    <w:p w:rsidR="00BC59D5" w:rsidRDefault="00BC59D5" w:rsidP="00B0099A">
      <w:pPr>
        <w:pStyle w:val="Odstavecseseznamem"/>
        <w:jc w:val="both"/>
        <w:rPr>
          <w:rFonts w:asciiTheme="majorHAnsi" w:hAnsiTheme="majorHAnsi" w:cstheme="majorHAnsi"/>
        </w:rPr>
      </w:pPr>
    </w:p>
    <w:p w:rsidR="00135E11" w:rsidRDefault="00135E11" w:rsidP="00955C29">
      <w:pPr>
        <w:pStyle w:val="Odstavecseseznamem"/>
        <w:jc w:val="both"/>
        <w:rPr>
          <w:rFonts w:asciiTheme="majorHAnsi" w:hAnsiTheme="majorHAnsi" w:cstheme="majorHAnsi"/>
        </w:rPr>
      </w:pPr>
    </w:p>
    <w:p w:rsidR="006E7539" w:rsidRDefault="006E7539" w:rsidP="00955C29">
      <w:pPr>
        <w:pStyle w:val="Odstavecseseznamem"/>
        <w:jc w:val="both"/>
        <w:rPr>
          <w:rFonts w:asciiTheme="majorHAnsi" w:hAnsiTheme="majorHAnsi" w:cstheme="majorHAnsi"/>
        </w:rPr>
      </w:pPr>
    </w:p>
    <w:p w:rsidR="00BC59D5" w:rsidRDefault="00BC59D5" w:rsidP="00D34945">
      <w:pPr>
        <w:pBdr>
          <w:bottom w:val="single" w:sz="4" w:space="1" w:color="auto"/>
        </w:pBdr>
        <w:rPr>
          <w:rFonts w:asciiTheme="majorHAnsi" w:hAnsiTheme="majorHAnsi" w:cstheme="majorHAnsi"/>
        </w:rPr>
      </w:pPr>
      <w:r>
        <w:rPr>
          <w:rFonts w:asciiTheme="majorHAnsi" w:hAnsiTheme="majorHAnsi" w:cstheme="majorHAnsi"/>
        </w:rPr>
        <w:lastRenderedPageBreak/>
        <w:t xml:space="preserve">2. Překážky </w:t>
      </w:r>
      <w:r w:rsidR="002C6D57">
        <w:rPr>
          <w:rFonts w:asciiTheme="majorHAnsi" w:hAnsiTheme="majorHAnsi" w:cstheme="majorHAnsi"/>
        </w:rPr>
        <w:t>smluvních stran</w:t>
      </w:r>
      <w:r>
        <w:rPr>
          <w:rFonts w:asciiTheme="majorHAnsi" w:hAnsiTheme="majorHAnsi" w:cstheme="majorHAnsi"/>
        </w:rPr>
        <w:t xml:space="preserve"> </w:t>
      </w:r>
      <w:r w:rsidR="0048345B">
        <w:rPr>
          <w:rFonts w:asciiTheme="majorHAnsi" w:hAnsiTheme="majorHAnsi" w:cstheme="majorHAnsi"/>
        </w:rPr>
        <w:t xml:space="preserve">na cestě </w:t>
      </w:r>
      <w:r>
        <w:rPr>
          <w:rFonts w:asciiTheme="majorHAnsi" w:hAnsiTheme="majorHAnsi" w:cstheme="majorHAnsi"/>
        </w:rPr>
        <w:t xml:space="preserve">k vyhoštění </w:t>
      </w:r>
      <w:r w:rsidR="0048345B">
        <w:rPr>
          <w:rFonts w:asciiTheme="majorHAnsi" w:hAnsiTheme="majorHAnsi" w:cstheme="majorHAnsi"/>
        </w:rPr>
        <w:t>cizinců</w:t>
      </w:r>
      <w:r>
        <w:rPr>
          <w:rFonts w:asciiTheme="majorHAnsi" w:hAnsiTheme="majorHAnsi" w:cstheme="majorHAnsi"/>
        </w:rPr>
        <w:t xml:space="preserve"> z jejich území</w:t>
      </w:r>
    </w:p>
    <w:p w:rsidR="00BC59D5" w:rsidRDefault="00BC59D5" w:rsidP="00B0099A">
      <w:pPr>
        <w:pStyle w:val="Odstavecseseznamem"/>
        <w:jc w:val="both"/>
        <w:rPr>
          <w:rFonts w:asciiTheme="majorHAnsi" w:hAnsiTheme="majorHAnsi" w:cstheme="majorHAnsi"/>
        </w:rPr>
      </w:pPr>
    </w:p>
    <w:p w:rsidR="00AB59C6" w:rsidRPr="004B29FD" w:rsidRDefault="00AB59C6" w:rsidP="00B0099A">
      <w:pPr>
        <w:pStyle w:val="Odstavecseseznamem"/>
        <w:jc w:val="both"/>
        <w:rPr>
          <w:rFonts w:asciiTheme="majorHAnsi" w:hAnsiTheme="majorHAnsi" w:cstheme="majorHAnsi"/>
          <w:b/>
        </w:rPr>
      </w:pPr>
      <w:r w:rsidRPr="004B29FD">
        <w:rPr>
          <w:rFonts w:asciiTheme="majorHAnsi" w:hAnsiTheme="majorHAnsi" w:cstheme="majorHAnsi"/>
          <w:b/>
        </w:rPr>
        <w:t>Článek 3 Úmluvy – Zákaz mučení</w:t>
      </w:r>
    </w:p>
    <w:p w:rsidR="00AB59C6" w:rsidRDefault="00AB59C6" w:rsidP="00B0099A">
      <w:pPr>
        <w:pStyle w:val="Odstavecseseznamem"/>
        <w:jc w:val="both"/>
        <w:rPr>
          <w:rFonts w:asciiTheme="majorHAnsi" w:hAnsiTheme="majorHAnsi" w:cstheme="majorHAnsi"/>
        </w:rPr>
      </w:pPr>
      <w:r>
        <w:rPr>
          <w:rFonts w:asciiTheme="majorHAnsi" w:hAnsiTheme="majorHAnsi" w:cstheme="majorHAnsi"/>
        </w:rPr>
        <w:t>„</w:t>
      </w:r>
      <w:r w:rsidRPr="00AB59C6">
        <w:rPr>
          <w:rFonts w:asciiTheme="majorHAnsi" w:hAnsiTheme="majorHAnsi" w:cstheme="majorHAnsi"/>
          <w:i/>
        </w:rPr>
        <w:t>Nikdo nesmí být mučen nebo podrobován nelidskému či ponižujícímu zacházení nebo trestání</w:t>
      </w:r>
      <w:r>
        <w:rPr>
          <w:rFonts w:asciiTheme="majorHAnsi" w:hAnsiTheme="majorHAnsi" w:cstheme="majorHAnsi"/>
        </w:rPr>
        <w:t>“</w:t>
      </w:r>
    </w:p>
    <w:p w:rsidR="00AB59C6" w:rsidRDefault="00AB59C6" w:rsidP="00B0099A">
      <w:pPr>
        <w:pStyle w:val="Odstavecseseznamem"/>
        <w:jc w:val="both"/>
        <w:rPr>
          <w:rFonts w:asciiTheme="majorHAnsi" w:hAnsiTheme="majorHAnsi" w:cstheme="majorHAnsi"/>
        </w:rPr>
      </w:pPr>
    </w:p>
    <w:p w:rsidR="00D4257E" w:rsidRDefault="00DA5FA4" w:rsidP="00B0099A">
      <w:pPr>
        <w:pStyle w:val="Odstavecseseznamem"/>
        <w:jc w:val="both"/>
        <w:rPr>
          <w:rFonts w:asciiTheme="majorHAnsi" w:hAnsiTheme="majorHAnsi" w:cstheme="majorHAnsi"/>
        </w:rPr>
      </w:pPr>
      <w:r>
        <w:rPr>
          <w:rFonts w:asciiTheme="majorHAnsi" w:hAnsiTheme="majorHAnsi" w:cstheme="majorHAnsi"/>
        </w:rPr>
        <w:t xml:space="preserve">Soud v rámci své judikatury stanovil, že </w:t>
      </w:r>
      <w:r w:rsidRPr="004B29FD">
        <w:rPr>
          <w:rFonts w:asciiTheme="majorHAnsi" w:hAnsiTheme="majorHAnsi" w:cstheme="majorHAnsi"/>
          <w:b/>
        </w:rPr>
        <w:t>stát na základě článku 3 Úmluvy nesmí vyhostit cizince do země, pokud existují závažné důvody se domnívat, že by mu zde hrozilo skutečné nebezpečí špatného zacházení</w:t>
      </w:r>
      <w:r w:rsidR="00DC66D2" w:rsidRPr="004B29FD">
        <w:rPr>
          <w:rFonts w:asciiTheme="majorHAnsi" w:hAnsiTheme="majorHAnsi" w:cstheme="majorHAnsi"/>
          <w:b/>
        </w:rPr>
        <w:t>, které by bylo v rozporu s článkem 3 Úmluvy</w:t>
      </w:r>
      <w:r w:rsidR="00D4257E">
        <w:rPr>
          <w:rFonts w:asciiTheme="majorHAnsi" w:hAnsiTheme="majorHAnsi" w:cstheme="majorHAnsi"/>
        </w:rPr>
        <w:t xml:space="preserve">. </w:t>
      </w:r>
      <w:r w:rsidR="002D0013">
        <w:rPr>
          <w:rFonts w:asciiTheme="majorHAnsi" w:hAnsiTheme="majorHAnsi" w:cstheme="majorHAnsi"/>
        </w:rPr>
        <w:t xml:space="preserve">V takovém případě z článku 3 vyplývá povinnost státu cizince do takové země nenavrátit. </w:t>
      </w:r>
      <w:r w:rsidR="00D4257E">
        <w:rPr>
          <w:rFonts w:asciiTheme="majorHAnsi" w:hAnsiTheme="majorHAnsi" w:cstheme="majorHAnsi"/>
        </w:rPr>
        <w:t>Pokud by se totiž státy mohly zbavit svých závazků zajistit každému práva zakotvená v Úmluvě jednoduše tím, že by danou osobu odeslaly do jiného státu</w:t>
      </w:r>
      <w:r w:rsidR="004B29FD">
        <w:rPr>
          <w:rFonts w:asciiTheme="majorHAnsi" w:hAnsiTheme="majorHAnsi" w:cstheme="majorHAnsi"/>
        </w:rPr>
        <w:t>, ochrana poskytovaná Úmluvou by byla iluzorní a nikoliv účinná.</w:t>
      </w:r>
    </w:p>
    <w:p w:rsidR="004B29FD" w:rsidRDefault="004B29FD" w:rsidP="00B0099A">
      <w:pPr>
        <w:pStyle w:val="Odstavecseseznamem"/>
        <w:jc w:val="both"/>
        <w:rPr>
          <w:rFonts w:asciiTheme="majorHAnsi" w:hAnsiTheme="majorHAnsi" w:cstheme="majorHAnsi"/>
        </w:rPr>
      </w:pPr>
    </w:p>
    <w:p w:rsidR="004B29FD" w:rsidRDefault="004B29FD" w:rsidP="00B0099A">
      <w:pPr>
        <w:pStyle w:val="Odstavecseseznamem"/>
        <w:jc w:val="both"/>
        <w:rPr>
          <w:rFonts w:asciiTheme="majorHAnsi" w:hAnsiTheme="majorHAnsi" w:cstheme="majorHAnsi"/>
        </w:rPr>
      </w:pPr>
      <w:r>
        <w:rPr>
          <w:rFonts w:asciiTheme="majorHAnsi" w:hAnsiTheme="majorHAnsi" w:cstheme="majorHAnsi"/>
        </w:rPr>
        <w:t>Tato zásada vyplývající z </w:t>
      </w:r>
      <w:r w:rsidRPr="00CB1837">
        <w:rPr>
          <w:rFonts w:asciiTheme="majorHAnsi" w:hAnsiTheme="majorHAnsi" w:cstheme="majorHAnsi"/>
          <w:b/>
        </w:rPr>
        <w:t>článku 3 Úmluvy</w:t>
      </w:r>
      <w:r>
        <w:rPr>
          <w:rFonts w:asciiTheme="majorHAnsi" w:hAnsiTheme="majorHAnsi" w:cstheme="majorHAnsi"/>
        </w:rPr>
        <w:t xml:space="preserve"> se nazývá </w:t>
      </w:r>
      <w:r w:rsidRPr="004B29FD">
        <w:rPr>
          <w:rFonts w:asciiTheme="majorHAnsi" w:hAnsiTheme="majorHAnsi" w:cstheme="majorHAnsi"/>
          <w:b/>
          <w:i/>
        </w:rPr>
        <w:t>non-refoulement</w:t>
      </w:r>
      <w:r>
        <w:rPr>
          <w:rFonts w:asciiTheme="majorHAnsi" w:hAnsiTheme="majorHAnsi" w:cstheme="majorHAnsi"/>
        </w:rPr>
        <w:t>.</w:t>
      </w:r>
      <w:r w:rsidR="00F340E4">
        <w:rPr>
          <w:rFonts w:asciiTheme="majorHAnsi" w:hAnsiTheme="majorHAnsi" w:cstheme="majorHAnsi"/>
        </w:rPr>
        <w:t xml:space="preserve"> Může být spojována i s </w:t>
      </w:r>
      <w:r w:rsidR="00F340E4" w:rsidRPr="00CB1837">
        <w:rPr>
          <w:rFonts w:asciiTheme="majorHAnsi" w:hAnsiTheme="majorHAnsi" w:cstheme="majorHAnsi"/>
          <w:b/>
        </w:rPr>
        <w:t>článkem 2 Úmluvy</w:t>
      </w:r>
      <w:r w:rsidR="00F340E4">
        <w:rPr>
          <w:rFonts w:asciiTheme="majorHAnsi" w:hAnsiTheme="majorHAnsi" w:cstheme="majorHAnsi"/>
        </w:rPr>
        <w:t xml:space="preserve"> chránící právo na život. </w:t>
      </w:r>
    </w:p>
    <w:p w:rsidR="00D4257E" w:rsidRDefault="00D4257E" w:rsidP="00B0099A">
      <w:pPr>
        <w:pStyle w:val="Odstavecseseznamem"/>
        <w:jc w:val="both"/>
        <w:rPr>
          <w:rFonts w:asciiTheme="majorHAnsi" w:hAnsiTheme="majorHAnsi" w:cstheme="majorHAnsi"/>
        </w:rPr>
      </w:pPr>
    </w:p>
    <w:p w:rsidR="00AB59C6" w:rsidRDefault="00F340E4" w:rsidP="00B0099A">
      <w:pPr>
        <w:pStyle w:val="Odstavecseseznamem"/>
        <w:jc w:val="both"/>
        <w:rPr>
          <w:rFonts w:asciiTheme="majorHAnsi" w:hAnsiTheme="majorHAnsi" w:cstheme="majorHAnsi"/>
        </w:rPr>
      </w:pPr>
      <w:r>
        <w:rPr>
          <w:rFonts w:asciiTheme="majorHAnsi" w:hAnsiTheme="majorHAnsi" w:cstheme="majorHAnsi"/>
        </w:rPr>
        <w:t>Prvním případem, kdy takto Soud článek 3 Úmluvy vyložil</w:t>
      </w:r>
      <w:r w:rsidR="00F02D46">
        <w:rPr>
          <w:rFonts w:asciiTheme="majorHAnsi" w:hAnsiTheme="majorHAnsi" w:cstheme="majorHAnsi"/>
        </w:rPr>
        <w:t xml:space="preserve">, byla věc </w:t>
      </w:r>
      <w:proofErr w:type="spellStart"/>
      <w:r w:rsidR="00F02D46" w:rsidRPr="00F02D46">
        <w:rPr>
          <w:rFonts w:asciiTheme="majorHAnsi" w:hAnsiTheme="majorHAnsi" w:cstheme="majorHAnsi"/>
          <w:b/>
          <w:i/>
        </w:rPr>
        <w:t>Soering</w:t>
      </w:r>
      <w:proofErr w:type="spellEnd"/>
      <w:r w:rsidR="00F02D46" w:rsidRPr="00F02D46">
        <w:rPr>
          <w:rFonts w:asciiTheme="majorHAnsi" w:hAnsiTheme="majorHAnsi" w:cstheme="majorHAnsi"/>
          <w:b/>
          <w:i/>
        </w:rPr>
        <w:t xml:space="preserve"> proti Spojenému království</w:t>
      </w:r>
      <w:r w:rsidR="00F02D46">
        <w:rPr>
          <w:rFonts w:asciiTheme="majorHAnsi" w:hAnsiTheme="majorHAnsi" w:cstheme="majorHAnsi"/>
        </w:rPr>
        <w:t xml:space="preserve"> </w:t>
      </w:r>
      <w:r w:rsidR="00DA5FA4" w:rsidRPr="00DA5FA4">
        <w:rPr>
          <w:rFonts w:asciiTheme="majorHAnsi" w:hAnsiTheme="majorHAnsi" w:cstheme="majorHAnsi"/>
        </w:rPr>
        <w:t>(č. 14038/88, rozsudek ze dne 7. července 1989, §§ 90–91)</w:t>
      </w:r>
      <w:r w:rsidR="00F02D46">
        <w:rPr>
          <w:rFonts w:asciiTheme="majorHAnsi" w:hAnsiTheme="majorHAnsi" w:cstheme="majorHAnsi"/>
        </w:rPr>
        <w:t xml:space="preserve">, kde šlo o extradici stěžovatele podezřelého z vraždy do USA, kde mu hrozilo uložení trestu smrti. </w:t>
      </w:r>
      <w:r w:rsidR="0023133F">
        <w:rPr>
          <w:rFonts w:asciiTheme="majorHAnsi" w:hAnsiTheme="majorHAnsi" w:cstheme="majorHAnsi"/>
        </w:rPr>
        <w:t xml:space="preserve">Stanovil </w:t>
      </w:r>
      <w:r w:rsidR="00100F8D">
        <w:rPr>
          <w:rFonts w:asciiTheme="majorHAnsi" w:hAnsiTheme="majorHAnsi" w:cstheme="majorHAnsi"/>
        </w:rPr>
        <w:t>následující:</w:t>
      </w:r>
    </w:p>
    <w:p w:rsidR="00100F8D" w:rsidRDefault="00100F8D" w:rsidP="00B0099A">
      <w:pPr>
        <w:pStyle w:val="Odstavecseseznamem"/>
        <w:jc w:val="both"/>
        <w:rPr>
          <w:rFonts w:asciiTheme="majorHAnsi" w:hAnsiTheme="majorHAnsi" w:cstheme="majorHAnsi"/>
        </w:rPr>
      </w:pPr>
    </w:p>
    <w:p w:rsidR="0072473C" w:rsidRPr="00BA7660" w:rsidRDefault="00100F8D" w:rsidP="00BA7660">
      <w:pPr>
        <w:pStyle w:val="Odstavecseseznamem"/>
        <w:ind w:left="1134" w:right="277"/>
        <w:jc w:val="both"/>
        <w:rPr>
          <w:rFonts w:asciiTheme="majorHAnsi" w:hAnsiTheme="majorHAnsi" w:cstheme="majorHAnsi"/>
          <w:i/>
          <w:sz w:val="22"/>
          <w:lang w:val="en-US"/>
        </w:rPr>
      </w:pPr>
      <w:r w:rsidRPr="00100F8D">
        <w:rPr>
          <w:rFonts w:asciiTheme="majorHAnsi" w:hAnsiTheme="majorHAnsi" w:cstheme="majorHAnsi"/>
          <w:i/>
          <w:sz w:val="22"/>
          <w:lang w:val="en-US"/>
        </w:rPr>
        <w:t>“91. In sum, the decision by a Contracting State to extradite a fugitive may give rise to an issue under Article 3 (art. 3), and hence engage the responsibility of that State under the Convention, where substantial grounds have been shown for believing that the person concerned, if extradited, faces a real risk of being subjected to torture or to inhuman or degrading treatment or punishment in the requesting country. The establishment of such responsibility inevitably involves an assessment of conditions in the requesting country against the standards of Article 3 (art. 3) of the Convention. Nonetheless, there is no question of adjudicating on or establishing the responsibility of the receiving country, whether under general international law, under the Convention or otherwise. In so far as any liability under the Convention is or may be incurred, it is liability incurred by the extraditing Contracting State by reason of its having taken action which has as a direct consequence the exposure of an individual to proscribed ill-treatment.”</w:t>
      </w:r>
    </w:p>
    <w:p w:rsidR="00755808" w:rsidRDefault="00755808" w:rsidP="00B0099A">
      <w:pPr>
        <w:pStyle w:val="Odstavecseseznamem"/>
        <w:jc w:val="both"/>
        <w:rPr>
          <w:rFonts w:asciiTheme="majorHAnsi" w:hAnsiTheme="majorHAnsi" w:cstheme="majorHAnsi"/>
        </w:rPr>
      </w:pPr>
    </w:p>
    <w:p w:rsidR="00523B71" w:rsidRPr="00C33E00" w:rsidRDefault="00523B71" w:rsidP="00B0099A">
      <w:pPr>
        <w:pStyle w:val="Odstavecseseznamem"/>
        <w:jc w:val="both"/>
        <w:rPr>
          <w:rFonts w:asciiTheme="majorHAnsi" w:hAnsiTheme="majorHAnsi" w:cstheme="majorHAnsi"/>
        </w:rPr>
      </w:pPr>
      <w:r w:rsidRPr="00523B71">
        <w:rPr>
          <w:rFonts w:asciiTheme="majorHAnsi" w:hAnsiTheme="majorHAnsi" w:cstheme="majorHAnsi"/>
          <w:b/>
        </w:rPr>
        <w:t>Otázky</w:t>
      </w:r>
      <w:r w:rsidR="00C33E00">
        <w:rPr>
          <w:rFonts w:asciiTheme="majorHAnsi" w:hAnsiTheme="majorHAnsi" w:cstheme="majorHAnsi"/>
          <w:b/>
        </w:rPr>
        <w:t xml:space="preserve"> </w:t>
      </w:r>
      <w:r w:rsidR="00C33E00">
        <w:rPr>
          <w:rFonts w:asciiTheme="majorHAnsi" w:hAnsiTheme="majorHAnsi" w:cstheme="majorHAnsi"/>
        </w:rPr>
        <w:t>– p</w:t>
      </w:r>
      <w:r w:rsidR="00C33E00" w:rsidRPr="00C33E00">
        <w:rPr>
          <w:rFonts w:asciiTheme="majorHAnsi" w:hAnsiTheme="majorHAnsi" w:cstheme="majorHAnsi"/>
        </w:rPr>
        <w:t xml:space="preserve">ro </w:t>
      </w:r>
      <w:r w:rsidR="00C33E00">
        <w:rPr>
          <w:rFonts w:asciiTheme="majorHAnsi" w:hAnsiTheme="majorHAnsi" w:cstheme="majorHAnsi"/>
        </w:rPr>
        <w:t xml:space="preserve">jejich </w:t>
      </w:r>
      <w:r w:rsidR="00C33E00" w:rsidRPr="00C33E00">
        <w:rPr>
          <w:rFonts w:asciiTheme="majorHAnsi" w:hAnsiTheme="majorHAnsi" w:cstheme="majorHAnsi"/>
        </w:rPr>
        <w:t xml:space="preserve">zodpovězení není nutné číst celý rozsudek </w:t>
      </w:r>
      <w:proofErr w:type="spellStart"/>
      <w:r w:rsidR="00C33E00" w:rsidRPr="00C33E00">
        <w:rPr>
          <w:rFonts w:asciiTheme="majorHAnsi" w:hAnsiTheme="majorHAnsi" w:cstheme="majorHAnsi"/>
          <w:i/>
        </w:rPr>
        <w:t>Soering</w:t>
      </w:r>
      <w:proofErr w:type="spellEnd"/>
      <w:r w:rsidR="00C33E00" w:rsidRPr="00C33E00">
        <w:rPr>
          <w:rFonts w:asciiTheme="majorHAnsi" w:hAnsiTheme="majorHAnsi" w:cstheme="majorHAnsi"/>
          <w:i/>
        </w:rPr>
        <w:t xml:space="preserve"> proti Spojenému království</w:t>
      </w:r>
      <w:r w:rsidR="00C33E00" w:rsidRPr="00C33E00">
        <w:rPr>
          <w:rFonts w:asciiTheme="majorHAnsi" w:hAnsiTheme="majorHAnsi" w:cstheme="majorHAnsi"/>
        </w:rPr>
        <w:t>, ale jen relevantní části</w:t>
      </w:r>
    </w:p>
    <w:p w:rsidR="00523B71" w:rsidRDefault="00523B71" w:rsidP="00B0099A">
      <w:pPr>
        <w:pStyle w:val="Odstavecseseznamem"/>
        <w:jc w:val="both"/>
        <w:rPr>
          <w:rFonts w:asciiTheme="majorHAnsi" w:hAnsiTheme="majorHAnsi" w:cstheme="majorHAnsi"/>
        </w:rPr>
      </w:pPr>
    </w:p>
    <w:p w:rsidR="00523B71" w:rsidRDefault="0068659E" w:rsidP="00B0099A">
      <w:pPr>
        <w:pStyle w:val="Odstavecseseznamem"/>
        <w:numPr>
          <w:ilvl w:val="0"/>
          <w:numId w:val="3"/>
        </w:numPr>
        <w:jc w:val="both"/>
        <w:rPr>
          <w:rFonts w:asciiTheme="majorHAnsi" w:hAnsiTheme="majorHAnsi" w:cstheme="majorHAnsi"/>
        </w:rPr>
      </w:pPr>
      <w:r>
        <w:rPr>
          <w:rFonts w:asciiTheme="majorHAnsi" w:hAnsiTheme="majorHAnsi" w:cstheme="majorHAnsi"/>
        </w:rPr>
        <w:t xml:space="preserve">Co je to </w:t>
      </w:r>
      <w:r w:rsidR="00B320A7">
        <w:rPr>
          <w:rFonts w:asciiTheme="majorHAnsi" w:hAnsiTheme="majorHAnsi" w:cstheme="majorHAnsi"/>
        </w:rPr>
        <w:t>„</w:t>
      </w:r>
      <w:r w:rsidRPr="00B320A7">
        <w:rPr>
          <w:rFonts w:asciiTheme="majorHAnsi" w:hAnsiTheme="majorHAnsi" w:cstheme="majorHAnsi"/>
          <w:lang w:val="en-US"/>
        </w:rPr>
        <w:t>death row phenomeno</w:t>
      </w:r>
      <w:r w:rsidR="0002386A">
        <w:rPr>
          <w:rFonts w:asciiTheme="majorHAnsi" w:hAnsiTheme="majorHAnsi" w:cstheme="majorHAnsi"/>
          <w:lang w:val="en-US"/>
        </w:rPr>
        <w:t>n</w:t>
      </w:r>
      <w:r w:rsidR="00B320A7">
        <w:rPr>
          <w:rFonts w:asciiTheme="majorHAnsi" w:hAnsiTheme="majorHAnsi" w:cstheme="majorHAnsi"/>
        </w:rPr>
        <w:t>“</w:t>
      </w:r>
      <w:r w:rsidR="008E56A2">
        <w:rPr>
          <w:rFonts w:asciiTheme="majorHAnsi" w:hAnsiTheme="majorHAnsi" w:cstheme="majorHAnsi"/>
        </w:rPr>
        <w:t>?</w:t>
      </w:r>
    </w:p>
    <w:p w:rsidR="00523B71" w:rsidRDefault="00523B71" w:rsidP="00523B71">
      <w:pPr>
        <w:pStyle w:val="Odstavecseseznamem"/>
        <w:ind w:left="1501"/>
        <w:jc w:val="both"/>
        <w:rPr>
          <w:rFonts w:asciiTheme="majorHAnsi" w:hAnsiTheme="majorHAnsi" w:cstheme="majorHAnsi"/>
        </w:rPr>
      </w:pPr>
    </w:p>
    <w:p w:rsidR="00523B71" w:rsidRDefault="00523B71" w:rsidP="00523B71">
      <w:pPr>
        <w:pStyle w:val="Odstavecseseznamem"/>
        <w:ind w:left="1501"/>
        <w:jc w:val="both"/>
        <w:rPr>
          <w:rFonts w:asciiTheme="majorHAnsi" w:hAnsiTheme="majorHAnsi" w:cstheme="majorHAnsi"/>
        </w:rPr>
      </w:pPr>
    </w:p>
    <w:p w:rsidR="00523B71" w:rsidRDefault="00523B71" w:rsidP="00523B71">
      <w:pPr>
        <w:pStyle w:val="Odstavecseseznamem"/>
        <w:ind w:left="1501"/>
        <w:jc w:val="both"/>
        <w:rPr>
          <w:rFonts w:asciiTheme="majorHAnsi" w:hAnsiTheme="majorHAnsi" w:cstheme="majorHAnsi"/>
        </w:rPr>
      </w:pPr>
    </w:p>
    <w:p w:rsidR="00D87816" w:rsidRDefault="00B50908" w:rsidP="00C33E00">
      <w:pPr>
        <w:pStyle w:val="Odstavecseseznamem"/>
        <w:numPr>
          <w:ilvl w:val="0"/>
          <w:numId w:val="3"/>
        </w:numPr>
        <w:jc w:val="both"/>
        <w:rPr>
          <w:rFonts w:asciiTheme="majorHAnsi" w:hAnsiTheme="majorHAnsi" w:cstheme="majorHAnsi"/>
        </w:rPr>
      </w:pPr>
      <w:r w:rsidRPr="00523B71">
        <w:rPr>
          <w:rFonts w:asciiTheme="majorHAnsi" w:hAnsiTheme="majorHAnsi" w:cstheme="majorHAnsi"/>
        </w:rPr>
        <w:t xml:space="preserve">Jaká metoda výkladu Úmluvy byla </w:t>
      </w:r>
      <w:r w:rsidR="00E278B5" w:rsidRPr="00523B71">
        <w:rPr>
          <w:rFonts w:asciiTheme="majorHAnsi" w:hAnsiTheme="majorHAnsi" w:cstheme="majorHAnsi"/>
        </w:rPr>
        <w:t xml:space="preserve">Soudem ve věci </w:t>
      </w:r>
      <w:proofErr w:type="spellStart"/>
      <w:r w:rsidR="00E278B5" w:rsidRPr="009B0BAB">
        <w:rPr>
          <w:rFonts w:asciiTheme="majorHAnsi" w:hAnsiTheme="majorHAnsi" w:cstheme="majorHAnsi"/>
          <w:i/>
        </w:rPr>
        <w:t>Soering</w:t>
      </w:r>
      <w:proofErr w:type="spellEnd"/>
      <w:r w:rsidR="00E278B5" w:rsidRPr="00523B71">
        <w:rPr>
          <w:rFonts w:asciiTheme="majorHAnsi" w:hAnsiTheme="majorHAnsi" w:cstheme="majorHAnsi"/>
        </w:rPr>
        <w:t xml:space="preserve"> použita</w:t>
      </w:r>
      <w:r w:rsidR="005939C5" w:rsidRPr="00523B71">
        <w:rPr>
          <w:rFonts w:asciiTheme="majorHAnsi" w:hAnsiTheme="majorHAnsi" w:cstheme="majorHAnsi"/>
        </w:rPr>
        <w:t xml:space="preserve">, </w:t>
      </w:r>
      <w:r w:rsidR="00755808" w:rsidRPr="00523B71">
        <w:rPr>
          <w:rFonts w:asciiTheme="majorHAnsi" w:hAnsiTheme="majorHAnsi" w:cstheme="majorHAnsi"/>
        </w:rPr>
        <w:t xml:space="preserve">že dospěl k závěru, že by extradice stěžovatele do USA byl v rozporu s článkem 3 Úmluvy? Co daná metoda </w:t>
      </w:r>
      <w:r w:rsidR="00573267" w:rsidRPr="00523B71">
        <w:rPr>
          <w:rFonts w:asciiTheme="majorHAnsi" w:hAnsiTheme="majorHAnsi" w:cstheme="majorHAnsi"/>
        </w:rPr>
        <w:t xml:space="preserve">výkladu </w:t>
      </w:r>
      <w:r w:rsidR="00755808" w:rsidRPr="00523B71">
        <w:rPr>
          <w:rFonts w:asciiTheme="majorHAnsi" w:hAnsiTheme="majorHAnsi" w:cstheme="majorHAnsi"/>
        </w:rPr>
        <w:t>znamená?</w:t>
      </w:r>
    </w:p>
    <w:p w:rsidR="00C33E00" w:rsidRDefault="00C33E00" w:rsidP="00C33E00">
      <w:pPr>
        <w:pStyle w:val="Odstavecseseznamem"/>
        <w:ind w:left="1501"/>
        <w:jc w:val="both"/>
        <w:rPr>
          <w:rFonts w:asciiTheme="majorHAnsi" w:hAnsiTheme="majorHAnsi" w:cstheme="majorHAnsi"/>
        </w:rPr>
      </w:pPr>
    </w:p>
    <w:p w:rsidR="00C33E00" w:rsidRPr="00C33E00" w:rsidRDefault="00C33E00" w:rsidP="00C33E00">
      <w:pPr>
        <w:pStyle w:val="Odstavecseseznamem"/>
        <w:ind w:left="1501"/>
        <w:jc w:val="both"/>
        <w:rPr>
          <w:rFonts w:asciiTheme="majorHAnsi" w:hAnsiTheme="majorHAnsi" w:cstheme="majorHAnsi"/>
        </w:rPr>
      </w:pPr>
    </w:p>
    <w:p w:rsidR="00BC59D5" w:rsidRPr="00ED0FA1" w:rsidRDefault="00BC59D5" w:rsidP="00ED0FA1">
      <w:pPr>
        <w:pStyle w:val="Odstavecseseznamem"/>
        <w:pBdr>
          <w:bottom w:val="single" w:sz="4" w:space="1" w:color="auto"/>
        </w:pBdr>
        <w:jc w:val="both"/>
        <w:rPr>
          <w:rFonts w:asciiTheme="majorHAnsi" w:hAnsiTheme="majorHAnsi" w:cstheme="majorHAnsi"/>
        </w:rPr>
      </w:pPr>
      <w:r w:rsidRPr="00ED0FA1">
        <w:rPr>
          <w:rFonts w:asciiTheme="majorHAnsi" w:hAnsiTheme="majorHAnsi" w:cstheme="majorHAnsi"/>
        </w:rPr>
        <w:lastRenderedPageBreak/>
        <w:t xml:space="preserve">3. </w:t>
      </w:r>
      <w:r w:rsidR="00713C9A">
        <w:rPr>
          <w:rFonts w:asciiTheme="majorHAnsi" w:hAnsiTheme="majorHAnsi" w:cstheme="majorHAnsi"/>
        </w:rPr>
        <w:t xml:space="preserve">Absolutní povaha zásady </w:t>
      </w:r>
      <w:r w:rsidR="00713C9A" w:rsidRPr="00BD255F">
        <w:rPr>
          <w:rFonts w:asciiTheme="majorHAnsi" w:hAnsiTheme="majorHAnsi" w:cstheme="majorHAnsi"/>
          <w:i/>
        </w:rPr>
        <w:t>non-refoulement</w:t>
      </w:r>
    </w:p>
    <w:p w:rsidR="00663D8B" w:rsidRDefault="00663D8B" w:rsidP="00B0099A">
      <w:pPr>
        <w:pStyle w:val="Odstavecseseznamem"/>
        <w:jc w:val="both"/>
        <w:rPr>
          <w:rFonts w:asciiTheme="majorHAnsi" w:hAnsiTheme="majorHAnsi" w:cstheme="majorHAnsi"/>
        </w:rPr>
      </w:pPr>
    </w:p>
    <w:p w:rsidR="00713C9A" w:rsidRDefault="000E3C8C" w:rsidP="00B0099A">
      <w:pPr>
        <w:pStyle w:val="Odstavecseseznamem"/>
        <w:jc w:val="both"/>
        <w:rPr>
          <w:rFonts w:asciiTheme="majorHAnsi" w:hAnsiTheme="majorHAnsi" w:cstheme="majorHAnsi"/>
        </w:rPr>
      </w:pPr>
      <w:r w:rsidRPr="0033197D">
        <w:rPr>
          <w:rFonts w:asciiTheme="majorHAnsi" w:hAnsiTheme="majorHAnsi" w:cstheme="majorHAnsi"/>
          <w:b/>
        </w:rPr>
        <w:t>Absolutní povaha</w:t>
      </w:r>
      <w:r>
        <w:rPr>
          <w:rFonts w:asciiTheme="majorHAnsi" w:hAnsiTheme="majorHAnsi" w:cstheme="majorHAnsi"/>
        </w:rPr>
        <w:t xml:space="preserve"> </w:t>
      </w:r>
      <w:r w:rsidR="00D135B1">
        <w:rPr>
          <w:rFonts w:asciiTheme="majorHAnsi" w:hAnsiTheme="majorHAnsi" w:cstheme="majorHAnsi"/>
        </w:rPr>
        <w:t>zákazu navr</w:t>
      </w:r>
      <w:r w:rsidR="00ED3F8F">
        <w:rPr>
          <w:rFonts w:asciiTheme="majorHAnsi" w:hAnsiTheme="majorHAnsi" w:cstheme="majorHAnsi"/>
        </w:rPr>
        <w:t>á</w:t>
      </w:r>
      <w:r w:rsidR="00D135B1">
        <w:rPr>
          <w:rFonts w:asciiTheme="majorHAnsi" w:hAnsiTheme="majorHAnsi" w:cstheme="majorHAnsi"/>
        </w:rPr>
        <w:t xml:space="preserve">cení – </w:t>
      </w:r>
      <w:r w:rsidR="00D135B1" w:rsidRPr="009A2916">
        <w:rPr>
          <w:rFonts w:asciiTheme="majorHAnsi" w:hAnsiTheme="majorHAnsi" w:cstheme="majorHAnsi"/>
          <w:i/>
        </w:rPr>
        <w:t>non-refoulement</w:t>
      </w:r>
      <w:r w:rsidR="00D135B1">
        <w:rPr>
          <w:rFonts w:asciiTheme="majorHAnsi" w:hAnsiTheme="majorHAnsi" w:cstheme="majorHAnsi"/>
        </w:rPr>
        <w:t xml:space="preserve"> –</w:t>
      </w:r>
      <w:r>
        <w:rPr>
          <w:rFonts w:asciiTheme="majorHAnsi" w:hAnsiTheme="majorHAnsi" w:cstheme="majorHAnsi"/>
        </w:rPr>
        <w:t xml:space="preserve"> znamená, </w:t>
      </w:r>
      <w:r w:rsidR="0033197D">
        <w:rPr>
          <w:rFonts w:asciiTheme="majorHAnsi" w:hAnsiTheme="majorHAnsi" w:cstheme="majorHAnsi"/>
        </w:rPr>
        <w:t>že</w:t>
      </w:r>
      <w:r w:rsidR="00E850A2">
        <w:rPr>
          <w:rFonts w:asciiTheme="majorHAnsi" w:hAnsiTheme="majorHAnsi" w:cstheme="majorHAnsi"/>
        </w:rPr>
        <w:t xml:space="preserve"> </w:t>
      </w:r>
      <w:r w:rsidR="0033197D">
        <w:rPr>
          <w:rFonts w:asciiTheme="majorHAnsi" w:hAnsiTheme="majorHAnsi" w:cstheme="majorHAnsi"/>
        </w:rPr>
        <w:t>neumožňuje jak</w:t>
      </w:r>
      <w:r w:rsidR="00E850A2">
        <w:rPr>
          <w:rFonts w:asciiTheme="majorHAnsi" w:hAnsiTheme="majorHAnsi" w:cstheme="majorHAnsi"/>
        </w:rPr>
        <w:t>ýchkoliv</w:t>
      </w:r>
      <w:r w:rsidR="0033197D">
        <w:rPr>
          <w:rFonts w:asciiTheme="majorHAnsi" w:hAnsiTheme="majorHAnsi" w:cstheme="majorHAnsi"/>
        </w:rPr>
        <w:t xml:space="preserve"> výjim</w:t>
      </w:r>
      <w:r w:rsidR="00E850A2">
        <w:rPr>
          <w:rFonts w:asciiTheme="majorHAnsi" w:hAnsiTheme="majorHAnsi" w:cstheme="majorHAnsi"/>
        </w:rPr>
        <w:t>ek</w:t>
      </w:r>
      <w:r w:rsidR="00F83E9E">
        <w:rPr>
          <w:rFonts w:asciiTheme="majorHAnsi" w:hAnsiTheme="majorHAnsi" w:cstheme="majorHAnsi"/>
        </w:rPr>
        <w:t xml:space="preserve"> a k danému zákazu je třeba přihlížet v každém případě,</w:t>
      </w:r>
      <w:r w:rsidR="0073033A">
        <w:rPr>
          <w:rFonts w:asciiTheme="majorHAnsi" w:hAnsiTheme="majorHAnsi" w:cstheme="majorHAnsi"/>
        </w:rPr>
        <w:t xml:space="preserve"> tj. vždy, když</w:t>
      </w:r>
      <w:r w:rsidR="00F83E9E">
        <w:rPr>
          <w:rFonts w:asciiTheme="majorHAnsi" w:hAnsiTheme="majorHAnsi" w:cstheme="majorHAnsi"/>
        </w:rPr>
        <w:t xml:space="preserve"> se cizinec ocitá pod jurisdikcí smluvní strany a hrozí mu vyhoštění</w:t>
      </w:r>
      <w:r w:rsidR="007B11C4">
        <w:rPr>
          <w:rFonts w:asciiTheme="majorHAnsi" w:hAnsiTheme="majorHAnsi" w:cstheme="majorHAnsi"/>
        </w:rPr>
        <w:t>. Projevuje se v několika ohledech:</w:t>
      </w:r>
    </w:p>
    <w:p w:rsidR="0033197D" w:rsidRDefault="0033197D" w:rsidP="007B11C4">
      <w:pPr>
        <w:pStyle w:val="Odstavecseseznamem"/>
        <w:numPr>
          <w:ilvl w:val="0"/>
          <w:numId w:val="5"/>
        </w:numPr>
        <w:jc w:val="both"/>
        <w:rPr>
          <w:rFonts w:asciiTheme="majorHAnsi" w:hAnsiTheme="majorHAnsi" w:cstheme="majorHAnsi"/>
        </w:rPr>
      </w:pPr>
      <w:r>
        <w:rPr>
          <w:rFonts w:asciiTheme="majorHAnsi" w:hAnsiTheme="majorHAnsi" w:cstheme="majorHAnsi"/>
        </w:rPr>
        <w:t>míru rizika či závažnost hrozícího zacházení v zemi původu nelze poměřovat s nebezpečím dané osoby pro veřejný poř</w:t>
      </w:r>
      <w:r w:rsidR="00515238">
        <w:rPr>
          <w:rFonts w:asciiTheme="majorHAnsi" w:hAnsiTheme="majorHAnsi" w:cstheme="majorHAnsi"/>
        </w:rPr>
        <w:t>ádek</w:t>
      </w:r>
      <w:r w:rsidR="007134EB">
        <w:rPr>
          <w:rFonts w:asciiTheme="majorHAnsi" w:hAnsiTheme="majorHAnsi" w:cstheme="majorHAnsi"/>
        </w:rPr>
        <w:t xml:space="preserve">, </w:t>
      </w:r>
      <w:r w:rsidR="00515238">
        <w:rPr>
          <w:rFonts w:asciiTheme="majorHAnsi" w:hAnsiTheme="majorHAnsi" w:cstheme="majorHAnsi"/>
        </w:rPr>
        <w:t>národní bezpečnost</w:t>
      </w:r>
      <w:r w:rsidR="007134EB">
        <w:rPr>
          <w:rFonts w:asciiTheme="majorHAnsi" w:hAnsiTheme="majorHAnsi" w:cstheme="majorHAnsi"/>
        </w:rPr>
        <w:t xml:space="preserve"> </w:t>
      </w:r>
      <w:r w:rsidR="00A94D24">
        <w:rPr>
          <w:rFonts w:asciiTheme="majorHAnsi" w:hAnsiTheme="majorHAnsi" w:cstheme="majorHAnsi"/>
        </w:rPr>
        <w:t>ani</w:t>
      </w:r>
      <w:r w:rsidR="007134EB">
        <w:rPr>
          <w:rFonts w:asciiTheme="majorHAnsi" w:hAnsiTheme="majorHAnsi" w:cstheme="majorHAnsi"/>
        </w:rPr>
        <w:t xml:space="preserve"> </w:t>
      </w:r>
      <w:r w:rsidR="00A94D24">
        <w:rPr>
          <w:rFonts w:asciiTheme="majorHAnsi" w:hAnsiTheme="majorHAnsi" w:cstheme="majorHAnsi"/>
        </w:rPr>
        <w:t>s</w:t>
      </w:r>
      <w:r w:rsidR="007134EB">
        <w:rPr>
          <w:rFonts w:asciiTheme="majorHAnsi" w:hAnsiTheme="majorHAnsi" w:cstheme="majorHAnsi"/>
        </w:rPr>
        <w:t xml:space="preserve"> jiný</w:t>
      </w:r>
      <w:r w:rsidR="00A94D24">
        <w:rPr>
          <w:rFonts w:asciiTheme="majorHAnsi" w:hAnsiTheme="majorHAnsi" w:cstheme="majorHAnsi"/>
        </w:rPr>
        <w:t>m</w:t>
      </w:r>
      <w:r w:rsidR="007134EB">
        <w:rPr>
          <w:rFonts w:asciiTheme="majorHAnsi" w:hAnsiTheme="majorHAnsi" w:cstheme="majorHAnsi"/>
        </w:rPr>
        <w:t xml:space="preserve"> záj</w:t>
      </w:r>
      <w:r w:rsidR="00A94D24">
        <w:rPr>
          <w:rFonts w:asciiTheme="majorHAnsi" w:hAnsiTheme="majorHAnsi" w:cstheme="majorHAnsi"/>
        </w:rPr>
        <w:t>m</w:t>
      </w:r>
      <w:r w:rsidR="007134EB">
        <w:rPr>
          <w:rFonts w:asciiTheme="majorHAnsi" w:hAnsiTheme="majorHAnsi" w:cstheme="majorHAnsi"/>
        </w:rPr>
        <w:t>em</w:t>
      </w:r>
      <w:r w:rsidR="00582651">
        <w:rPr>
          <w:rStyle w:val="Znakapoznpodarou"/>
          <w:rFonts w:asciiTheme="majorHAnsi" w:hAnsiTheme="majorHAnsi" w:cstheme="majorHAnsi"/>
        </w:rPr>
        <w:footnoteReference w:id="2"/>
      </w:r>
    </w:p>
    <w:p w:rsidR="007B11C4" w:rsidRPr="00053BBA" w:rsidRDefault="00053BBA" w:rsidP="00053BBA">
      <w:pPr>
        <w:pStyle w:val="Odstavecseseznamem"/>
        <w:numPr>
          <w:ilvl w:val="1"/>
          <w:numId w:val="5"/>
        </w:numPr>
        <w:jc w:val="both"/>
        <w:rPr>
          <w:rFonts w:asciiTheme="majorHAnsi" w:hAnsiTheme="majorHAnsi" w:cstheme="majorHAnsi"/>
        </w:rPr>
      </w:pPr>
      <w:r>
        <w:rPr>
          <w:rFonts w:asciiTheme="majorHAnsi" w:hAnsiTheme="majorHAnsi" w:cstheme="majorHAnsi"/>
        </w:rPr>
        <w:t>nelze vyhostit ani teroristu, pokud by mu v jeho zemi původu hrozilo zacházení v rozporu s článkem 3 Úmluvy (</w:t>
      </w:r>
      <w:proofErr w:type="spellStart"/>
      <w:r w:rsidRPr="00515238">
        <w:rPr>
          <w:rFonts w:asciiTheme="majorHAnsi" w:hAnsiTheme="majorHAnsi" w:cstheme="majorHAnsi"/>
          <w:i/>
        </w:rPr>
        <w:t>Saadi</w:t>
      </w:r>
      <w:proofErr w:type="spellEnd"/>
      <w:r w:rsidRPr="00515238">
        <w:rPr>
          <w:rFonts w:asciiTheme="majorHAnsi" w:hAnsiTheme="majorHAnsi" w:cstheme="majorHAnsi"/>
          <w:i/>
        </w:rPr>
        <w:t xml:space="preserve"> proti Itálii</w:t>
      </w:r>
      <w:r>
        <w:rPr>
          <w:rFonts w:asciiTheme="majorHAnsi" w:hAnsiTheme="majorHAnsi" w:cstheme="majorHAnsi"/>
        </w:rPr>
        <w:t xml:space="preserve">, </w:t>
      </w:r>
      <w:r w:rsidR="00515238">
        <w:rPr>
          <w:rFonts w:asciiTheme="majorHAnsi" w:hAnsiTheme="majorHAnsi" w:cstheme="majorHAnsi"/>
        </w:rPr>
        <w:t xml:space="preserve">č. 37201/06, </w:t>
      </w:r>
      <w:r>
        <w:rPr>
          <w:rFonts w:asciiTheme="majorHAnsi" w:hAnsiTheme="majorHAnsi" w:cstheme="majorHAnsi"/>
        </w:rPr>
        <w:t>rozsudek velkého senátu</w:t>
      </w:r>
      <w:r w:rsidR="00515238">
        <w:rPr>
          <w:rFonts w:asciiTheme="majorHAnsi" w:hAnsiTheme="majorHAnsi" w:cstheme="majorHAnsi"/>
        </w:rPr>
        <w:t xml:space="preserve"> ze dne 28. února 2008</w:t>
      </w:r>
      <w:r>
        <w:rPr>
          <w:rFonts w:asciiTheme="majorHAnsi" w:hAnsiTheme="majorHAnsi" w:cstheme="majorHAnsi"/>
        </w:rPr>
        <w:t>)</w:t>
      </w:r>
    </w:p>
    <w:p w:rsidR="00515238" w:rsidRPr="00515238" w:rsidRDefault="00053BBA" w:rsidP="00515238">
      <w:pPr>
        <w:pStyle w:val="Odstavecseseznamem"/>
        <w:numPr>
          <w:ilvl w:val="0"/>
          <w:numId w:val="5"/>
        </w:numPr>
        <w:jc w:val="both"/>
        <w:rPr>
          <w:rFonts w:asciiTheme="majorHAnsi" w:hAnsiTheme="majorHAnsi" w:cstheme="majorHAnsi"/>
        </w:rPr>
      </w:pPr>
      <w:r>
        <w:rPr>
          <w:rFonts w:asciiTheme="majorHAnsi" w:hAnsiTheme="majorHAnsi" w:cstheme="majorHAnsi"/>
        </w:rPr>
        <w:t xml:space="preserve">k absolutnímu zákazu refoulement je třeba přihlížet </w:t>
      </w:r>
      <w:r w:rsidR="00706CBB">
        <w:rPr>
          <w:rFonts w:asciiTheme="majorHAnsi" w:hAnsiTheme="majorHAnsi" w:cstheme="majorHAnsi"/>
        </w:rPr>
        <w:t>ve všech případech</w:t>
      </w:r>
      <w:r>
        <w:rPr>
          <w:rFonts w:asciiTheme="majorHAnsi" w:hAnsiTheme="majorHAnsi" w:cstheme="majorHAnsi"/>
        </w:rPr>
        <w:t>, tj.</w:t>
      </w:r>
      <w:r w:rsidR="00706CBB">
        <w:rPr>
          <w:rFonts w:asciiTheme="majorHAnsi" w:hAnsiTheme="majorHAnsi" w:cstheme="majorHAnsi"/>
        </w:rPr>
        <w:t xml:space="preserve"> bez ohledu na právní kvalifikaci</w:t>
      </w:r>
      <w:r>
        <w:rPr>
          <w:rFonts w:asciiTheme="majorHAnsi" w:hAnsiTheme="majorHAnsi" w:cstheme="majorHAnsi"/>
        </w:rPr>
        <w:t>. Důvod odeslání cizince z území státu nehraje roli</w:t>
      </w:r>
      <w:r w:rsidR="00515238">
        <w:rPr>
          <w:rFonts w:asciiTheme="majorHAnsi" w:hAnsiTheme="majorHAnsi" w:cstheme="majorHAnsi"/>
        </w:rPr>
        <w:t xml:space="preserve"> (</w:t>
      </w:r>
      <w:proofErr w:type="spellStart"/>
      <w:r w:rsidR="00515238" w:rsidRPr="00515238">
        <w:rPr>
          <w:rFonts w:asciiTheme="majorHAnsi" w:hAnsiTheme="majorHAnsi" w:cstheme="majorHAnsi"/>
          <w:i/>
        </w:rPr>
        <w:t>Babar</w:t>
      </w:r>
      <w:proofErr w:type="spellEnd"/>
      <w:r w:rsidR="00515238" w:rsidRPr="00515238">
        <w:rPr>
          <w:rFonts w:asciiTheme="majorHAnsi" w:hAnsiTheme="majorHAnsi" w:cstheme="majorHAnsi"/>
          <w:i/>
        </w:rPr>
        <w:t xml:space="preserve"> Ahmad a ostatní proti Spojenému království</w:t>
      </w:r>
      <w:r w:rsidR="00515238">
        <w:rPr>
          <w:rFonts w:asciiTheme="majorHAnsi" w:hAnsiTheme="majorHAnsi" w:cstheme="majorHAnsi"/>
        </w:rPr>
        <w:t>, č. 24027/07, rozsudek ze dne 10.dubna 2012)</w:t>
      </w:r>
    </w:p>
    <w:p w:rsidR="00FD432A" w:rsidRDefault="00FD432A" w:rsidP="00FD432A">
      <w:pPr>
        <w:pStyle w:val="Odstavecseseznamem"/>
        <w:numPr>
          <w:ilvl w:val="1"/>
          <w:numId w:val="5"/>
        </w:numPr>
        <w:jc w:val="both"/>
        <w:rPr>
          <w:rFonts w:asciiTheme="majorHAnsi" w:hAnsiTheme="majorHAnsi" w:cstheme="majorHAnsi"/>
        </w:rPr>
      </w:pPr>
      <w:r>
        <w:rPr>
          <w:rFonts w:asciiTheme="majorHAnsi" w:hAnsiTheme="majorHAnsi" w:cstheme="majorHAnsi"/>
        </w:rPr>
        <w:t>Stát musí zkoumat reálně nebezpečí porušení článku 3 Úmluvy, ať už se jedná o vyhoštění správní nebo trestní nebo pokud se jedná o extradici v rámci trestní spolupráce mezi státy. Neudělení azylu, tj. zamítnutí žádosti o mezinárodní ochranu má zpravidla za následek uložení správního vyhoštění</w:t>
      </w:r>
    </w:p>
    <w:p w:rsidR="00A76368" w:rsidRPr="00FD432A" w:rsidRDefault="00515238" w:rsidP="00FD432A">
      <w:pPr>
        <w:pStyle w:val="Odstavecseseznamem"/>
        <w:numPr>
          <w:ilvl w:val="0"/>
          <w:numId w:val="5"/>
        </w:numPr>
        <w:jc w:val="both"/>
        <w:rPr>
          <w:rFonts w:asciiTheme="majorHAnsi" w:hAnsiTheme="majorHAnsi" w:cstheme="majorHAnsi"/>
        </w:rPr>
      </w:pPr>
      <w:r>
        <w:rPr>
          <w:rFonts w:asciiTheme="majorHAnsi" w:hAnsiTheme="majorHAnsi" w:cstheme="majorHAnsi"/>
        </w:rPr>
        <w:t>pakliže je stát informován o skutečnostech, že by dané osobě hrozilo v cílové zemi zacházení v rozporu s článkem 3 Úmluvy, musí takové nebezpečí posoudit z úřední povinnosti.</w:t>
      </w:r>
    </w:p>
    <w:p w:rsidR="00713C9A" w:rsidRDefault="00713C9A" w:rsidP="00B0099A">
      <w:pPr>
        <w:pStyle w:val="Odstavecseseznamem"/>
        <w:jc w:val="both"/>
        <w:rPr>
          <w:rFonts w:asciiTheme="majorHAnsi" w:hAnsiTheme="majorHAnsi" w:cstheme="majorHAnsi"/>
        </w:rPr>
      </w:pPr>
    </w:p>
    <w:p w:rsidR="00713C9A" w:rsidRDefault="00713C9A" w:rsidP="00B0099A">
      <w:pPr>
        <w:pStyle w:val="Odstavecseseznamem"/>
        <w:jc w:val="both"/>
        <w:rPr>
          <w:rFonts w:asciiTheme="majorHAnsi" w:hAnsiTheme="majorHAnsi" w:cstheme="majorHAnsi"/>
        </w:rPr>
      </w:pPr>
    </w:p>
    <w:p w:rsidR="00573267" w:rsidRDefault="00713C9A" w:rsidP="00713C9A">
      <w:pPr>
        <w:pStyle w:val="Odstavecseseznamem"/>
        <w:pBdr>
          <w:bottom w:val="single" w:sz="4" w:space="1" w:color="auto"/>
        </w:pBdr>
        <w:jc w:val="both"/>
        <w:rPr>
          <w:rFonts w:asciiTheme="majorHAnsi" w:hAnsiTheme="majorHAnsi" w:cstheme="majorHAnsi"/>
        </w:rPr>
      </w:pPr>
      <w:r>
        <w:rPr>
          <w:rFonts w:asciiTheme="majorHAnsi" w:hAnsiTheme="majorHAnsi" w:cstheme="majorHAnsi"/>
        </w:rPr>
        <w:t>4</w:t>
      </w:r>
      <w:r w:rsidRPr="00713C9A">
        <w:rPr>
          <w:rFonts w:asciiTheme="majorHAnsi" w:hAnsiTheme="majorHAnsi" w:cstheme="majorHAnsi"/>
        </w:rPr>
        <w:t xml:space="preserve">. Použití zásady </w:t>
      </w:r>
      <w:r w:rsidRPr="009A2916">
        <w:rPr>
          <w:rFonts w:asciiTheme="majorHAnsi" w:hAnsiTheme="majorHAnsi" w:cstheme="majorHAnsi"/>
          <w:i/>
        </w:rPr>
        <w:t>non-refoulement</w:t>
      </w:r>
      <w:r w:rsidRPr="00713C9A">
        <w:rPr>
          <w:rFonts w:asciiTheme="majorHAnsi" w:hAnsiTheme="majorHAnsi" w:cstheme="majorHAnsi"/>
        </w:rPr>
        <w:t xml:space="preserve"> v praxi</w:t>
      </w:r>
    </w:p>
    <w:p w:rsidR="009862FD" w:rsidRDefault="009862FD" w:rsidP="00B0099A">
      <w:pPr>
        <w:pStyle w:val="Odstavecseseznamem"/>
        <w:jc w:val="both"/>
        <w:rPr>
          <w:rFonts w:asciiTheme="majorHAnsi" w:hAnsiTheme="majorHAnsi" w:cstheme="majorHAnsi"/>
        </w:rPr>
      </w:pPr>
    </w:p>
    <w:p w:rsidR="00230409" w:rsidRDefault="00366EEF" w:rsidP="00B0099A">
      <w:pPr>
        <w:pStyle w:val="Odstavecseseznamem"/>
        <w:jc w:val="both"/>
        <w:rPr>
          <w:rFonts w:asciiTheme="majorHAnsi" w:hAnsiTheme="majorHAnsi" w:cstheme="majorHAnsi"/>
        </w:rPr>
      </w:pPr>
      <w:r>
        <w:rPr>
          <w:rFonts w:asciiTheme="majorHAnsi" w:hAnsiTheme="majorHAnsi" w:cstheme="majorHAnsi"/>
        </w:rPr>
        <w:t xml:space="preserve">Klíčové pojmy, </w:t>
      </w:r>
      <w:r w:rsidR="0078387C">
        <w:rPr>
          <w:rFonts w:asciiTheme="majorHAnsi" w:hAnsiTheme="majorHAnsi" w:cstheme="majorHAnsi"/>
        </w:rPr>
        <w:t>jejichž naplnění bude</w:t>
      </w:r>
      <w:r>
        <w:rPr>
          <w:rFonts w:asciiTheme="majorHAnsi" w:hAnsiTheme="majorHAnsi" w:cstheme="majorHAnsi"/>
        </w:rPr>
        <w:t xml:space="preserve"> Soud v azylových případech posuzovat jsou „</w:t>
      </w:r>
      <w:r w:rsidR="00124EEC">
        <w:rPr>
          <w:rFonts w:asciiTheme="majorHAnsi" w:hAnsiTheme="majorHAnsi" w:cstheme="majorHAnsi"/>
        </w:rPr>
        <w:t>skutečné</w:t>
      </w:r>
      <w:r>
        <w:rPr>
          <w:rFonts w:asciiTheme="majorHAnsi" w:hAnsiTheme="majorHAnsi" w:cstheme="majorHAnsi"/>
        </w:rPr>
        <w:t xml:space="preserve"> nebezpečí“ a „špatné zacházení“. </w:t>
      </w:r>
    </w:p>
    <w:p w:rsidR="00366EEF" w:rsidRDefault="00366EEF" w:rsidP="00B0099A">
      <w:pPr>
        <w:pStyle w:val="Odstavecseseznamem"/>
        <w:jc w:val="both"/>
        <w:rPr>
          <w:rFonts w:asciiTheme="majorHAnsi" w:hAnsiTheme="majorHAnsi" w:cstheme="majorHAnsi"/>
        </w:rPr>
      </w:pPr>
    </w:p>
    <w:p w:rsidR="00366EEF" w:rsidRDefault="00366EEF" w:rsidP="00B0099A">
      <w:pPr>
        <w:pStyle w:val="Odstavecseseznamem"/>
        <w:jc w:val="both"/>
        <w:rPr>
          <w:rFonts w:asciiTheme="majorHAnsi" w:hAnsiTheme="majorHAnsi" w:cstheme="majorHAnsi"/>
        </w:rPr>
      </w:pPr>
      <w:r w:rsidRPr="00C65682">
        <w:rPr>
          <w:rFonts w:asciiTheme="majorHAnsi" w:hAnsiTheme="majorHAnsi" w:cstheme="majorHAnsi"/>
          <w:b/>
        </w:rPr>
        <w:t>Špatné zacházení</w:t>
      </w:r>
      <w:r w:rsidR="00C65682">
        <w:rPr>
          <w:rFonts w:asciiTheme="majorHAnsi" w:hAnsiTheme="majorHAnsi" w:cstheme="majorHAnsi"/>
        </w:rPr>
        <w:t xml:space="preserve"> – Soud nerozlišuje mezi jednotlivými formami špatného zacházení, tj. mučení nebo nelidské a ponižující zacházení. Zacházení však musí vždy dosáhnout „minimálního stupně závažnosti“, má-li být považováno za zakázané ve smyslu článku 3 Úmluvy. </w:t>
      </w:r>
      <w:r w:rsidR="00AD54F9">
        <w:rPr>
          <w:rFonts w:asciiTheme="majorHAnsi" w:hAnsiTheme="majorHAnsi" w:cstheme="majorHAnsi"/>
        </w:rPr>
        <w:t>Posouzení této intenzity bude vždy záviset na všech okolnostech daného případu</w:t>
      </w:r>
      <w:r w:rsidR="00124EEC">
        <w:rPr>
          <w:rFonts w:asciiTheme="majorHAnsi" w:hAnsiTheme="majorHAnsi" w:cstheme="majorHAnsi"/>
        </w:rPr>
        <w:t>.</w:t>
      </w:r>
    </w:p>
    <w:p w:rsidR="00124EEC" w:rsidRDefault="00124EEC" w:rsidP="00B0099A">
      <w:pPr>
        <w:pStyle w:val="Odstavecseseznamem"/>
        <w:jc w:val="both"/>
        <w:rPr>
          <w:rFonts w:asciiTheme="majorHAnsi" w:hAnsiTheme="majorHAnsi" w:cstheme="majorHAnsi"/>
        </w:rPr>
      </w:pPr>
    </w:p>
    <w:p w:rsidR="00124EEC" w:rsidRDefault="00124EEC" w:rsidP="00B0099A">
      <w:pPr>
        <w:pStyle w:val="Odstavecseseznamem"/>
        <w:jc w:val="both"/>
        <w:rPr>
          <w:rFonts w:asciiTheme="majorHAnsi" w:hAnsiTheme="majorHAnsi" w:cstheme="majorHAnsi"/>
        </w:rPr>
      </w:pPr>
      <w:r w:rsidRPr="00BD77C2">
        <w:rPr>
          <w:rFonts w:asciiTheme="majorHAnsi" w:hAnsiTheme="majorHAnsi" w:cstheme="majorHAnsi"/>
          <w:b/>
        </w:rPr>
        <w:t>Skutečné nebezpečí</w:t>
      </w:r>
      <w:r>
        <w:rPr>
          <w:rFonts w:asciiTheme="majorHAnsi" w:hAnsiTheme="majorHAnsi" w:cstheme="majorHAnsi"/>
        </w:rPr>
        <w:t xml:space="preserve"> – </w:t>
      </w:r>
      <w:r w:rsidR="00BB3114">
        <w:rPr>
          <w:rFonts w:asciiTheme="majorHAnsi" w:hAnsiTheme="majorHAnsi" w:cstheme="majorHAnsi"/>
        </w:rPr>
        <w:t>Aby vyhoštěním došlo k porušení článku 3 Úmluvy, je nutné prokázat, že existují „</w:t>
      </w:r>
      <w:r w:rsidR="00BB3114" w:rsidRPr="000D6D45">
        <w:rPr>
          <w:rFonts w:asciiTheme="majorHAnsi" w:hAnsiTheme="majorHAnsi" w:cstheme="majorHAnsi"/>
          <w:b/>
        </w:rPr>
        <w:t>závažné důvody se domnívat, že dotčené osobě, bude-li vyhoštěna, hrozí skutečné nebezpečí, že bude vystavena zacházení v rozporu s článkem 3 Úmluvy.</w:t>
      </w:r>
      <w:r w:rsidR="00BB3114">
        <w:rPr>
          <w:rFonts w:asciiTheme="majorHAnsi" w:hAnsiTheme="majorHAnsi" w:cstheme="majorHAnsi"/>
        </w:rPr>
        <w:t xml:space="preserve">“ Skutečné nebezpečí neznamená jistotu, ale určitou míru pravděpodobnosti, že porušení práv v cílové zemi nastane. Tato pravděpodobnost musí být vyšší než pouhá možnost. Posouzení nebezpečí se zakládá na dvou faktorech: obecné situaci v cílové zemi a osobních okolnostech stěžovatele. S ohledem na nezávislost, objektivnost a spolehlivost zdroje, Soud </w:t>
      </w:r>
      <w:r w:rsidR="000D6D45">
        <w:rPr>
          <w:rFonts w:asciiTheme="majorHAnsi" w:hAnsiTheme="majorHAnsi" w:cstheme="majorHAnsi"/>
        </w:rPr>
        <w:t xml:space="preserve">při svém posouzení </w:t>
      </w:r>
      <w:r w:rsidR="008766C0">
        <w:rPr>
          <w:rFonts w:asciiTheme="majorHAnsi" w:hAnsiTheme="majorHAnsi" w:cstheme="majorHAnsi"/>
        </w:rPr>
        <w:t xml:space="preserve">zohledňuje informace mezinárodních </w:t>
      </w:r>
      <w:r w:rsidR="008766C0">
        <w:rPr>
          <w:rFonts w:asciiTheme="majorHAnsi" w:hAnsiTheme="majorHAnsi" w:cstheme="majorHAnsi"/>
        </w:rPr>
        <w:lastRenderedPageBreak/>
        <w:t xml:space="preserve">organizací jako zprávy Rady Evropy, včetně CPT, UNHCR, dalších orgánů OSN nebo EU či zprávy renomovaných nevládních organizací. </w:t>
      </w:r>
    </w:p>
    <w:p w:rsidR="00230409" w:rsidRDefault="00230409" w:rsidP="00B0099A">
      <w:pPr>
        <w:pStyle w:val="Odstavecseseznamem"/>
        <w:jc w:val="both"/>
        <w:rPr>
          <w:rFonts w:asciiTheme="majorHAnsi" w:hAnsiTheme="majorHAnsi" w:cstheme="majorHAnsi"/>
        </w:rPr>
      </w:pPr>
    </w:p>
    <w:p w:rsidR="000E3C8C" w:rsidRDefault="000D6D45" w:rsidP="00B0099A">
      <w:pPr>
        <w:pStyle w:val="Odstavecseseznamem"/>
        <w:jc w:val="both"/>
        <w:rPr>
          <w:rFonts w:asciiTheme="majorHAnsi" w:hAnsiTheme="majorHAnsi" w:cstheme="majorHAnsi"/>
        </w:rPr>
      </w:pPr>
      <w:r w:rsidRPr="000D6D45">
        <w:rPr>
          <w:rFonts w:asciiTheme="majorHAnsi" w:hAnsiTheme="majorHAnsi" w:cstheme="majorHAnsi"/>
          <w:b/>
        </w:rPr>
        <w:t>Povinnost důkladného přezkumu</w:t>
      </w:r>
      <w:r>
        <w:rPr>
          <w:rFonts w:asciiTheme="majorHAnsi" w:hAnsiTheme="majorHAnsi" w:cstheme="majorHAnsi"/>
        </w:rPr>
        <w:t xml:space="preserve"> – </w:t>
      </w:r>
      <w:r w:rsidR="002F13EF">
        <w:rPr>
          <w:rFonts w:asciiTheme="majorHAnsi" w:hAnsiTheme="majorHAnsi" w:cstheme="majorHAnsi"/>
        </w:rPr>
        <w:t>V souladu se zásadou subsidiarity, úkolem Soudu není nahradit posouzení vnitrostátních orgánů</w:t>
      </w:r>
      <w:r>
        <w:rPr>
          <w:rFonts w:asciiTheme="majorHAnsi" w:hAnsiTheme="majorHAnsi" w:cstheme="majorHAnsi"/>
        </w:rPr>
        <w:t xml:space="preserve">. </w:t>
      </w:r>
      <w:r w:rsidRPr="000D6D45">
        <w:rPr>
          <w:rFonts w:asciiTheme="majorHAnsi" w:hAnsiTheme="majorHAnsi" w:cstheme="majorHAnsi"/>
          <w:b/>
        </w:rPr>
        <w:t xml:space="preserve">Soud tak </w:t>
      </w:r>
      <w:r w:rsidR="00230409" w:rsidRPr="000D6D45">
        <w:rPr>
          <w:rFonts w:asciiTheme="majorHAnsi" w:hAnsiTheme="majorHAnsi" w:cstheme="majorHAnsi"/>
          <w:b/>
        </w:rPr>
        <w:t>nepřezkoumává azylovou žádost jako soud třetí instance</w:t>
      </w:r>
      <w:r w:rsidR="002F13EF" w:rsidRPr="000D6D45">
        <w:rPr>
          <w:rFonts w:asciiTheme="majorHAnsi" w:hAnsiTheme="majorHAnsi" w:cstheme="majorHAnsi"/>
          <w:b/>
        </w:rPr>
        <w:t>.</w:t>
      </w:r>
      <w:r w:rsidR="002F13EF">
        <w:rPr>
          <w:rFonts w:asciiTheme="majorHAnsi" w:hAnsiTheme="majorHAnsi" w:cstheme="majorHAnsi"/>
        </w:rPr>
        <w:t xml:space="preserve"> </w:t>
      </w:r>
      <w:r w:rsidR="002F13EF" w:rsidRPr="000D6D45">
        <w:rPr>
          <w:rFonts w:asciiTheme="majorHAnsi" w:hAnsiTheme="majorHAnsi" w:cstheme="majorHAnsi"/>
          <w:b/>
        </w:rPr>
        <w:t>Závěry vnitrostátních orgánů však musí Soud shledat za adekvátní a dostatečně podložené</w:t>
      </w:r>
      <w:r w:rsidR="002F13EF">
        <w:rPr>
          <w:rFonts w:asciiTheme="majorHAnsi" w:hAnsiTheme="majorHAnsi" w:cstheme="majorHAnsi"/>
        </w:rPr>
        <w:t xml:space="preserve">, a to jak domácími, tak jinými objektivními a spolehlivými zdroji. </w:t>
      </w:r>
      <w:r w:rsidR="008C1230">
        <w:rPr>
          <w:rFonts w:asciiTheme="majorHAnsi" w:hAnsiTheme="majorHAnsi" w:cstheme="majorHAnsi"/>
        </w:rPr>
        <w:t>Soud stanovil, že je povinností státu, aby vnitrostátní soud</w:t>
      </w:r>
      <w:r w:rsidR="006A49A6">
        <w:rPr>
          <w:rFonts w:asciiTheme="majorHAnsi" w:hAnsiTheme="majorHAnsi" w:cstheme="majorHAnsi"/>
        </w:rPr>
        <w:t>y</w:t>
      </w:r>
      <w:r w:rsidR="008C1230">
        <w:rPr>
          <w:rFonts w:asciiTheme="majorHAnsi" w:hAnsiTheme="majorHAnsi" w:cstheme="majorHAnsi"/>
        </w:rPr>
        <w:t xml:space="preserve"> podrobil</w:t>
      </w:r>
      <w:r w:rsidR="006A49A6">
        <w:rPr>
          <w:rFonts w:asciiTheme="majorHAnsi" w:hAnsiTheme="majorHAnsi" w:cstheme="majorHAnsi"/>
        </w:rPr>
        <w:t>y</w:t>
      </w:r>
      <w:r w:rsidR="008C1230">
        <w:rPr>
          <w:rFonts w:asciiTheme="majorHAnsi" w:hAnsiTheme="majorHAnsi" w:cstheme="majorHAnsi"/>
        </w:rPr>
        <w:t xml:space="preserve"> námitky vyhošťovaných osob </w:t>
      </w:r>
      <w:r w:rsidR="008C1230" w:rsidRPr="000D6D45">
        <w:rPr>
          <w:rFonts w:asciiTheme="majorHAnsi" w:hAnsiTheme="majorHAnsi" w:cstheme="majorHAnsi"/>
          <w:b/>
        </w:rPr>
        <w:t>důkladnému přezkumu</w:t>
      </w:r>
      <w:r w:rsidR="006A49A6">
        <w:rPr>
          <w:rFonts w:asciiTheme="majorHAnsi" w:hAnsiTheme="majorHAnsi" w:cstheme="majorHAnsi"/>
        </w:rPr>
        <w:t xml:space="preserve">, tj. aby je nezávisle a pečlivě přezkoumaly, a to na základě veškerých předložených materiálů, tak jako materiálů získaných </w:t>
      </w:r>
      <w:proofErr w:type="spellStart"/>
      <w:r w:rsidR="006A49A6" w:rsidRPr="006A49A6">
        <w:rPr>
          <w:rFonts w:asciiTheme="majorHAnsi" w:hAnsiTheme="majorHAnsi" w:cstheme="majorHAnsi"/>
          <w:i/>
        </w:rPr>
        <w:t>proprio</w:t>
      </w:r>
      <w:proofErr w:type="spellEnd"/>
      <w:r w:rsidR="006A49A6" w:rsidRPr="006A49A6">
        <w:rPr>
          <w:rFonts w:asciiTheme="majorHAnsi" w:hAnsiTheme="majorHAnsi" w:cstheme="majorHAnsi"/>
          <w:i/>
        </w:rPr>
        <w:t xml:space="preserve"> motu</w:t>
      </w:r>
      <w:r w:rsidR="006A49A6">
        <w:rPr>
          <w:rFonts w:asciiTheme="majorHAnsi" w:hAnsiTheme="majorHAnsi" w:cstheme="majorHAnsi"/>
        </w:rPr>
        <w:t>.</w:t>
      </w:r>
    </w:p>
    <w:p w:rsidR="008535DF" w:rsidRDefault="008535DF" w:rsidP="00B0099A">
      <w:pPr>
        <w:pStyle w:val="Odstavecseseznamem"/>
        <w:jc w:val="both"/>
        <w:rPr>
          <w:rFonts w:asciiTheme="majorHAnsi" w:hAnsiTheme="majorHAnsi" w:cstheme="majorHAnsi"/>
        </w:rPr>
      </w:pPr>
    </w:p>
    <w:p w:rsidR="008535DF" w:rsidRDefault="007A1B3E" w:rsidP="00B0099A">
      <w:pPr>
        <w:pStyle w:val="Odstavecseseznamem"/>
        <w:jc w:val="both"/>
        <w:rPr>
          <w:rFonts w:asciiTheme="majorHAnsi" w:hAnsiTheme="majorHAnsi" w:cstheme="majorHAnsi"/>
        </w:rPr>
      </w:pPr>
      <w:r>
        <w:rPr>
          <w:rFonts w:asciiTheme="majorHAnsi" w:hAnsiTheme="majorHAnsi" w:cstheme="majorHAnsi"/>
        </w:rPr>
        <w:t xml:space="preserve">Pro získání bližší představy, jaké jsou základní zásady posuzování stížnosti Soudem ve věcech azylu na poli článku 3, příp. 2 Úmluvy, jsem Vám připravila níže uvedené otázky. Odpovědi k nim naleznete ve dvou rozsudcích Soudu – </w:t>
      </w:r>
      <w:r w:rsidRPr="00193AD2">
        <w:rPr>
          <w:rFonts w:asciiTheme="majorHAnsi" w:hAnsiTheme="majorHAnsi" w:cstheme="majorHAnsi"/>
          <w:b/>
          <w:i/>
        </w:rPr>
        <w:t>F. G. proti Švédsku</w:t>
      </w:r>
      <w:r>
        <w:rPr>
          <w:rFonts w:asciiTheme="majorHAnsi" w:hAnsiTheme="majorHAnsi" w:cstheme="majorHAnsi"/>
        </w:rPr>
        <w:t xml:space="preserve"> (č.</w:t>
      </w:r>
      <w:r w:rsidR="00193AD2">
        <w:rPr>
          <w:rFonts w:asciiTheme="majorHAnsi" w:hAnsiTheme="majorHAnsi" w:cstheme="majorHAnsi"/>
        </w:rPr>
        <w:t xml:space="preserve"> 43611/11, rozsudek velkého senátu Soudu ze dne 23. března 2016, §§ 110–127</w:t>
      </w:r>
      <w:r>
        <w:rPr>
          <w:rFonts w:asciiTheme="majorHAnsi" w:hAnsiTheme="majorHAnsi" w:cstheme="majorHAnsi"/>
        </w:rPr>
        <w:t xml:space="preserve">) a </w:t>
      </w:r>
      <w:r w:rsidRPr="00193AD2">
        <w:rPr>
          <w:rFonts w:asciiTheme="majorHAnsi" w:hAnsiTheme="majorHAnsi" w:cstheme="majorHAnsi"/>
          <w:b/>
          <w:i/>
        </w:rPr>
        <w:t xml:space="preserve">J. K. a ostatní proti </w:t>
      </w:r>
      <w:r w:rsidR="00193AD2" w:rsidRPr="00193AD2">
        <w:rPr>
          <w:rFonts w:asciiTheme="majorHAnsi" w:hAnsiTheme="majorHAnsi" w:cstheme="majorHAnsi"/>
          <w:b/>
          <w:i/>
        </w:rPr>
        <w:t xml:space="preserve">Švédsku </w:t>
      </w:r>
      <w:r w:rsidR="00193AD2">
        <w:rPr>
          <w:rFonts w:asciiTheme="majorHAnsi" w:hAnsiTheme="majorHAnsi" w:cstheme="majorHAnsi"/>
        </w:rPr>
        <w:t>(č. 59166/12, rozsudek velkého senátu Soudu ze dne 23. srpna 2016, §§ 77–105)</w:t>
      </w:r>
      <w:r>
        <w:rPr>
          <w:rFonts w:asciiTheme="majorHAnsi" w:hAnsiTheme="majorHAnsi" w:cstheme="majorHAnsi"/>
        </w:rPr>
        <w:t xml:space="preserve">. </w:t>
      </w:r>
      <w:r w:rsidR="00193AD2">
        <w:rPr>
          <w:rFonts w:asciiTheme="majorHAnsi" w:hAnsiTheme="majorHAnsi" w:cstheme="majorHAnsi"/>
        </w:rPr>
        <w:t xml:space="preserve">Není nutné je číst celé. Stačí se seznámit jen s jejich anotacemi, které jsou na stránkách eslp.justice.cz., a s konkrétnímu odstavci předmětných rozsudků, které jsou výše u jednotlivých případů uvedeny. </w:t>
      </w:r>
    </w:p>
    <w:p w:rsidR="00FA5C30" w:rsidRDefault="00FA5C30" w:rsidP="00B0099A">
      <w:pPr>
        <w:pStyle w:val="Odstavecseseznamem"/>
        <w:jc w:val="both"/>
        <w:rPr>
          <w:rFonts w:asciiTheme="majorHAnsi" w:hAnsiTheme="majorHAnsi" w:cstheme="majorHAnsi"/>
        </w:rPr>
      </w:pPr>
    </w:p>
    <w:p w:rsidR="00447837" w:rsidRPr="00447837" w:rsidRDefault="00447837" w:rsidP="00B0099A">
      <w:pPr>
        <w:pStyle w:val="Odstavecseseznamem"/>
        <w:jc w:val="both"/>
        <w:rPr>
          <w:rFonts w:asciiTheme="majorHAnsi" w:hAnsiTheme="majorHAnsi" w:cstheme="majorHAnsi"/>
          <w:b/>
        </w:rPr>
      </w:pPr>
      <w:r w:rsidRPr="00447837">
        <w:rPr>
          <w:rFonts w:asciiTheme="majorHAnsi" w:hAnsiTheme="majorHAnsi" w:cstheme="majorHAnsi"/>
          <w:b/>
        </w:rPr>
        <w:t>Otázky</w:t>
      </w:r>
    </w:p>
    <w:p w:rsidR="00461050" w:rsidRDefault="00461050" w:rsidP="00461050">
      <w:pPr>
        <w:pStyle w:val="Odstavecseseznamem"/>
        <w:ind w:left="1501"/>
        <w:jc w:val="both"/>
        <w:rPr>
          <w:rFonts w:asciiTheme="majorHAnsi" w:hAnsiTheme="majorHAnsi" w:cstheme="majorHAnsi"/>
        </w:rPr>
      </w:pPr>
    </w:p>
    <w:p w:rsidR="00447837" w:rsidRDefault="00D9214E" w:rsidP="00FE7DD5">
      <w:pPr>
        <w:pStyle w:val="Odstavecseseznamem"/>
        <w:numPr>
          <w:ilvl w:val="0"/>
          <w:numId w:val="3"/>
        </w:numPr>
        <w:jc w:val="both"/>
        <w:rPr>
          <w:rFonts w:asciiTheme="majorHAnsi" w:hAnsiTheme="majorHAnsi" w:cstheme="majorHAnsi"/>
        </w:rPr>
      </w:pPr>
      <w:r w:rsidRPr="00D458C3">
        <w:rPr>
          <w:rFonts w:asciiTheme="majorHAnsi" w:hAnsiTheme="majorHAnsi" w:cstheme="majorHAnsi"/>
        </w:rPr>
        <w:t xml:space="preserve">Na kom </w:t>
      </w:r>
      <w:r w:rsidR="00250927" w:rsidRPr="00D458C3">
        <w:rPr>
          <w:rFonts w:asciiTheme="majorHAnsi" w:hAnsiTheme="majorHAnsi" w:cstheme="majorHAnsi"/>
        </w:rPr>
        <w:t>obecně leží břemeno tvrzení a břemeno důkazní za účelem prokázání existence závažných důvodů domnívat se, že by v případě vyhoštění byl stěžovatel v zemi původu vystaven skutečnému nebezpečí špatného zacházení v rozporu s článkem 3 Úmluvy?</w:t>
      </w:r>
      <w:r w:rsidR="00DC426F" w:rsidRPr="00D458C3">
        <w:rPr>
          <w:rFonts w:asciiTheme="majorHAnsi" w:hAnsiTheme="majorHAnsi" w:cstheme="majorHAnsi"/>
        </w:rPr>
        <w:t xml:space="preserve"> </w:t>
      </w:r>
      <w:r w:rsidR="00D458C3">
        <w:rPr>
          <w:rFonts w:asciiTheme="majorHAnsi" w:hAnsiTheme="majorHAnsi" w:cstheme="majorHAnsi"/>
        </w:rPr>
        <w:t>Co hraje roli?</w:t>
      </w:r>
    </w:p>
    <w:p w:rsidR="00A76368" w:rsidRDefault="00A76368" w:rsidP="00A76368">
      <w:pPr>
        <w:pStyle w:val="Odstavecseseznamem"/>
        <w:ind w:left="1501"/>
        <w:jc w:val="both"/>
        <w:rPr>
          <w:rFonts w:asciiTheme="majorHAnsi" w:hAnsiTheme="majorHAnsi" w:cstheme="majorHAnsi"/>
        </w:rPr>
      </w:pPr>
    </w:p>
    <w:p w:rsidR="00A25E3B" w:rsidRPr="006B68AF" w:rsidRDefault="00473B2A" w:rsidP="00A25E3B">
      <w:pPr>
        <w:pStyle w:val="Odstavecseseznamem"/>
        <w:numPr>
          <w:ilvl w:val="0"/>
          <w:numId w:val="3"/>
        </w:numPr>
        <w:jc w:val="both"/>
        <w:rPr>
          <w:rFonts w:asciiTheme="majorHAnsi" w:hAnsiTheme="majorHAnsi" w:cstheme="majorHAnsi"/>
        </w:rPr>
      </w:pPr>
      <w:r>
        <w:rPr>
          <w:rFonts w:asciiTheme="majorHAnsi" w:hAnsiTheme="majorHAnsi" w:cstheme="majorHAnsi"/>
        </w:rPr>
        <w:t>Pakliže bezpečnostní situace a násilí v cílové zemi nedosáhlo takové míry, aby sama o sobě znamenala skutečné nebezpečí špatného zacházení v rozporu s článkem 3 Úmluvy, j</w:t>
      </w:r>
      <w:r w:rsidR="009C29A4">
        <w:rPr>
          <w:rFonts w:asciiTheme="majorHAnsi" w:hAnsiTheme="majorHAnsi" w:cstheme="majorHAnsi"/>
        </w:rPr>
        <w:t>aké faktory dle Soudu posilují pravděpodobnost budoucího nebezpečí špatného zacházení</w:t>
      </w:r>
      <w:r w:rsidR="00D458C3">
        <w:rPr>
          <w:rFonts w:asciiTheme="majorHAnsi" w:hAnsiTheme="majorHAnsi" w:cstheme="majorHAnsi"/>
        </w:rPr>
        <w:t xml:space="preserve"> v individuálním případě</w:t>
      </w:r>
      <w:r w:rsidR="009C29A4">
        <w:rPr>
          <w:rFonts w:asciiTheme="majorHAnsi" w:hAnsiTheme="majorHAnsi" w:cstheme="majorHAnsi"/>
        </w:rPr>
        <w:t xml:space="preserve">? </w:t>
      </w:r>
      <w:r w:rsidR="00D458C3">
        <w:rPr>
          <w:rFonts w:asciiTheme="majorHAnsi" w:hAnsiTheme="majorHAnsi" w:cstheme="majorHAnsi"/>
        </w:rPr>
        <w:t>Uveďte příklady.</w:t>
      </w:r>
    </w:p>
    <w:p w:rsidR="00A76368" w:rsidRDefault="00A76368" w:rsidP="00A76368">
      <w:pPr>
        <w:pStyle w:val="Odstavecseseznamem"/>
        <w:ind w:left="1501"/>
        <w:jc w:val="both"/>
        <w:rPr>
          <w:rFonts w:asciiTheme="majorHAnsi" w:hAnsiTheme="majorHAnsi" w:cstheme="majorHAnsi"/>
        </w:rPr>
      </w:pPr>
    </w:p>
    <w:p w:rsidR="009C29A4" w:rsidRDefault="009C29A4" w:rsidP="008252D3">
      <w:pPr>
        <w:pStyle w:val="Odstavecseseznamem"/>
        <w:numPr>
          <w:ilvl w:val="0"/>
          <w:numId w:val="3"/>
        </w:numPr>
        <w:jc w:val="both"/>
        <w:rPr>
          <w:rFonts w:asciiTheme="majorHAnsi" w:hAnsiTheme="majorHAnsi" w:cstheme="majorHAnsi"/>
        </w:rPr>
      </w:pPr>
      <w:r w:rsidRPr="008252D3">
        <w:rPr>
          <w:rFonts w:asciiTheme="majorHAnsi" w:hAnsiTheme="majorHAnsi" w:cstheme="majorHAnsi"/>
        </w:rPr>
        <w:t xml:space="preserve">Ke skutečnostem z jaké relevantní doby mají přihlížet vnitrostátní </w:t>
      </w:r>
      <w:r w:rsidR="00675A0A">
        <w:rPr>
          <w:rFonts w:asciiTheme="majorHAnsi" w:hAnsiTheme="majorHAnsi" w:cstheme="majorHAnsi"/>
        </w:rPr>
        <w:t>soudy</w:t>
      </w:r>
      <w:r w:rsidRPr="008252D3">
        <w:rPr>
          <w:rFonts w:asciiTheme="majorHAnsi" w:hAnsiTheme="majorHAnsi" w:cstheme="majorHAnsi"/>
        </w:rPr>
        <w:t xml:space="preserve"> při posuzování nebezpečí špatného zacházení</w:t>
      </w:r>
      <w:r w:rsidR="00675A0A">
        <w:rPr>
          <w:rFonts w:asciiTheme="majorHAnsi" w:hAnsiTheme="majorHAnsi" w:cstheme="majorHAnsi"/>
        </w:rPr>
        <w:t>, které by osobě hrozilo v případě jejího vyhoštění</w:t>
      </w:r>
      <w:r w:rsidRPr="008252D3">
        <w:rPr>
          <w:rFonts w:asciiTheme="majorHAnsi" w:hAnsiTheme="majorHAnsi" w:cstheme="majorHAnsi"/>
        </w:rPr>
        <w:t xml:space="preserve">? Liší se relevantní doba pro dané posouzení </w:t>
      </w:r>
      <w:r w:rsidR="007223EE" w:rsidRPr="008252D3">
        <w:rPr>
          <w:rFonts w:asciiTheme="majorHAnsi" w:hAnsiTheme="majorHAnsi" w:cstheme="majorHAnsi"/>
        </w:rPr>
        <w:t>v případě přezkumu Soudu, příp. jak</w:t>
      </w:r>
      <w:r w:rsidR="00492782" w:rsidRPr="008252D3">
        <w:rPr>
          <w:rFonts w:asciiTheme="majorHAnsi" w:hAnsiTheme="majorHAnsi" w:cstheme="majorHAnsi"/>
        </w:rPr>
        <w:t>, proč</w:t>
      </w:r>
      <w:r w:rsidR="007223EE" w:rsidRPr="008252D3">
        <w:rPr>
          <w:rFonts w:asciiTheme="majorHAnsi" w:hAnsiTheme="majorHAnsi" w:cstheme="majorHAnsi"/>
        </w:rPr>
        <w:t>?</w:t>
      </w:r>
    </w:p>
    <w:p w:rsidR="002F13EF" w:rsidRDefault="002F13EF" w:rsidP="002F13EF">
      <w:pPr>
        <w:pStyle w:val="Odstavecseseznamem"/>
        <w:ind w:left="1501"/>
        <w:jc w:val="both"/>
        <w:rPr>
          <w:rFonts w:asciiTheme="majorHAnsi" w:hAnsiTheme="majorHAnsi" w:cstheme="majorHAnsi"/>
        </w:rPr>
      </w:pPr>
    </w:p>
    <w:p w:rsidR="002F13EF" w:rsidRDefault="002F13EF" w:rsidP="008252D3">
      <w:pPr>
        <w:pStyle w:val="Odstavecseseznamem"/>
        <w:numPr>
          <w:ilvl w:val="0"/>
          <w:numId w:val="3"/>
        </w:numPr>
        <w:jc w:val="both"/>
        <w:rPr>
          <w:rFonts w:asciiTheme="majorHAnsi" w:hAnsiTheme="majorHAnsi" w:cstheme="majorHAnsi"/>
        </w:rPr>
      </w:pPr>
      <w:r>
        <w:rPr>
          <w:rFonts w:asciiTheme="majorHAnsi" w:hAnsiTheme="majorHAnsi" w:cstheme="majorHAnsi"/>
        </w:rPr>
        <w:t xml:space="preserve">Je možné na základě rozsudku </w:t>
      </w:r>
      <w:r w:rsidRPr="002F13EF">
        <w:rPr>
          <w:rFonts w:asciiTheme="majorHAnsi" w:hAnsiTheme="majorHAnsi" w:cstheme="majorHAnsi"/>
          <w:i/>
        </w:rPr>
        <w:t>F. G. proti Švédsku</w:t>
      </w:r>
      <w:r>
        <w:rPr>
          <w:rFonts w:asciiTheme="majorHAnsi" w:hAnsiTheme="majorHAnsi" w:cstheme="majorHAnsi"/>
        </w:rPr>
        <w:t xml:space="preserve"> tvrdit, že každý žadatel o azyl pocházející z Íránu, který po příchodu do Evropy konvertoval ke křesťanství zasluhuje ochranu vyplývající </w:t>
      </w:r>
      <w:r w:rsidR="009324E5">
        <w:rPr>
          <w:rFonts w:asciiTheme="majorHAnsi" w:hAnsiTheme="majorHAnsi" w:cstheme="majorHAnsi"/>
        </w:rPr>
        <w:t>z</w:t>
      </w:r>
      <w:r>
        <w:rPr>
          <w:rFonts w:asciiTheme="majorHAnsi" w:hAnsiTheme="majorHAnsi" w:cstheme="majorHAnsi"/>
        </w:rPr>
        <w:t> článku 3 Úmluvy a není ho možné zpět vyhostit?</w:t>
      </w:r>
      <w:r w:rsidR="0042470E">
        <w:rPr>
          <w:rFonts w:asciiTheme="majorHAnsi" w:hAnsiTheme="majorHAnsi" w:cstheme="majorHAnsi"/>
        </w:rPr>
        <w:t xml:space="preserve"> </w:t>
      </w:r>
    </w:p>
    <w:p w:rsidR="007223EE" w:rsidRDefault="007223EE" w:rsidP="007223EE">
      <w:pPr>
        <w:pStyle w:val="Odstavecseseznamem"/>
        <w:ind w:left="1501"/>
        <w:jc w:val="both"/>
        <w:rPr>
          <w:rFonts w:asciiTheme="majorHAnsi" w:hAnsiTheme="majorHAnsi" w:cstheme="majorHAnsi"/>
        </w:rPr>
      </w:pPr>
    </w:p>
    <w:p w:rsidR="009E560A" w:rsidRPr="002314CD" w:rsidRDefault="008252D3" w:rsidP="009E560A">
      <w:pPr>
        <w:pStyle w:val="Odstavecseseznamem"/>
        <w:numPr>
          <w:ilvl w:val="0"/>
          <w:numId w:val="3"/>
        </w:numPr>
        <w:jc w:val="both"/>
        <w:rPr>
          <w:rFonts w:asciiTheme="majorHAnsi" w:hAnsiTheme="majorHAnsi" w:cstheme="majorHAnsi"/>
        </w:rPr>
      </w:pPr>
      <w:r>
        <w:rPr>
          <w:rFonts w:asciiTheme="majorHAnsi" w:hAnsiTheme="majorHAnsi" w:cstheme="majorHAnsi"/>
        </w:rPr>
        <w:t>Ve světle uplatňovaných zásad Soudem na poli článku 3 Úmluvy, je dnes možné navrátit žadatele o azyl pocházejícího ze Sýrie do jeho země původ</w:t>
      </w:r>
      <w:r w:rsidR="00EF149F">
        <w:rPr>
          <w:rFonts w:asciiTheme="majorHAnsi" w:hAnsiTheme="majorHAnsi" w:cstheme="majorHAnsi"/>
        </w:rPr>
        <w:t>u</w:t>
      </w:r>
      <w:r w:rsidR="006B1FF6">
        <w:rPr>
          <w:rFonts w:asciiTheme="majorHAnsi" w:hAnsiTheme="majorHAnsi" w:cstheme="majorHAnsi"/>
        </w:rPr>
        <w:t>, aniž by musel předložit nějaké zvláštní rizikové faktory týkající se konkrétně jeho osoby</w:t>
      </w:r>
      <w:r>
        <w:rPr>
          <w:rFonts w:asciiTheme="majorHAnsi" w:hAnsiTheme="majorHAnsi" w:cstheme="majorHAnsi"/>
        </w:rPr>
        <w:t>? Odpověď zkuste najít v </w:t>
      </w:r>
      <w:proofErr w:type="spellStart"/>
      <w:r>
        <w:rPr>
          <w:rFonts w:asciiTheme="majorHAnsi" w:hAnsiTheme="majorHAnsi" w:cstheme="majorHAnsi"/>
        </w:rPr>
        <w:t>HUDOCu</w:t>
      </w:r>
      <w:proofErr w:type="spellEnd"/>
      <w:r>
        <w:rPr>
          <w:rFonts w:asciiTheme="majorHAnsi" w:hAnsiTheme="majorHAnsi" w:cstheme="majorHAnsi"/>
        </w:rPr>
        <w:t xml:space="preserve"> ;) </w:t>
      </w:r>
    </w:p>
    <w:p w:rsidR="009965BF" w:rsidRDefault="002314CD" w:rsidP="002642B4">
      <w:pPr>
        <w:ind w:left="709"/>
        <w:jc w:val="both"/>
        <w:rPr>
          <w:rFonts w:asciiTheme="majorHAnsi" w:hAnsiTheme="majorHAnsi" w:cstheme="majorHAnsi"/>
        </w:rPr>
      </w:pPr>
      <w:r>
        <w:rPr>
          <w:rFonts w:asciiTheme="majorHAnsi" w:hAnsiTheme="majorHAnsi" w:cstheme="majorHAnsi"/>
        </w:rPr>
        <w:br w:type="page"/>
      </w:r>
      <w:r w:rsidR="009965BF" w:rsidRPr="009965BF">
        <w:rPr>
          <w:rFonts w:asciiTheme="majorHAnsi" w:hAnsiTheme="majorHAnsi" w:cstheme="majorHAnsi"/>
          <w:b/>
        </w:rPr>
        <w:lastRenderedPageBreak/>
        <w:t>Možnost vnitřního přesídlení</w:t>
      </w:r>
      <w:r w:rsidR="009965BF">
        <w:rPr>
          <w:rFonts w:asciiTheme="majorHAnsi" w:hAnsiTheme="majorHAnsi" w:cstheme="majorHAnsi"/>
        </w:rPr>
        <w:t xml:space="preserve"> – Při posouzení, zda stěžovateli hrozí v cílové zemi nebezpečí špatného zacházení je také třeba vzít v úvahu i možnost vnitřního přesídlení, tj. možnost uchýlit se v cílové zemi do oblasti, kde by stěžovateli předmětné nebezpečí nehrozilo. Pakliže by taková možnost existovala, je možné </w:t>
      </w:r>
      <w:r w:rsidR="002642B4">
        <w:rPr>
          <w:rFonts w:asciiTheme="majorHAnsi" w:hAnsiTheme="majorHAnsi" w:cstheme="majorHAnsi"/>
        </w:rPr>
        <w:t>stěžovatele</w:t>
      </w:r>
      <w:r w:rsidR="009965BF">
        <w:rPr>
          <w:rFonts w:asciiTheme="majorHAnsi" w:hAnsiTheme="majorHAnsi" w:cstheme="majorHAnsi"/>
        </w:rPr>
        <w:t xml:space="preserve"> do jeho země původu navrátit. </w:t>
      </w:r>
      <w:r w:rsidR="009965BF" w:rsidRPr="001B0288">
        <w:rPr>
          <w:rFonts w:asciiTheme="majorHAnsi" w:hAnsiTheme="majorHAnsi" w:cstheme="majorHAnsi"/>
          <w:b/>
        </w:rPr>
        <w:t>Možnost vnitřního přesídlení je podmíněna</w:t>
      </w:r>
      <w:r w:rsidR="009965BF">
        <w:rPr>
          <w:rFonts w:asciiTheme="majorHAnsi" w:hAnsiTheme="majorHAnsi" w:cstheme="majorHAnsi"/>
        </w:rPr>
        <w:t>:</w:t>
      </w:r>
    </w:p>
    <w:p w:rsidR="009B235A" w:rsidRDefault="009965BF" w:rsidP="002642B4">
      <w:pPr>
        <w:pStyle w:val="Odstavecseseznamem"/>
        <w:numPr>
          <w:ilvl w:val="0"/>
          <w:numId w:val="6"/>
        </w:numPr>
        <w:jc w:val="both"/>
        <w:rPr>
          <w:rFonts w:asciiTheme="majorHAnsi" w:hAnsiTheme="majorHAnsi" w:cstheme="majorHAnsi"/>
        </w:rPr>
      </w:pPr>
      <w:r>
        <w:rPr>
          <w:rFonts w:asciiTheme="majorHAnsi" w:hAnsiTheme="majorHAnsi" w:cstheme="majorHAnsi"/>
        </w:rPr>
        <w:t>možnost bezpečně a bez rizika do dané oblasti cestovat;</w:t>
      </w:r>
    </w:p>
    <w:p w:rsidR="009965BF" w:rsidRDefault="009965BF" w:rsidP="002642B4">
      <w:pPr>
        <w:pStyle w:val="Odstavecseseznamem"/>
        <w:numPr>
          <w:ilvl w:val="0"/>
          <w:numId w:val="6"/>
        </w:numPr>
        <w:jc w:val="both"/>
        <w:rPr>
          <w:rFonts w:asciiTheme="majorHAnsi" w:hAnsiTheme="majorHAnsi" w:cstheme="majorHAnsi"/>
        </w:rPr>
      </w:pPr>
      <w:r>
        <w:rPr>
          <w:rFonts w:asciiTheme="majorHAnsi" w:hAnsiTheme="majorHAnsi" w:cstheme="majorHAnsi"/>
        </w:rPr>
        <w:t>možnost na toto území vstoupit;</w:t>
      </w:r>
    </w:p>
    <w:p w:rsidR="009965BF" w:rsidRDefault="009965BF" w:rsidP="002642B4">
      <w:pPr>
        <w:pStyle w:val="Odstavecseseznamem"/>
        <w:numPr>
          <w:ilvl w:val="0"/>
          <w:numId w:val="6"/>
        </w:numPr>
        <w:jc w:val="both"/>
        <w:rPr>
          <w:rFonts w:asciiTheme="majorHAnsi" w:hAnsiTheme="majorHAnsi" w:cstheme="majorHAnsi"/>
        </w:rPr>
      </w:pPr>
      <w:r>
        <w:rPr>
          <w:rFonts w:asciiTheme="majorHAnsi" w:hAnsiTheme="majorHAnsi" w:cstheme="majorHAnsi"/>
        </w:rPr>
        <w:t xml:space="preserve">možnost se v území usadit. </w:t>
      </w:r>
    </w:p>
    <w:p w:rsidR="006357F4" w:rsidRDefault="006357F4" w:rsidP="009965BF">
      <w:pPr>
        <w:pStyle w:val="Odstavecseseznamem"/>
        <w:jc w:val="both"/>
        <w:rPr>
          <w:rFonts w:asciiTheme="majorHAnsi" w:hAnsiTheme="majorHAnsi" w:cstheme="majorHAnsi"/>
        </w:rPr>
      </w:pPr>
    </w:p>
    <w:p w:rsidR="009965BF" w:rsidRDefault="009965BF" w:rsidP="009965BF">
      <w:pPr>
        <w:pStyle w:val="Odstavecseseznamem"/>
        <w:jc w:val="both"/>
        <w:rPr>
          <w:rFonts w:asciiTheme="majorHAnsi" w:hAnsiTheme="majorHAnsi" w:cstheme="majorHAnsi"/>
        </w:rPr>
      </w:pPr>
      <w:r>
        <w:rPr>
          <w:rFonts w:asciiTheme="majorHAnsi" w:hAnsiTheme="majorHAnsi" w:cstheme="majorHAnsi"/>
        </w:rPr>
        <w:t xml:space="preserve">Ve věci </w:t>
      </w:r>
      <w:proofErr w:type="spellStart"/>
      <w:r w:rsidRPr="009965BF">
        <w:rPr>
          <w:rFonts w:asciiTheme="majorHAnsi" w:hAnsiTheme="majorHAnsi" w:cstheme="majorHAnsi"/>
          <w:i/>
        </w:rPr>
        <w:t>Sufi</w:t>
      </w:r>
      <w:proofErr w:type="spellEnd"/>
      <w:r w:rsidRPr="009965BF">
        <w:rPr>
          <w:rFonts w:asciiTheme="majorHAnsi" w:hAnsiTheme="majorHAnsi" w:cstheme="majorHAnsi"/>
          <w:i/>
        </w:rPr>
        <w:t xml:space="preserve"> a </w:t>
      </w:r>
      <w:proofErr w:type="spellStart"/>
      <w:r w:rsidRPr="009965BF">
        <w:rPr>
          <w:rFonts w:asciiTheme="majorHAnsi" w:hAnsiTheme="majorHAnsi" w:cstheme="majorHAnsi"/>
          <w:i/>
        </w:rPr>
        <w:t>Elmi</w:t>
      </w:r>
      <w:proofErr w:type="spellEnd"/>
      <w:r w:rsidRPr="009965BF">
        <w:rPr>
          <w:rFonts w:asciiTheme="majorHAnsi" w:hAnsiTheme="majorHAnsi" w:cstheme="majorHAnsi"/>
          <w:i/>
        </w:rPr>
        <w:t xml:space="preserve"> proti Spojenému království</w:t>
      </w:r>
      <w:r w:rsidR="00224470">
        <w:rPr>
          <w:rFonts w:asciiTheme="majorHAnsi" w:hAnsiTheme="majorHAnsi" w:cstheme="majorHAnsi"/>
        </w:rPr>
        <w:t xml:space="preserve"> (č. 8319/07, rozsudek ze dne 28. června 2011, §§ 195, 303 a 310)</w:t>
      </w:r>
      <w:r>
        <w:rPr>
          <w:rFonts w:asciiTheme="majorHAnsi" w:hAnsiTheme="majorHAnsi" w:cstheme="majorHAnsi"/>
        </w:rPr>
        <w:t xml:space="preserve">, přestože Soud shledal, že v Somálsku byly bezpečné oblasti, tak stěžovatelé k nim neměli žádné vazby a cesta do nich z Mogadišu, kam měli být odesláni, nebyla bezpečná a existovalo skutečné nebezpečí špatného zacházení. </w:t>
      </w:r>
      <w:r w:rsidR="00165E11">
        <w:rPr>
          <w:rFonts w:asciiTheme="majorHAnsi" w:hAnsiTheme="majorHAnsi" w:cstheme="majorHAnsi"/>
        </w:rPr>
        <w:t xml:space="preserve">Naopak ve věci </w:t>
      </w:r>
      <w:proofErr w:type="spellStart"/>
      <w:r w:rsidR="00165E11" w:rsidRPr="006357F4">
        <w:rPr>
          <w:rFonts w:asciiTheme="majorHAnsi" w:hAnsiTheme="majorHAnsi" w:cstheme="majorHAnsi"/>
          <w:i/>
        </w:rPr>
        <w:t>Omeredo</w:t>
      </w:r>
      <w:proofErr w:type="spellEnd"/>
      <w:r w:rsidR="00165E11" w:rsidRPr="006357F4">
        <w:rPr>
          <w:rFonts w:asciiTheme="majorHAnsi" w:hAnsiTheme="majorHAnsi" w:cstheme="majorHAnsi"/>
          <w:i/>
        </w:rPr>
        <w:t xml:space="preserve"> proti Rakousku</w:t>
      </w:r>
      <w:r w:rsidR="00165E11">
        <w:rPr>
          <w:rFonts w:asciiTheme="majorHAnsi" w:hAnsiTheme="majorHAnsi" w:cstheme="majorHAnsi"/>
        </w:rPr>
        <w:t xml:space="preserve"> Soud</w:t>
      </w:r>
      <w:r w:rsidR="00224470">
        <w:rPr>
          <w:rFonts w:asciiTheme="majorHAnsi" w:hAnsiTheme="majorHAnsi" w:cstheme="majorHAnsi"/>
        </w:rPr>
        <w:t xml:space="preserve"> (č. </w:t>
      </w:r>
      <w:r w:rsidR="00BB34CF">
        <w:rPr>
          <w:rFonts w:asciiTheme="majorHAnsi" w:hAnsiTheme="majorHAnsi" w:cstheme="majorHAnsi"/>
        </w:rPr>
        <w:t>8969/10, rozhodnutí ze dne 20. srpna 2011)</w:t>
      </w:r>
      <w:r w:rsidR="00165E11">
        <w:rPr>
          <w:rFonts w:asciiTheme="majorHAnsi" w:hAnsiTheme="majorHAnsi" w:cstheme="majorHAnsi"/>
        </w:rPr>
        <w:t xml:space="preserve"> shledal, že i když v některých </w:t>
      </w:r>
      <w:r w:rsidR="006357F4">
        <w:rPr>
          <w:rFonts w:asciiTheme="majorHAnsi" w:hAnsiTheme="majorHAnsi" w:cstheme="majorHAnsi"/>
        </w:rPr>
        <w:t xml:space="preserve">částech Nigérie stěžovatelce hrozilo skutečné nebezpečí ženské obřízky, tato, vzhledem ke svému vzdělání a pracovním zkušenostem, byla schopna začít nový život v bezpečné oblasti. </w:t>
      </w:r>
    </w:p>
    <w:p w:rsidR="009965BF" w:rsidRDefault="009965BF" w:rsidP="009965BF">
      <w:pPr>
        <w:pStyle w:val="Odstavecseseznamem"/>
        <w:jc w:val="both"/>
        <w:rPr>
          <w:rFonts w:asciiTheme="majorHAnsi" w:hAnsiTheme="majorHAnsi" w:cstheme="majorHAnsi"/>
        </w:rPr>
      </w:pPr>
    </w:p>
    <w:p w:rsidR="009965BF" w:rsidRDefault="009965BF" w:rsidP="0008440E">
      <w:pPr>
        <w:pStyle w:val="Odstavecseseznamem"/>
        <w:jc w:val="both"/>
        <w:rPr>
          <w:rFonts w:asciiTheme="majorHAnsi" w:hAnsiTheme="majorHAnsi" w:cstheme="majorHAnsi"/>
        </w:rPr>
      </w:pPr>
      <w:r w:rsidRPr="00AB1F30">
        <w:rPr>
          <w:rFonts w:asciiTheme="majorHAnsi" w:hAnsiTheme="majorHAnsi" w:cstheme="majorHAnsi"/>
          <w:b/>
        </w:rPr>
        <w:t>Diplomatické záruky</w:t>
      </w:r>
      <w:r w:rsidR="00AB1F30">
        <w:rPr>
          <w:rFonts w:asciiTheme="majorHAnsi" w:hAnsiTheme="majorHAnsi" w:cstheme="majorHAnsi"/>
        </w:rPr>
        <w:t xml:space="preserve"> – Diplomatické záruky, které stát může získat ze strany cílové země, mají vliv na posuzování existence skutečného nebezpečí špatného zacházení</w:t>
      </w:r>
      <w:r w:rsidR="00DF3249">
        <w:rPr>
          <w:rFonts w:asciiTheme="majorHAnsi" w:hAnsiTheme="majorHAnsi" w:cstheme="majorHAnsi"/>
        </w:rPr>
        <w:t xml:space="preserve"> a jsou brány Soude</w:t>
      </w:r>
      <w:r w:rsidR="00A71A85">
        <w:rPr>
          <w:rFonts w:asciiTheme="majorHAnsi" w:hAnsiTheme="majorHAnsi" w:cstheme="majorHAnsi"/>
        </w:rPr>
        <w:t>m</w:t>
      </w:r>
      <w:r w:rsidR="00DF3249">
        <w:rPr>
          <w:rFonts w:asciiTheme="majorHAnsi" w:hAnsiTheme="majorHAnsi" w:cstheme="majorHAnsi"/>
        </w:rPr>
        <w:t xml:space="preserve"> v potaz</w:t>
      </w:r>
      <w:r w:rsidR="00AB1F30">
        <w:rPr>
          <w:rFonts w:asciiTheme="majorHAnsi" w:hAnsiTheme="majorHAnsi" w:cstheme="majorHAnsi"/>
        </w:rPr>
        <w:t xml:space="preserve">. Je ale klíčové posoudit, zda v jednotlivých případech mohou poskytnout dostatečnou záruku před zacházením v rozporu s článkem 3 Úmluvy, neboť je problematické posoudit, zda cílová země bude své záruky dodržovat. </w:t>
      </w:r>
      <w:r w:rsidR="00DF3249">
        <w:rPr>
          <w:rFonts w:asciiTheme="majorHAnsi" w:hAnsiTheme="majorHAnsi" w:cstheme="majorHAnsi"/>
        </w:rPr>
        <w:t>Soud při jejich zkoumání bere v úvahu následující faktory</w:t>
      </w:r>
      <w:r w:rsidR="00224470">
        <w:rPr>
          <w:rFonts w:asciiTheme="majorHAnsi" w:hAnsiTheme="majorHAnsi" w:cstheme="majorHAnsi"/>
        </w:rPr>
        <w:t xml:space="preserve"> (</w:t>
      </w:r>
      <w:proofErr w:type="spellStart"/>
      <w:r w:rsidR="00224470" w:rsidRPr="00224470">
        <w:rPr>
          <w:rFonts w:asciiTheme="majorHAnsi" w:hAnsiTheme="majorHAnsi" w:cstheme="majorHAnsi"/>
          <w:i/>
        </w:rPr>
        <w:t>Othman</w:t>
      </w:r>
      <w:proofErr w:type="spellEnd"/>
      <w:r w:rsidR="00224470" w:rsidRPr="00224470">
        <w:rPr>
          <w:rFonts w:asciiTheme="majorHAnsi" w:hAnsiTheme="majorHAnsi" w:cstheme="majorHAnsi"/>
          <w:i/>
        </w:rPr>
        <w:t xml:space="preserve"> (</w:t>
      </w:r>
      <w:proofErr w:type="spellStart"/>
      <w:r w:rsidR="00224470" w:rsidRPr="00224470">
        <w:rPr>
          <w:rFonts w:asciiTheme="majorHAnsi" w:hAnsiTheme="majorHAnsi" w:cstheme="majorHAnsi"/>
          <w:i/>
        </w:rPr>
        <w:t>Abu</w:t>
      </w:r>
      <w:proofErr w:type="spellEnd"/>
      <w:r w:rsidR="00224470" w:rsidRPr="00224470">
        <w:rPr>
          <w:rFonts w:asciiTheme="majorHAnsi" w:hAnsiTheme="majorHAnsi" w:cstheme="majorHAnsi"/>
          <w:i/>
        </w:rPr>
        <w:t xml:space="preserve"> </w:t>
      </w:r>
      <w:proofErr w:type="spellStart"/>
      <w:r w:rsidR="00224470" w:rsidRPr="00224470">
        <w:rPr>
          <w:rFonts w:asciiTheme="majorHAnsi" w:hAnsiTheme="majorHAnsi" w:cstheme="majorHAnsi"/>
          <w:i/>
        </w:rPr>
        <w:t>Quatada</w:t>
      </w:r>
      <w:proofErr w:type="spellEnd"/>
      <w:r w:rsidR="00224470" w:rsidRPr="00224470">
        <w:rPr>
          <w:rFonts w:asciiTheme="majorHAnsi" w:hAnsiTheme="majorHAnsi" w:cstheme="majorHAnsi"/>
          <w:i/>
        </w:rPr>
        <w:t>) proti Spojenému království</w:t>
      </w:r>
      <w:r w:rsidR="00224470">
        <w:rPr>
          <w:rFonts w:asciiTheme="majorHAnsi" w:hAnsiTheme="majorHAnsi" w:cstheme="majorHAnsi"/>
        </w:rPr>
        <w:t>, č. 8139/09, rozsudek ze dne 17. ledna 2012, § 189)</w:t>
      </w:r>
      <w:r w:rsidR="0008440E">
        <w:rPr>
          <w:rFonts w:asciiTheme="majorHAnsi" w:hAnsiTheme="majorHAnsi" w:cstheme="majorHAnsi"/>
        </w:rPr>
        <w:t xml:space="preserve">: </w:t>
      </w:r>
      <w:r w:rsidR="00DF3249">
        <w:rPr>
          <w:rFonts w:asciiTheme="majorHAnsi" w:hAnsiTheme="majorHAnsi" w:cstheme="majorHAnsi"/>
        </w:rPr>
        <w:t>konkrétnost daných záruk; závaznost;</w:t>
      </w:r>
      <w:r w:rsidR="0008440E">
        <w:rPr>
          <w:rFonts w:asciiTheme="majorHAnsi" w:hAnsiTheme="majorHAnsi" w:cstheme="majorHAnsi"/>
        </w:rPr>
        <w:t xml:space="preserve"> </w:t>
      </w:r>
      <w:r w:rsidR="00DF3249">
        <w:rPr>
          <w:rFonts w:asciiTheme="majorHAnsi" w:hAnsiTheme="majorHAnsi" w:cstheme="majorHAnsi"/>
        </w:rPr>
        <w:t>zda je stát vázaný Úmluvou</w:t>
      </w:r>
      <w:r w:rsidR="00224470">
        <w:rPr>
          <w:rFonts w:asciiTheme="majorHAnsi" w:hAnsiTheme="majorHAnsi" w:cstheme="majorHAnsi"/>
        </w:rPr>
        <w:t>; mechanismus kontroly jejich dodržování;</w:t>
      </w:r>
      <w:r w:rsidR="0008440E">
        <w:rPr>
          <w:rFonts w:asciiTheme="majorHAnsi" w:hAnsiTheme="majorHAnsi" w:cstheme="majorHAnsi"/>
        </w:rPr>
        <w:t xml:space="preserve"> </w:t>
      </w:r>
      <w:r w:rsidR="00224470">
        <w:rPr>
          <w:rFonts w:asciiTheme="majorHAnsi" w:hAnsiTheme="majorHAnsi" w:cstheme="majorHAnsi"/>
        </w:rPr>
        <w:t>případy z minula;</w:t>
      </w:r>
      <w:r w:rsidR="0008440E">
        <w:rPr>
          <w:rFonts w:asciiTheme="majorHAnsi" w:hAnsiTheme="majorHAnsi" w:cstheme="majorHAnsi"/>
        </w:rPr>
        <w:t xml:space="preserve"> </w:t>
      </w:r>
      <w:r w:rsidR="00224470">
        <w:rPr>
          <w:rFonts w:asciiTheme="majorHAnsi" w:hAnsiTheme="majorHAnsi" w:cstheme="majorHAnsi"/>
        </w:rPr>
        <w:t>délku a stabilitu bilaterálních vztahů; právní rámec ochrany před špatným zacházením;</w:t>
      </w:r>
      <w:r w:rsidR="0008440E">
        <w:rPr>
          <w:rFonts w:asciiTheme="majorHAnsi" w:hAnsiTheme="majorHAnsi" w:cstheme="majorHAnsi"/>
        </w:rPr>
        <w:t xml:space="preserve"> </w:t>
      </w:r>
      <w:r w:rsidR="00224470">
        <w:rPr>
          <w:rFonts w:asciiTheme="majorHAnsi" w:hAnsiTheme="majorHAnsi" w:cstheme="majorHAnsi"/>
        </w:rPr>
        <w:t xml:space="preserve">nebo míru spolupráce s mezinárodními orgány. </w:t>
      </w:r>
    </w:p>
    <w:p w:rsidR="009B235A" w:rsidRDefault="009B235A" w:rsidP="00E038F5">
      <w:pPr>
        <w:pStyle w:val="Odstavecseseznamem"/>
        <w:pBdr>
          <w:bottom w:val="single" w:sz="4" w:space="1" w:color="auto"/>
        </w:pBdr>
        <w:jc w:val="both"/>
        <w:rPr>
          <w:rFonts w:asciiTheme="majorHAnsi" w:hAnsiTheme="majorHAnsi" w:cstheme="majorHAnsi"/>
        </w:rPr>
      </w:pPr>
    </w:p>
    <w:p w:rsidR="00ED0FA1" w:rsidRDefault="008535DF" w:rsidP="00E038F5">
      <w:pPr>
        <w:pStyle w:val="Odstavecseseznamem"/>
        <w:pBdr>
          <w:bottom w:val="single" w:sz="4" w:space="1" w:color="auto"/>
        </w:pBdr>
        <w:jc w:val="both"/>
        <w:rPr>
          <w:rFonts w:asciiTheme="majorHAnsi" w:hAnsiTheme="majorHAnsi" w:cstheme="majorHAnsi"/>
        </w:rPr>
      </w:pPr>
      <w:r>
        <w:rPr>
          <w:rFonts w:asciiTheme="majorHAnsi" w:hAnsiTheme="majorHAnsi" w:cstheme="majorHAnsi"/>
        </w:rPr>
        <w:t>5</w:t>
      </w:r>
      <w:r w:rsidR="00ED0FA1">
        <w:rPr>
          <w:rFonts w:asciiTheme="majorHAnsi" w:hAnsiTheme="majorHAnsi" w:cstheme="majorHAnsi"/>
        </w:rPr>
        <w:t xml:space="preserve">. </w:t>
      </w:r>
      <w:r w:rsidR="00E038F5">
        <w:rPr>
          <w:rFonts w:asciiTheme="majorHAnsi" w:hAnsiTheme="majorHAnsi" w:cstheme="majorHAnsi"/>
        </w:rPr>
        <w:t>Vyhoštění do země původu</w:t>
      </w:r>
      <w:r w:rsidR="006F0018">
        <w:rPr>
          <w:rFonts w:asciiTheme="majorHAnsi" w:hAnsiTheme="majorHAnsi" w:cstheme="majorHAnsi"/>
        </w:rPr>
        <w:t xml:space="preserve"> nebo do </w:t>
      </w:r>
      <w:r w:rsidR="00900199">
        <w:rPr>
          <w:rFonts w:asciiTheme="majorHAnsi" w:hAnsiTheme="majorHAnsi" w:cstheme="majorHAnsi"/>
        </w:rPr>
        <w:t xml:space="preserve">jiné </w:t>
      </w:r>
      <w:r w:rsidR="00E038F5">
        <w:rPr>
          <w:rFonts w:asciiTheme="majorHAnsi" w:hAnsiTheme="majorHAnsi" w:cstheme="majorHAnsi"/>
        </w:rPr>
        <w:t xml:space="preserve">třetí země – je v tom rozdíl? </w:t>
      </w:r>
    </w:p>
    <w:p w:rsidR="00ED0FA1" w:rsidRDefault="00ED0FA1" w:rsidP="00B0099A">
      <w:pPr>
        <w:pStyle w:val="Odstavecseseznamem"/>
        <w:jc w:val="both"/>
        <w:rPr>
          <w:rFonts w:asciiTheme="majorHAnsi" w:hAnsiTheme="majorHAnsi" w:cstheme="majorHAnsi"/>
        </w:rPr>
      </w:pPr>
    </w:p>
    <w:p w:rsidR="0036068D" w:rsidRDefault="0036068D" w:rsidP="008535DF">
      <w:pPr>
        <w:pStyle w:val="Odstavecseseznamem"/>
        <w:jc w:val="both"/>
        <w:rPr>
          <w:rFonts w:asciiTheme="majorHAnsi" w:hAnsiTheme="majorHAnsi" w:cstheme="majorHAnsi"/>
        </w:rPr>
      </w:pPr>
      <w:r>
        <w:rPr>
          <w:rFonts w:asciiTheme="majorHAnsi" w:hAnsiTheme="majorHAnsi" w:cstheme="majorHAnsi"/>
        </w:rPr>
        <w:t>Cizinec může být ze strany státu odeslán i do jiné země než do jeho země původu.</w:t>
      </w:r>
      <w:r w:rsidR="00B422D9">
        <w:rPr>
          <w:rFonts w:asciiTheme="majorHAnsi" w:hAnsiTheme="majorHAnsi" w:cstheme="majorHAnsi"/>
        </w:rPr>
        <w:t xml:space="preserve"> I v těchto případech</w:t>
      </w:r>
      <w:r w:rsidR="0060727F">
        <w:rPr>
          <w:rFonts w:asciiTheme="majorHAnsi" w:hAnsiTheme="majorHAnsi" w:cstheme="majorHAnsi"/>
        </w:rPr>
        <w:t xml:space="preserve"> tzv. nepřímého </w:t>
      </w:r>
      <w:r w:rsidR="0060727F" w:rsidRPr="0060727F">
        <w:rPr>
          <w:rFonts w:asciiTheme="majorHAnsi" w:hAnsiTheme="majorHAnsi" w:cstheme="majorHAnsi"/>
          <w:i/>
        </w:rPr>
        <w:t>refoulement</w:t>
      </w:r>
      <w:r w:rsidR="00B422D9" w:rsidRPr="0060727F">
        <w:rPr>
          <w:rFonts w:asciiTheme="majorHAnsi" w:hAnsiTheme="majorHAnsi" w:cstheme="majorHAnsi"/>
          <w:i/>
        </w:rPr>
        <w:t xml:space="preserve"> </w:t>
      </w:r>
      <w:r w:rsidR="00B422D9">
        <w:rPr>
          <w:rFonts w:asciiTheme="majorHAnsi" w:hAnsiTheme="majorHAnsi" w:cstheme="majorHAnsi"/>
        </w:rPr>
        <w:t>je třeba posoudit nebezpečí porušení článku 3 Úmluvy</w:t>
      </w:r>
      <w:r w:rsidR="0060727F">
        <w:rPr>
          <w:rFonts w:asciiTheme="majorHAnsi" w:hAnsiTheme="majorHAnsi" w:cstheme="majorHAnsi"/>
        </w:rPr>
        <w:t xml:space="preserve">, a to jak vzhledem k tamním podmínkám, tak z hlediska zajištění přístupu žadatele k adekvátní azylové proceduře. Stát se </w:t>
      </w:r>
      <w:r w:rsidR="00E00EEA">
        <w:rPr>
          <w:rFonts w:asciiTheme="majorHAnsi" w:hAnsiTheme="majorHAnsi" w:cstheme="majorHAnsi"/>
        </w:rPr>
        <w:t>totiž</w:t>
      </w:r>
      <w:r w:rsidR="0060727F">
        <w:rPr>
          <w:rFonts w:asciiTheme="majorHAnsi" w:hAnsiTheme="majorHAnsi" w:cstheme="majorHAnsi"/>
        </w:rPr>
        <w:t xml:space="preserve"> musí ujistit, že zprostředkující země poskytne dostatečně záruky, že cizince nenavrátí do jeho země původu bez posouzení hrozeb, kterým by tam čelil. </w:t>
      </w:r>
    </w:p>
    <w:p w:rsidR="002E2920" w:rsidRDefault="002E2920" w:rsidP="008535DF">
      <w:pPr>
        <w:pStyle w:val="Odstavecseseznamem"/>
        <w:jc w:val="both"/>
        <w:rPr>
          <w:rFonts w:asciiTheme="majorHAnsi" w:hAnsiTheme="majorHAnsi" w:cstheme="majorHAnsi"/>
        </w:rPr>
      </w:pPr>
    </w:p>
    <w:p w:rsidR="00610130" w:rsidRDefault="002E2920" w:rsidP="008535DF">
      <w:pPr>
        <w:pStyle w:val="Odstavecseseznamem"/>
        <w:jc w:val="both"/>
        <w:rPr>
          <w:rFonts w:asciiTheme="majorHAnsi" w:hAnsiTheme="majorHAnsi" w:cstheme="majorHAnsi"/>
        </w:rPr>
      </w:pPr>
      <w:r>
        <w:rPr>
          <w:rFonts w:asciiTheme="majorHAnsi" w:hAnsiTheme="majorHAnsi" w:cstheme="majorHAnsi"/>
        </w:rPr>
        <w:t xml:space="preserve">Ve věci </w:t>
      </w:r>
      <w:r w:rsidRPr="00FC1E4F">
        <w:rPr>
          <w:rFonts w:asciiTheme="majorHAnsi" w:hAnsiTheme="majorHAnsi" w:cstheme="majorHAnsi"/>
          <w:b/>
          <w:i/>
        </w:rPr>
        <w:t>M. S. S. proti Belgii a Řecku</w:t>
      </w:r>
      <w:r>
        <w:rPr>
          <w:rFonts w:asciiTheme="majorHAnsi" w:hAnsiTheme="majorHAnsi" w:cstheme="majorHAnsi"/>
        </w:rPr>
        <w:t xml:space="preserve"> </w:t>
      </w:r>
      <w:r w:rsidR="00FC1E4F">
        <w:rPr>
          <w:rFonts w:asciiTheme="majorHAnsi" w:hAnsiTheme="majorHAnsi" w:cstheme="majorHAnsi"/>
        </w:rPr>
        <w:t xml:space="preserve">(č. </w:t>
      </w:r>
      <w:r w:rsidR="007A775D">
        <w:rPr>
          <w:rFonts w:asciiTheme="majorHAnsi" w:hAnsiTheme="majorHAnsi" w:cstheme="majorHAnsi"/>
        </w:rPr>
        <w:t>30696/09, rozsudek velkého senátu ze dne 21. ledna 2011</w:t>
      </w:r>
      <w:r w:rsidR="00FC1E4F">
        <w:rPr>
          <w:rFonts w:asciiTheme="majorHAnsi" w:hAnsiTheme="majorHAnsi" w:cstheme="majorHAnsi"/>
        </w:rPr>
        <w:t>)</w:t>
      </w:r>
      <w:r w:rsidR="00F2204E">
        <w:rPr>
          <w:rFonts w:asciiTheme="majorHAnsi" w:hAnsiTheme="majorHAnsi" w:cstheme="majorHAnsi"/>
        </w:rPr>
        <w:t xml:space="preserve"> </w:t>
      </w:r>
      <w:r>
        <w:rPr>
          <w:rFonts w:asciiTheme="majorHAnsi" w:hAnsiTheme="majorHAnsi" w:cstheme="majorHAnsi"/>
        </w:rPr>
        <w:t xml:space="preserve">se Soud zabýval navrácením stěžovatele z Belgie do Řecka na základě </w:t>
      </w:r>
      <w:r w:rsidR="00610130">
        <w:rPr>
          <w:rFonts w:asciiTheme="majorHAnsi" w:hAnsiTheme="majorHAnsi" w:cstheme="majorHAnsi"/>
        </w:rPr>
        <w:t>tzv. d</w:t>
      </w:r>
      <w:r>
        <w:rPr>
          <w:rFonts w:asciiTheme="majorHAnsi" w:hAnsiTheme="majorHAnsi" w:cstheme="majorHAnsi"/>
        </w:rPr>
        <w:t xml:space="preserve">ublinského nařízení, jež stanoví, který členský stát EU je zodpovědný za </w:t>
      </w:r>
      <w:r w:rsidR="00007D25">
        <w:rPr>
          <w:rFonts w:asciiTheme="majorHAnsi" w:hAnsiTheme="majorHAnsi" w:cstheme="majorHAnsi"/>
        </w:rPr>
        <w:t>vyřízení</w:t>
      </w:r>
      <w:r>
        <w:rPr>
          <w:rFonts w:asciiTheme="majorHAnsi" w:hAnsiTheme="majorHAnsi" w:cstheme="majorHAnsi"/>
        </w:rPr>
        <w:t xml:space="preserve"> azylové žádosti. </w:t>
      </w:r>
      <w:r w:rsidR="00610130">
        <w:rPr>
          <w:rFonts w:asciiTheme="majorHAnsi" w:hAnsiTheme="majorHAnsi" w:cstheme="majorHAnsi"/>
        </w:rPr>
        <w:t xml:space="preserve">Soud konstatoval, že by bylo v rozporu s článkem </w:t>
      </w:r>
      <w:r w:rsidR="00F2204E">
        <w:rPr>
          <w:rFonts w:asciiTheme="majorHAnsi" w:hAnsiTheme="majorHAnsi" w:cstheme="majorHAnsi"/>
        </w:rPr>
        <w:t>13</w:t>
      </w:r>
      <w:r w:rsidR="00F215E8">
        <w:rPr>
          <w:rFonts w:asciiTheme="majorHAnsi" w:hAnsiTheme="majorHAnsi" w:cstheme="majorHAnsi"/>
        </w:rPr>
        <w:t>(právo a účinný právní prostředek nápravy)</w:t>
      </w:r>
      <w:r w:rsidR="00F2204E">
        <w:rPr>
          <w:rFonts w:asciiTheme="majorHAnsi" w:hAnsiTheme="majorHAnsi" w:cstheme="majorHAnsi"/>
        </w:rPr>
        <w:t xml:space="preserve"> ve spojení s článkem 3 </w:t>
      </w:r>
      <w:r w:rsidR="00610130">
        <w:rPr>
          <w:rFonts w:asciiTheme="majorHAnsi" w:hAnsiTheme="majorHAnsi" w:cstheme="majorHAnsi"/>
        </w:rPr>
        <w:t>Úmluvy navrátit žadatele o azyl do Řecka, když shledal, že tamní azylový systém neposkytuje dostatečné záruky před arbitrárním vyhoštěním. Vyvrátil tak domněnku</w:t>
      </w:r>
      <w:r w:rsidR="0062046A">
        <w:rPr>
          <w:rFonts w:asciiTheme="majorHAnsi" w:hAnsiTheme="majorHAnsi" w:cstheme="majorHAnsi"/>
        </w:rPr>
        <w:t xml:space="preserve"> platící v právu EU</w:t>
      </w:r>
      <w:r w:rsidR="00610130">
        <w:rPr>
          <w:rFonts w:asciiTheme="majorHAnsi" w:hAnsiTheme="majorHAnsi" w:cstheme="majorHAnsi"/>
        </w:rPr>
        <w:t>, že stát účastnící se dublinskému systému v rámci EU respektuje základní práva.</w:t>
      </w:r>
      <w:r w:rsidR="00007D25">
        <w:rPr>
          <w:rFonts w:asciiTheme="majorHAnsi" w:hAnsiTheme="majorHAnsi" w:cstheme="majorHAnsi"/>
        </w:rPr>
        <w:t xml:space="preserve"> Systémový problém řeckého azylového </w:t>
      </w:r>
      <w:r w:rsidR="00007D25">
        <w:rPr>
          <w:rFonts w:asciiTheme="majorHAnsi" w:hAnsiTheme="majorHAnsi" w:cstheme="majorHAnsi"/>
        </w:rPr>
        <w:lastRenderedPageBreak/>
        <w:t xml:space="preserve">systému je shledáván dodnes a je tak v rozporu s článkem 3 Úmluvy tam navracet jakéhokoliv žadatele o azyl. </w:t>
      </w:r>
    </w:p>
    <w:p w:rsidR="00E00EEA" w:rsidRDefault="00E00EEA" w:rsidP="008535DF">
      <w:pPr>
        <w:pStyle w:val="Odstavecseseznamem"/>
        <w:jc w:val="both"/>
        <w:rPr>
          <w:rFonts w:asciiTheme="majorHAnsi" w:hAnsiTheme="majorHAnsi" w:cstheme="majorHAnsi"/>
        </w:rPr>
      </w:pPr>
    </w:p>
    <w:p w:rsidR="00E00EEA" w:rsidRDefault="00007D25" w:rsidP="008535DF">
      <w:pPr>
        <w:pStyle w:val="Odstavecseseznamem"/>
        <w:jc w:val="both"/>
        <w:rPr>
          <w:rFonts w:asciiTheme="majorHAnsi" w:hAnsiTheme="majorHAnsi" w:cstheme="majorHAnsi"/>
        </w:rPr>
      </w:pPr>
      <w:r>
        <w:rPr>
          <w:rFonts w:asciiTheme="majorHAnsi" w:hAnsiTheme="majorHAnsi" w:cstheme="majorHAnsi"/>
        </w:rPr>
        <w:t>V</w:t>
      </w:r>
      <w:r w:rsidR="00FC1E4F">
        <w:rPr>
          <w:rFonts w:asciiTheme="majorHAnsi" w:hAnsiTheme="majorHAnsi" w:cstheme="majorHAnsi"/>
        </w:rPr>
        <w:t>elký senát</w:t>
      </w:r>
      <w:r>
        <w:rPr>
          <w:rFonts w:asciiTheme="majorHAnsi" w:hAnsiTheme="majorHAnsi" w:cstheme="majorHAnsi"/>
        </w:rPr>
        <w:t xml:space="preserve"> pak v</w:t>
      </w:r>
      <w:r w:rsidR="00FC1E4F">
        <w:rPr>
          <w:rFonts w:asciiTheme="majorHAnsi" w:hAnsiTheme="majorHAnsi" w:cstheme="majorHAnsi"/>
        </w:rPr>
        <w:t xml:space="preserve"> nedávn</w:t>
      </w:r>
      <w:r>
        <w:rPr>
          <w:rFonts w:asciiTheme="majorHAnsi" w:hAnsiTheme="majorHAnsi" w:cstheme="majorHAnsi"/>
        </w:rPr>
        <w:t>é</w:t>
      </w:r>
      <w:r w:rsidR="00FC1E4F">
        <w:rPr>
          <w:rFonts w:asciiTheme="majorHAnsi" w:hAnsiTheme="majorHAnsi" w:cstheme="majorHAnsi"/>
        </w:rPr>
        <w:t xml:space="preserve"> věci </w:t>
      </w:r>
      <w:r w:rsidR="00FC1E4F" w:rsidRPr="00007D25">
        <w:rPr>
          <w:rFonts w:asciiTheme="majorHAnsi" w:hAnsiTheme="majorHAnsi" w:cstheme="majorHAnsi"/>
          <w:b/>
          <w:i/>
        </w:rPr>
        <w:t>Ilias a Ahmed proti Maďarsku</w:t>
      </w:r>
      <w:r>
        <w:rPr>
          <w:rFonts w:asciiTheme="majorHAnsi" w:hAnsiTheme="majorHAnsi" w:cstheme="majorHAnsi"/>
        </w:rPr>
        <w:t xml:space="preserve"> (č. </w:t>
      </w:r>
      <w:r w:rsidR="00792811">
        <w:rPr>
          <w:rFonts w:asciiTheme="majorHAnsi" w:hAnsiTheme="majorHAnsi" w:cstheme="majorHAnsi"/>
        </w:rPr>
        <w:t>47287/15, rozsudek velkého senátu ze dne 21. listopadu 2019</w:t>
      </w:r>
      <w:r>
        <w:rPr>
          <w:rFonts w:asciiTheme="majorHAnsi" w:hAnsiTheme="majorHAnsi" w:cstheme="majorHAnsi"/>
        </w:rPr>
        <w:t>) řešil otázku možnosti navrácení žadatele o azyl z členské země EU bez meritorního přezkumu jeho azylové žádosti do tzv. bezpečné třetí země</w:t>
      </w:r>
      <w:r w:rsidR="00DD3EE7">
        <w:rPr>
          <w:rFonts w:asciiTheme="majorHAnsi" w:hAnsiTheme="majorHAnsi" w:cstheme="majorHAnsi"/>
        </w:rPr>
        <w:t xml:space="preserve">, což umožňuje </w:t>
      </w:r>
      <w:r w:rsidR="00DD3EE7" w:rsidRPr="00DD3EE7">
        <w:rPr>
          <w:rFonts w:asciiTheme="majorHAnsi" w:hAnsiTheme="majorHAnsi" w:cstheme="majorHAnsi"/>
        </w:rPr>
        <w:t>směrnice Evropského parlamentu a Rady 2013/32/EU ze dne 26. června 2013 o společných řízeních pro přiznávání a odnímání statusu mezinárodní ochrany</w:t>
      </w:r>
      <w:r w:rsidR="00DD3EE7">
        <w:rPr>
          <w:rFonts w:asciiTheme="majorHAnsi" w:hAnsiTheme="majorHAnsi" w:cstheme="majorHAnsi"/>
        </w:rPr>
        <w:t>.</w:t>
      </w:r>
      <w:r w:rsidR="007E7D3B">
        <w:rPr>
          <w:rFonts w:asciiTheme="majorHAnsi" w:hAnsiTheme="majorHAnsi" w:cstheme="majorHAnsi"/>
        </w:rPr>
        <w:t xml:space="preserve"> Maďarsko danou zrychlenou proceduru uplatňovalo v tranzitním prostoru na srbsko-maďarských hranicích v době tamního masového přílivu migrantů.</w:t>
      </w:r>
      <w:r w:rsidR="006E55A7">
        <w:rPr>
          <w:rFonts w:asciiTheme="majorHAnsi" w:hAnsiTheme="majorHAnsi" w:cstheme="majorHAnsi"/>
        </w:rPr>
        <w:t xml:space="preserve"> </w:t>
      </w:r>
      <w:r w:rsidR="006E55A7" w:rsidRPr="006E55A7">
        <w:rPr>
          <w:rFonts w:asciiTheme="majorHAnsi" w:hAnsiTheme="majorHAnsi" w:cstheme="majorHAnsi"/>
          <w:b/>
        </w:rPr>
        <w:t>Podívejte se na daný případ, a to hlavně na §§ 98</w:t>
      </w:r>
      <w:r w:rsidR="006E55A7">
        <w:rPr>
          <w:rFonts w:asciiTheme="majorHAnsi" w:hAnsiTheme="majorHAnsi" w:cstheme="majorHAnsi"/>
          <w:b/>
        </w:rPr>
        <w:t>, 123</w:t>
      </w:r>
      <w:r w:rsidR="006E55A7" w:rsidRPr="006E55A7">
        <w:rPr>
          <w:rFonts w:asciiTheme="majorHAnsi" w:hAnsiTheme="majorHAnsi" w:cstheme="majorHAnsi"/>
          <w:b/>
        </w:rPr>
        <w:t>–179, a odpovězte na následující otázky</w:t>
      </w:r>
      <w:r w:rsidR="006E55A7">
        <w:rPr>
          <w:rFonts w:asciiTheme="majorHAnsi" w:hAnsiTheme="majorHAnsi" w:cstheme="majorHAnsi"/>
        </w:rPr>
        <w:t xml:space="preserve">. </w:t>
      </w:r>
    </w:p>
    <w:p w:rsidR="00007D25" w:rsidRDefault="00007D25" w:rsidP="008535DF">
      <w:pPr>
        <w:pStyle w:val="Odstavecseseznamem"/>
        <w:jc w:val="both"/>
        <w:rPr>
          <w:rFonts w:asciiTheme="majorHAnsi" w:hAnsiTheme="majorHAnsi" w:cstheme="majorHAnsi"/>
        </w:rPr>
      </w:pPr>
    </w:p>
    <w:p w:rsidR="00007D25" w:rsidRPr="006E55A7" w:rsidRDefault="00007D25" w:rsidP="008535DF">
      <w:pPr>
        <w:pStyle w:val="Odstavecseseznamem"/>
        <w:jc w:val="both"/>
        <w:rPr>
          <w:rFonts w:asciiTheme="majorHAnsi" w:hAnsiTheme="majorHAnsi" w:cstheme="majorHAnsi"/>
          <w:b/>
        </w:rPr>
      </w:pPr>
      <w:r w:rsidRPr="006E55A7">
        <w:rPr>
          <w:rFonts w:asciiTheme="majorHAnsi" w:hAnsiTheme="majorHAnsi" w:cstheme="majorHAnsi"/>
          <w:b/>
        </w:rPr>
        <w:t>Otázky</w:t>
      </w:r>
    </w:p>
    <w:p w:rsidR="00007D25" w:rsidRDefault="00007D25" w:rsidP="008535DF">
      <w:pPr>
        <w:pStyle w:val="Odstavecseseznamem"/>
        <w:jc w:val="both"/>
        <w:rPr>
          <w:rFonts w:asciiTheme="majorHAnsi" w:hAnsiTheme="majorHAnsi" w:cstheme="majorHAnsi"/>
        </w:rPr>
      </w:pPr>
    </w:p>
    <w:p w:rsidR="00007D25" w:rsidRDefault="00782EDA" w:rsidP="00007D25">
      <w:pPr>
        <w:pStyle w:val="Odstavecseseznamem"/>
        <w:numPr>
          <w:ilvl w:val="0"/>
          <w:numId w:val="3"/>
        </w:numPr>
        <w:jc w:val="both"/>
        <w:rPr>
          <w:rFonts w:asciiTheme="majorHAnsi" w:hAnsiTheme="majorHAnsi" w:cstheme="majorHAnsi"/>
        </w:rPr>
      </w:pPr>
      <w:r>
        <w:rPr>
          <w:rFonts w:asciiTheme="majorHAnsi" w:hAnsiTheme="majorHAnsi" w:cstheme="majorHAnsi"/>
        </w:rPr>
        <w:t>Za jakých podmínek může stát vyhostit žadatele o azyl do tzv. třetí bezpečné země bez meritorního přezkumu jeho žádosti, aby takový postup byl souladný s článkem 3 Úmluv</w:t>
      </w:r>
      <w:r w:rsidR="00F66C69">
        <w:rPr>
          <w:rFonts w:asciiTheme="majorHAnsi" w:hAnsiTheme="majorHAnsi" w:cstheme="majorHAnsi"/>
        </w:rPr>
        <w:t>y</w:t>
      </w:r>
      <w:r>
        <w:rPr>
          <w:rFonts w:asciiTheme="majorHAnsi" w:hAnsiTheme="majorHAnsi" w:cstheme="majorHAnsi"/>
        </w:rPr>
        <w:t xml:space="preserve">? </w:t>
      </w:r>
    </w:p>
    <w:p w:rsidR="00782EDA" w:rsidRDefault="00782EDA" w:rsidP="00782EDA">
      <w:pPr>
        <w:pStyle w:val="Odstavecseseznamem"/>
        <w:ind w:left="1501"/>
        <w:jc w:val="both"/>
        <w:rPr>
          <w:rFonts w:asciiTheme="majorHAnsi" w:hAnsiTheme="majorHAnsi" w:cstheme="majorHAnsi"/>
        </w:rPr>
      </w:pPr>
    </w:p>
    <w:p w:rsidR="00BC3784" w:rsidRPr="006B68AF" w:rsidRDefault="0058799C" w:rsidP="008535DF">
      <w:pPr>
        <w:pStyle w:val="Odstavecseseznamem"/>
        <w:numPr>
          <w:ilvl w:val="0"/>
          <w:numId w:val="3"/>
        </w:numPr>
        <w:jc w:val="both"/>
        <w:rPr>
          <w:rFonts w:asciiTheme="majorHAnsi" w:hAnsiTheme="majorHAnsi" w:cstheme="majorHAnsi"/>
        </w:rPr>
      </w:pPr>
      <w:r>
        <w:rPr>
          <w:rFonts w:asciiTheme="majorHAnsi" w:hAnsiTheme="majorHAnsi" w:cstheme="majorHAnsi"/>
        </w:rPr>
        <w:t xml:space="preserve">Je nutné, aby se smluvní strana zabývala možný porušením článku 3 Úmluvy při navracené žadatele do bezpečné třetí země, pokud je jeho žádost zjevně neodůvodněná? Svou odpověď zdůvodněte. </w:t>
      </w:r>
    </w:p>
    <w:p w:rsidR="00AF7379" w:rsidRDefault="00AF7379" w:rsidP="00B0099A">
      <w:pPr>
        <w:pStyle w:val="Odstavecseseznamem"/>
        <w:jc w:val="both"/>
        <w:rPr>
          <w:rFonts w:asciiTheme="majorHAnsi" w:hAnsiTheme="majorHAnsi" w:cstheme="majorHAnsi"/>
        </w:rPr>
      </w:pPr>
    </w:p>
    <w:p w:rsidR="00AF7379" w:rsidRDefault="00AF7379" w:rsidP="00287B22">
      <w:pPr>
        <w:pStyle w:val="Odstavecseseznamem"/>
        <w:pBdr>
          <w:bottom w:val="single" w:sz="4" w:space="1" w:color="auto"/>
        </w:pBdr>
        <w:jc w:val="both"/>
        <w:rPr>
          <w:rFonts w:asciiTheme="majorHAnsi" w:hAnsiTheme="majorHAnsi" w:cstheme="majorHAnsi"/>
        </w:rPr>
      </w:pPr>
      <w:r w:rsidRPr="00AF7379">
        <w:rPr>
          <w:rFonts w:asciiTheme="majorHAnsi" w:hAnsiTheme="majorHAnsi" w:cstheme="majorHAnsi"/>
        </w:rPr>
        <w:t xml:space="preserve">6. </w:t>
      </w:r>
      <w:r w:rsidRPr="008B5550">
        <w:rPr>
          <w:rFonts w:asciiTheme="majorHAnsi" w:hAnsiTheme="majorHAnsi" w:cstheme="majorHAnsi"/>
          <w:i/>
        </w:rPr>
        <w:t>Non-refoulement</w:t>
      </w:r>
      <w:r w:rsidRPr="00AF7379">
        <w:rPr>
          <w:rFonts w:asciiTheme="majorHAnsi" w:hAnsiTheme="majorHAnsi" w:cstheme="majorHAnsi"/>
        </w:rPr>
        <w:t xml:space="preserve"> na </w:t>
      </w:r>
      <w:r w:rsidR="007C6AFF">
        <w:rPr>
          <w:rFonts w:asciiTheme="majorHAnsi" w:hAnsiTheme="majorHAnsi" w:cstheme="majorHAnsi"/>
        </w:rPr>
        <w:t xml:space="preserve">volném </w:t>
      </w:r>
      <w:r w:rsidRPr="00AF7379">
        <w:rPr>
          <w:rFonts w:asciiTheme="majorHAnsi" w:hAnsiTheme="majorHAnsi" w:cstheme="majorHAnsi"/>
        </w:rPr>
        <w:t>moři ne</w:t>
      </w:r>
      <w:r w:rsidR="00F66C69">
        <w:rPr>
          <w:rFonts w:asciiTheme="majorHAnsi" w:hAnsiTheme="majorHAnsi" w:cstheme="majorHAnsi"/>
        </w:rPr>
        <w:t>bo</w:t>
      </w:r>
      <w:r w:rsidRPr="00AF7379">
        <w:rPr>
          <w:rFonts w:asciiTheme="majorHAnsi" w:hAnsiTheme="majorHAnsi" w:cstheme="majorHAnsi"/>
        </w:rPr>
        <w:t xml:space="preserve"> na hranicích</w:t>
      </w:r>
      <w:r w:rsidR="008B5550">
        <w:rPr>
          <w:rFonts w:asciiTheme="majorHAnsi" w:hAnsiTheme="majorHAnsi" w:cstheme="majorHAnsi"/>
        </w:rPr>
        <w:t xml:space="preserve"> – otázka jurisdikce</w:t>
      </w:r>
    </w:p>
    <w:p w:rsidR="00AF7379" w:rsidRDefault="00AF7379" w:rsidP="00B0099A">
      <w:pPr>
        <w:pStyle w:val="Odstavecseseznamem"/>
        <w:jc w:val="both"/>
        <w:rPr>
          <w:rFonts w:asciiTheme="majorHAnsi" w:hAnsiTheme="majorHAnsi" w:cstheme="majorHAnsi"/>
        </w:rPr>
      </w:pPr>
    </w:p>
    <w:p w:rsidR="0076607D" w:rsidRDefault="00555907" w:rsidP="00B0099A">
      <w:pPr>
        <w:pStyle w:val="Odstavecseseznamem"/>
        <w:jc w:val="both"/>
        <w:rPr>
          <w:rFonts w:asciiTheme="majorHAnsi" w:hAnsiTheme="majorHAnsi" w:cstheme="majorHAnsi"/>
        </w:rPr>
      </w:pPr>
      <w:r>
        <w:rPr>
          <w:rFonts w:asciiTheme="majorHAnsi" w:hAnsiTheme="majorHAnsi" w:cstheme="majorHAnsi"/>
        </w:rPr>
        <w:t>Aby cizinec mohl požívat ochrany</w:t>
      </w:r>
      <w:r w:rsidR="005C1792">
        <w:rPr>
          <w:rFonts w:asciiTheme="majorHAnsi" w:hAnsiTheme="majorHAnsi" w:cstheme="majorHAnsi"/>
        </w:rPr>
        <w:t xml:space="preserve"> Úmluvy musí na základě článku 1 Úmluvy podléhat jurisdikci </w:t>
      </w:r>
      <w:r w:rsidR="00F66C69">
        <w:rPr>
          <w:rFonts w:asciiTheme="majorHAnsi" w:hAnsiTheme="majorHAnsi" w:cstheme="majorHAnsi"/>
        </w:rPr>
        <w:t>alespoň</w:t>
      </w:r>
      <w:r w:rsidR="005C1792">
        <w:rPr>
          <w:rFonts w:asciiTheme="majorHAnsi" w:hAnsiTheme="majorHAnsi" w:cstheme="majorHAnsi"/>
        </w:rPr>
        <w:t xml:space="preserve"> jedné ze smluvních stran. Soud přitom ve své jud</w:t>
      </w:r>
      <w:r w:rsidR="00927D53">
        <w:rPr>
          <w:rFonts w:asciiTheme="majorHAnsi" w:hAnsiTheme="majorHAnsi" w:cstheme="majorHAnsi"/>
        </w:rPr>
        <w:t>i</w:t>
      </w:r>
      <w:r w:rsidR="005C1792">
        <w:rPr>
          <w:rFonts w:asciiTheme="majorHAnsi" w:hAnsiTheme="majorHAnsi" w:cstheme="majorHAnsi"/>
        </w:rPr>
        <w:t xml:space="preserve">katuře </w:t>
      </w:r>
      <w:r w:rsidR="00927D53">
        <w:rPr>
          <w:rFonts w:asciiTheme="majorHAnsi" w:hAnsiTheme="majorHAnsi" w:cstheme="majorHAnsi"/>
        </w:rPr>
        <w:t>dovodil</w:t>
      </w:r>
      <w:r w:rsidR="005C1792">
        <w:rPr>
          <w:rFonts w:asciiTheme="majorHAnsi" w:hAnsiTheme="majorHAnsi" w:cstheme="majorHAnsi"/>
        </w:rPr>
        <w:t>, že článek 2 a 3 Úmluv</w:t>
      </w:r>
      <w:r w:rsidR="00F66C69">
        <w:rPr>
          <w:rFonts w:asciiTheme="majorHAnsi" w:hAnsiTheme="majorHAnsi" w:cstheme="majorHAnsi"/>
        </w:rPr>
        <w:t>y</w:t>
      </w:r>
      <w:r w:rsidR="005C1792">
        <w:rPr>
          <w:rFonts w:asciiTheme="majorHAnsi" w:hAnsiTheme="majorHAnsi" w:cstheme="majorHAnsi"/>
        </w:rPr>
        <w:t xml:space="preserve"> se </w:t>
      </w:r>
      <w:r w:rsidR="0076607D">
        <w:rPr>
          <w:rFonts w:asciiTheme="majorHAnsi" w:hAnsiTheme="majorHAnsi" w:cstheme="majorHAnsi"/>
        </w:rPr>
        <w:t>uplatní i na hranicích smluvního státu nebo na případ</w:t>
      </w:r>
      <w:r w:rsidR="00F66C69">
        <w:rPr>
          <w:rFonts w:asciiTheme="majorHAnsi" w:hAnsiTheme="majorHAnsi" w:cstheme="majorHAnsi"/>
        </w:rPr>
        <w:t>y</w:t>
      </w:r>
      <w:r w:rsidR="0076607D">
        <w:rPr>
          <w:rFonts w:asciiTheme="majorHAnsi" w:hAnsiTheme="majorHAnsi" w:cstheme="majorHAnsi"/>
        </w:rPr>
        <w:t xml:space="preserve"> tzv. </w:t>
      </w:r>
      <w:proofErr w:type="spellStart"/>
      <w:r w:rsidR="0076607D">
        <w:rPr>
          <w:rFonts w:asciiTheme="majorHAnsi" w:hAnsiTheme="majorHAnsi" w:cstheme="majorHAnsi"/>
        </w:rPr>
        <w:t>push-back</w:t>
      </w:r>
      <w:proofErr w:type="spellEnd"/>
      <w:r w:rsidR="0076607D">
        <w:rPr>
          <w:rFonts w:asciiTheme="majorHAnsi" w:hAnsiTheme="majorHAnsi" w:cstheme="majorHAnsi"/>
        </w:rPr>
        <w:t xml:space="preserve"> operací na volném moři.</w:t>
      </w:r>
    </w:p>
    <w:p w:rsidR="005C1792" w:rsidRDefault="005C1792" w:rsidP="00B0099A">
      <w:pPr>
        <w:pStyle w:val="Odstavecseseznamem"/>
        <w:jc w:val="both"/>
        <w:rPr>
          <w:rFonts w:asciiTheme="majorHAnsi" w:hAnsiTheme="majorHAnsi" w:cstheme="majorHAnsi"/>
        </w:rPr>
      </w:pPr>
    </w:p>
    <w:p w:rsidR="008762D3" w:rsidRDefault="0055116F" w:rsidP="00B0099A">
      <w:pPr>
        <w:pStyle w:val="Odstavecseseznamem"/>
        <w:jc w:val="both"/>
        <w:rPr>
          <w:rFonts w:asciiTheme="majorHAnsi" w:hAnsiTheme="majorHAnsi" w:cstheme="majorHAnsi"/>
        </w:rPr>
      </w:pPr>
      <w:r>
        <w:rPr>
          <w:rFonts w:asciiTheme="majorHAnsi" w:hAnsiTheme="majorHAnsi" w:cstheme="majorHAnsi"/>
        </w:rPr>
        <w:t>Ve v</w:t>
      </w:r>
      <w:r w:rsidR="005C1792">
        <w:rPr>
          <w:rFonts w:asciiTheme="majorHAnsi" w:hAnsiTheme="majorHAnsi" w:cstheme="majorHAnsi"/>
        </w:rPr>
        <w:t>ěc</w:t>
      </w:r>
      <w:r>
        <w:rPr>
          <w:rFonts w:asciiTheme="majorHAnsi" w:hAnsiTheme="majorHAnsi" w:cstheme="majorHAnsi"/>
        </w:rPr>
        <w:t>i</w:t>
      </w:r>
      <w:r w:rsidR="005C1792">
        <w:rPr>
          <w:rFonts w:asciiTheme="majorHAnsi" w:hAnsiTheme="majorHAnsi" w:cstheme="majorHAnsi"/>
        </w:rPr>
        <w:t xml:space="preserve"> </w:t>
      </w:r>
      <w:proofErr w:type="spellStart"/>
      <w:r w:rsidR="005C1792" w:rsidRPr="0055116F">
        <w:rPr>
          <w:rFonts w:asciiTheme="majorHAnsi" w:hAnsiTheme="majorHAnsi" w:cstheme="majorHAnsi"/>
          <w:b/>
          <w:i/>
        </w:rPr>
        <w:t>Hirsi</w:t>
      </w:r>
      <w:proofErr w:type="spellEnd"/>
      <w:r w:rsidR="005C1792" w:rsidRPr="0055116F">
        <w:rPr>
          <w:rFonts w:asciiTheme="majorHAnsi" w:hAnsiTheme="majorHAnsi" w:cstheme="majorHAnsi"/>
          <w:b/>
          <w:i/>
        </w:rPr>
        <w:t xml:space="preserve"> </w:t>
      </w:r>
      <w:proofErr w:type="spellStart"/>
      <w:r w:rsidR="005C1792" w:rsidRPr="0055116F">
        <w:rPr>
          <w:rFonts w:asciiTheme="majorHAnsi" w:hAnsiTheme="majorHAnsi" w:cstheme="majorHAnsi"/>
          <w:b/>
          <w:i/>
        </w:rPr>
        <w:t>Jamaa</w:t>
      </w:r>
      <w:proofErr w:type="spellEnd"/>
      <w:r w:rsidR="005C1792" w:rsidRPr="0055116F">
        <w:rPr>
          <w:rFonts w:asciiTheme="majorHAnsi" w:hAnsiTheme="majorHAnsi" w:cstheme="majorHAnsi"/>
          <w:b/>
          <w:i/>
        </w:rPr>
        <w:t xml:space="preserve"> a ostatní proti Itálii</w:t>
      </w:r>
      <w:r w:rsidR="005C1792">
        <w:rPr>
          <w:rFonts w:asciiTheme="majorHAnsi" w:hAnsiTheme="majorHAnsi" w:cstheme="majorHAnsi"/>
        </w:rPr>
        <w:t xml:space="preserve"> (č. 27765/09, rozsudek velkého senátu </w:t>
      </w:r>
      <w:r w:rsidR="002E5DC8">
        <w:rPr>
          <w:rFonts w:asciiTheme="majorHAnsi" w:hAnsiTheme="majorHAnsi" w:cstheme="majorHAnsi"/>
        </w:rPr>
        <w:t>ze dne 23. února 2012)</w:t>
      </w:r>
      <w:r w:rsidR="005C1792">
        <w:rPr>
          <w:rFonts w:asciiTheme="majorHAnsi" w:hAnsiTheme="majorHAnsi" w:cstheme="majorHAnsi"/>
        </w:rPr>
        <w:t xml:space="preserve"> </w:t>
      </w:r>
      <w:r>
        <w:rPr>
          <w:rFonts w:asciiTheme="majorHAnsi" w:hAnsiTheme="majorHAnsi" w:cstheme="majorHAnsi"/>
        </w:rPr>
        <w:t xml:space="preserve">se jednalo o stěžovatele, kteří byli součástí skupiny čítající asi 200 osob která opustila Libyi s cílem dostat se na italské pobřeží. Lodě byly na své cestě zastaveny 35 námořních mil od ostrova </w:t>
      </w:r>
      <w:proofErr w:type="spellStart"/>
      <w:r>
        <w:rPr>
          <w:rFonts w:asciiTheme="majorHAnsi" w:hAnsiTheme="majorHAnsi" w:cstheme="majorHAnsi"/>
        </w:rPr>
        <w:t>Lampedusa</w:t>
      </w:r>
      <w:proofErr w:type="spellEnd"/>
      <w:r>
        <w:rPr>
          <w:rFonts w:asciiTheme="majorHAnsi" w:hAnsiTheme="majorHAnsi" w:cstheme="majorHAnsi"/>
        </w:rPr>
        <w:t xml:space="preserve">, tj. na volném moři, loděmi italské finanční správy a pobřežní stráže. Pasažéři byli následně přesunuti na italské vojenské lodě a bez jakéhokoliv vysvětlení, identifikace či zkoumání individuálních situací stěžovatelů je </w:t>
      </w:r>
      <w:r w:rsidR="00F66C69">
        <w:rPr>
          <w:rFonts w:asciiTheme="majorHAnsi" w:hAnsiTheme="majorHAnsi" w:cstheme="majorHAnsi"/>
        </w:rPr>
        <w:t xml:space="preserve">italské orgány </w:t>
      </w:r>
      <w:r>
        <w:rPr>
          <w:rFonts w:asciiTheme="majorHAnsi" w:hAnsiTheme="majorHAnsi" w:cstheme="majorHAnsi"/>
        </w:rPr>
        <w:t>navrátil</w:t>
      </w:r>
      <w:r w:rsidR="00F66C69">
        <w:rPr>
          <w:rFonts w:asciiTheme="majorHAnsi" w:hAnsiTheme="majorHAnsi" w:cstheme="majorHAnsi"/>
        </w:rPr>
        <w:t>y</w:t>
      </w:r>
      <w:r>
        <w:rPr>
          <w:rFonts w:asciiTheme="majorHAnsi" w:hAnsiTheme="majorHAnsi" w:cstheme="majorHAnsi"/>
        </w:rPr>
        <w:t xml:space="preserve"> zpět do Libye</w:t>
      </w:r>
      <w:r w:rsidR="0061093C">
        <w:rPr>
          <w:rFonts w:asciiTheme="majorHAnsi" w:hAnsiTheme="majorHAnsi" w:cstheme="majorHAnsi"/>
        </w:rPr>
        <w:t>, aniž by zkoumal</w:t>
      </w:r>
      <w:r w:rsidR="00F66C69">
        <w:rPr>
          <w:rFonts w:asciiTheme="majorHAnsi" w:hAnsiTheme="majorHAnsi" w:cstheme="majorHAnsi"/>
        </w:rPr>
        <w:t>y</w:t>
      </w:r>
      <w:r w:rsidR="00123CE2">
        <w:rPr>
          <w:rFonts w:asciiTheme="majorHAnsi" w:hAnsiTheme="majorHAnsi" w:cstheme="majorHAnsi"/>
        </w:rPr>
        <w:t>,</w:t>
      </w:r>
      <w:r w:rsidR="0061093C">
        <w:rPr>
          <w:rFonts w:asciiTheme="majorHAnsi" w:hAnsiTheme="majorHAnsi" w:cstheme="majorHAnsi"/>
        </w:rPr>
        <w:t xml:space="preserve"> jestli jim zde nebo v jejich zemi původu hrozí nebezpečí v rozporu s článkem 3 Úmluvy</w:t>
      </w:r>
      <w:r>
        <w:rPr>
          <w:rFonts w:asciiTheme="majorHAnsi" w:hAnsiTheme="majorHAnsi" w:cstheme="majorHAnsi"/>
        </w:rPr>
        <w:t xml:space="preserve">.  Soud zde mj. dovodil, že stěžovatelé spadali pod jurisdikci italských orgánů, neboť na volném moři byli vzati na lodě plujících pod italskou vlajkou a po dobu jejich zadržení na italských </w:t>
      </w:r>
      <w:proofErr w:type="gramStart"/>
      <w:r>
        <w:rPr>
          <w:rFonts w:asciiTheme="majorHAnsi" w:hAnsiTheme="majorHAnsi" w:cstheme="majorHAnsi"/>
        </w:rPr>
        <w:t>lodí</w:t>
      </w:r>
      <w:proofErr w:type="gramEnd"/>
      <w:r>
        <w:rPr>
          <w:rFonts w:asciiTheme="majorHAnsi" w:hAnsiTheme="majorHAnsi" w:cstheme="majorHAnsi"/>
        </w:rPr>
        <w:t xml:space="preserve"> se nacházeli jak </w:t>
      </w:r>
      <w:r w:rsidRPr="0055116F">
        <w:rPr>
          <w:rFonts w:asciiTheme="majorHAnsi" w:hAnsiTheme="majorHAnsi" w:cstheme="majorHAnsi"/>
          <w:i/>
        </w:rPr>
        <w:t>de iure</w:t>
      </w:r>
      <w:r>
        <w:rPr>
          <w:rFonts w:asciiTheme="majorHAnsi" w:hAnsiTheme="majorHAnsi" w:cstheme="majorHAnsi"/>
        </w:rPr>
        <w:t xml:space="preserve"> tak </w:t>
      </w:r>
      <w:r w:rsidRPr="0055116F">
        <w:rPr>
          <w:rFonts w:asciiTheme="majorHAnsi" w:hAnsiTheme="majorHAnsi" w:cstheme="majorHAnsi"/>
          <w:i/>
        </w:rPr>
        <w:t>de facto</w:t>
      </w:r>
      <w:r>
        <w:rPr>
          <w:rFonts w:asciiTheme="majorHAnsi" w:hAnsiTheme="majorHAnsi" w:cstheme="majorHAnsi"/>
        </w:rPr>
        <w:t xml:space="preserve"> pod </w:t>
      </w:r>
      <w:r w:rsidR="00F66C69">
        <w:rPr>
          <w:rFonts w:asciiTheme="majorHAnsi" w:hAnsiTheme="majorHAnsi" w:cstheme="majorHAnsi"/>
        </w:rPr>
        <w:t xml:space="preserve">jejich </w:t>
      </w:r>
      <w:r>
        <w:rPr>
          <w:rFonts w:asciiTheme="majorHAnsi" w:hAnsiTheme="majorHAnsi" w:cstheme="majorHAnsi"/>
        </w:rPr>
        <w:t>kontrolou a podléhali t</w:t>
      </w:r>
      <w:r w:rsidR="0090580B">
        <w:rPr>
          <w:rFonts w:asciiTheme="majorHAnsi" w:hAnsiTheme="majorHAnsi" w:cstheme="majorHAnsi"/>
        </w:rPr>
        <w:t>ak</w:t>
      </w:r>
      <w:r>
        <w:rPr>
          <w:rFonts w:asciiTheme="majorHAnsi" w:hAnsiTheme="majorHAnsi" w:cstheme="majorHAnsi"/>
        </w:rPr>
        <w:t xml:space="preserve"> jurisdikci Itálie. Soud </w:t>
      </w:r>
      <w:r w:rsidR="00123CE2">
        <w:rPr>
          <w:rFonts w:asciiTheme="majorHAnsi" w:hAnsiTheme="majorHAnsi" w:cstheme="majorHAnsi"/>
        </w:rPr>
        <w:t>zde kromě porušení článku 3 Úmluvy shledal i porušení čl. 4 Protokolu č. 4, který stanoví zákaz hromadného vyhoštění cizinců.</w:t>
      </w:r>
    </w:p>
    <w:p w:rsidR="008762D3" w:rsidRDefault="008762D3" w:rsidP="00B0099A">
      <w:pPr>
        <w:pStyle w:val="Odstavecseseznamem"/>
        <w:jc w:val="both"/>
        <w:rPr>
          <w:rFonts w:asciiTheme="majorHAnsi" w:hAnsiTheme="majorHAnsi" w:cstheme="majorHAnsi"/>
        </w:rPr>
      </w:pPr>
    </w:p>
    <w:p w:rsidR="00AF7379" w:rsidRDefault="00E46D91" w:rsidP="00501E38">
      <w:pPr>
        <w:pStyle w:val="Odstavecseseznamem"/>
        <w:jc w:val="both"/>
        <w:rPr>
          <w:rFonts w:asciiTheme="majorHAnsi" w:hAnsiTheme="majorHAnsi" w:cstheme="majorHAnsi"/>
        </w:rPr>
      </w:pPr>
      <w:r>
        <w:rPr>
          <w:rFonts w:asciiTheme="majorHAnsi" w:hAnsiTheme="majorHAnsi" w:cstheme="majorHAnsi"/>
        </w:rPr>
        <w:t>V</w:t>
      </w:r>
      <w:r w:rsidR="008762D3">
        <w:rPr>
          <w:rFonts w:asciiTheme="majorHAnsi" w:hAnsiTheme="majorHAnsi" w:cstheme="majorHAnsi"/>
        </w:rPr>
        <w:t xml:space="preserve">ěc </w:t>
      </w:r>
      <w:r w:rsidR="008762D3" w:rsidRPr="00B677BD">
        <w:rPr>
          <w:rFonts w:asciiTheme="majorHAnsi" w:hAnsiTheme="majorHAnsi" w:cstheme="majorHAnsi"/>
          <w:b/>
          <w:i/>
        </w:rPr>
        <w:t>M. A. a ostatní proti Litvě</w:t>
      </w:r>
      <w:r w:rsidR="008762D3">
        <w:rPr>
          <w:rFonts w:asciiTheme="majorHAnsi" w:hAnsiTheme="majorHAnsi" w:cstheme="majorHAnsi"/>
        </w:rPr>
        <w:t xml:space="preserve"> (č. 59793/17, rozsudek ze dne 11. prosince 2018) </w:t>
      </w:r>
      <w:r w:rsidR="00501E38">
        <w:rPr>
          <w:rFonts w:asciiTheme="majorHAnsi" w:hAnsiTheme="majorHAnsi" w:cstheme="majorHAnsi"/>
        </w:rPr>
        <w:t xml:space="preserve">se týkala ruské rodiny se třemi malými dětmi, </w:t>
      </w:r>
      <w:r w:rsidR="00501E38" w:rsidRPr="00501E38">
        <w:rPr>
          <w:rFonts w:asciiTheme="majorHAnsi" w:hAnsiTheme="majorHAnsi" w:cstheme="majorHAnsi"/>
        </w:rPr>
        <w:t>utekli v dubnu 2017 z Čečenska do Běloruska.</w:t>
      </w:r>
      <w:r w:rsidR="00501E38">
        <w:rPr>
          <w:rFonts w:asciiTheme="majorHAnsi" w:hAnsiTheme="majorHAnsi" w:cstheme="majorHAnsi"/>
        </w:rPr>
        <w:t xml:space="preserve"> </w:t>
      </w:r>
      <w:r w:rsidR="00501E38" w:rsidRPr="00501E38">
        <w:rPr>
          <w:rFonts w:asciiTheme="majorHAnsi" w:hAnsiTheme="majorHAnsi" w:cstheme="majorHAnsi"/>
        </w:rPr>
        <w:t>Posléze se pokoušeli</w:t>
      </w:r>
      <w:r w:rsidR="00501E38">
        <w:rPr>
          <w:rFonts w:asciiTheme="majorHAnsi" w:hAnsiTheme="majorHAnsi" w:cstheme="majorHAnsi"/>
        </w:rPr>
        <w:t xml:space="preserve"> </w:t>
      </w:r>
      <w:r w:rsidR="00501E38" w:rsidRPr="00501E38">
        <w:rPr>
          <w:rFonts w:asciiTheme="majorHAnsi" w:hAnsiTheme="majorHAnsi" w:cstheme="majorHAnsi"/>
        </w:rPr>
        <w:t>požádat o mezinárodní ochranu i na hraničních přechodech s Litvou, a to hned třikrát. Před Soudem</w:t>
      </w:r>
      <w:r w:rsidR="00501E38">
        <w:rPr>
          <w:rFonts w:asciiTheme="majorHAnsi" w:hAnsiTheme="majorHAnsi" w:cstheme="majorHAnsi"/>
        </w:rPr>
        <w:t xml:space="preserve"> </w:t>
      </w:r>
      <w:r w:rsidR="00501E38" w:rsidRPr="00501E38">
        <w:rPr>
          <w:rFonts w:asciiTheme="majorHAnsi" w:hAnsiTheme="majorHAnsi" w:cstheme="majorHAnsi"/>
        </w:rPr>
        <w:t xml:space="preserve">namítali, že pohraniční stráž jejich žádosti ani </w:t>
      </w:r>
      <w:r w:rsidR="00501E38" w:rsidRPr="00501E38">
        <w:rPr>
          <w:rFonts w:asciiTheme="majorHAnsi" w:hAnsiTheme="majorHAnsi" w:cstheme="majorHAnsi"/>
        </w:rPr>
        <w:lastRenderedPageBreak/>
        <w:t>jednou nepřevzala a oni byli na základě rozhodnutí o</w:t>
      </w:r>
      <w:r w:rsidR="00501E38">
        <w:rPr>
          <w:rFonts w:asciiTheme="majorHAnsi" w:hAnsiTheme="majorHAnsi" w:cstheme="majorHAnsi"/>
        </w:rPr>
        <w:t xml:space="preserve"> </w:t>
      </w:r>
      <w:r w:rsidR="00501E38" w:rsidRPr="00501E38">
        <w:rPr>
          <w:rFonts w:asciiTheme="majorHAnsi" w:hAnsiTheme="majorHAnsi" w:cstheme="majorHAnsi"/>
        </w:rPr>
        <w:t>odepření vstupu bez jakéhokoliv individuálního posouzení navráceni zpět do Běloruska.</w:t>
      </w:r>
      <w:r w:rsidR="00501E38">
        <w:rPr>
          <w:rFonts w:asciiTheme="majorHAnsi" w:hAnsiTheme="majorHAnsi" w:cstheme="majorHAnsi"/>
        </w:rPr>
        <w:t xml:space="preserve"> </w:t>
      </w:r>
      <w:r w:rsidR="00501E38" w:rsidRPr="00093117">
        <w:rPr>
          <w:rFonts w:asciiTheme="majorHAnsi" w:hAnsiTheme="majorHAnsi" w:cstheme="majorHAnsi"/>
          <w:b/>
        </w:rPr>
        <w:t>Soud v dané věci potvrdil jurisdikci státu na jeho hranicích i právo migrantů na individuální posouzení jejich případů</w:t>
      </w:r>
      <w:r w:rsidR="00501E38" w:rsidRPr="00501E38">
        <w:rPr>
          <w:rFonts w:asciiTheme="majorHAnsi" w:hAnsiTheme="majorHAnsi" w:cstheme="majorHAnsi"/>
        </w:rPr>
        <w:t xml:space="preserve"> </w:t>
      </w:r>
      <w:r w:rsidR="00D26C15">
        <w:rPr>
          <w:rFonts w:asciiTheme="majorHAnsi" w:hAnsiTheme="majorHAnsi" w:cstheme="majorHAnsi"/>
        </w:rPr>
        <w:t xml:space="preserve">s ohledem na absolutní zákaz </w:t>
      </w:r>
      <w:r w:rsidR="00D26C15" w:rsidRPr="00D26C15">
        <w:rPr>
          <w:rFonts w:asciiTheme="majorHAnsi" w:hAnsiTheme="majorHAnsi" w:cstheme="majorHAnsi"/>
          <w:i/>
        </w:rPr>
        <w:t>refoulement</w:t>
      </w:r>
      <w:r w:rsidR="00D26C15">
        <w:rPr>
          <w:rFonts w:asciiTheme="majorHAnsi" w:hAnsiTheme="majorHAnsi" w:cstheme="majorHAnsi"/>
        </w:rPr>
        <w:t xml:space="preserve">. </w:t>
      </w:r>
      <w:r w:rsidR="00D26C15" w:rsidRPr="00E356EC">
        <w:rPr>
          <w:rFonts w:asciiTheme="majorHAnsi" w:hAnsiTheme="majorHAnsi" w:cstheme="majorHAnsi"/>
          <w:b/>
        </w:rPr>
        <w:t>N</w:t>
      </w:r>
      <w:r w:rsidR="00501E38" w:rsidRPr="00E356EC">
        <w:rPr>
          <w:rFonts w:asciiTheme="majorHAnsi" w:hAnsiTheme="majorHAnsi" w:cstheme="majorHAnsi"/>
          <w:b/>
        </w:rPr>
        <w:t>epřiklonil se</w:t>
      </w:r>
      <w:r w:rsidR="00D26C15" w:rsidRPr="00E356EC">
        <w:rPr>
          <w:rFonts w:asciiTheme="majorHAnsi" w:hAnsiTheme="majorHAnsi" w:cstheme="majorHAnsi"/>
          <w:b/>
        </w:rPr>
        <w:t xml:space="preserve"> tedy</w:t>
      </w:r>
      <w:r w:rsidR="00501E38" w:rsidRPr="00E356EC">
        <w:rPr>
          <w:rFonts w:asciiTheme="majorHAnsi" w:hAnsiTheme="majorHAnsi" w:cstheme="majorHAnsi"/>
          <w:b/>
        </w:rPr>
        <w:t xml:space="preserve"> k užšímu výkladu pojmu „vyhoštění“, které by nezahrnovalo situace nepřijetí či odepření vstupu cizince na hranicích.</w:t>
      </w:r>
      <w:r w:rsidR="00501E38">
        <w:rPr>
          <w:rFonts w:asciiTheme="majorHAnsi" w:hAnsiTheme="majorHAnsi" w:cstheme="majorHAnsi"/>
        </w:rPr>
        <w:t xml:space="preserve"> Hlavním rozporem mezi stranami, kterým se Soud v dané věci zabýval, byla otázka, zda stěžovatelé na hraničních přechodech skutečně podali azylovou žádost.</w:t>
      </w:r>
    </w:p>
    <w:p w:rsidR="00501E38" w:rsidRDefault="00501E38" w:rsidP="00501E38">
      <w:pPr>
        <w:pStyle w:val="Odstavecseseznamem"/>
        <w:jc w:val="both"/>
        <w:rPr>
          <w:rFonts w:asciiTheme="majorHAnsi" w:hAnsiTheme="majorHAnsi" w:cstheme="majorHAnsi"/>
        </w:rPr>
      </w:pPr>
    </w:p>
    <w:p w:rsidR="00D26C15" w:rsidRDefault="00093117" w:rsidP="00501E38">
      <w:pPr>
        <w:pStyle w:val="Odstavecseseznamem"/>
        <w:jc w:val="both"/>
        <w:rPr>
          <w:rFonts w:asciiTheme="majorHAnsi" w:hAnsiTheme="majorHAnsi" w:cstheme="majorHAnsi"/>
        </w:rPr>
      </w:pPr>
      <w:r>
        <w:rPr>
          <w:rFonts w:asciiTheme="majorHAnsi" w:hAnsiTheme="majorHAnsi" w:cstheme="majorHAnsi"/>
        </w:rPr>
        <w:t xml:space="preserve">Za zmínku zde stojí souhlasné stanovisko soudce </w:t>
      </w:r>
      <w:r w:rsidRPr="00093117">
        <w:rPr>
          <w:rFonts w:asciiTheme="majorHAnsi" w:hAnsiTheme="majorHAnsi" w:cstheme="majorHAnsi"/>
          <w:i/>
        </w:rPr>
        <w:t xml:space="preserve">Pinta de </w:t>
      </w:r>
      <w:proofErr w:type="spellStart"/>
      <w:r w:rsidRPr="00093117">
        <w:rPr>
          <w:rFonts w:asciiTheme="majorHAnsi" w:hAnsiTheme="majorHAnsi" w:cstheme="majorHAnsi"/>
          <w:i/>
        </w:rPr>
        <w:t>Albuquerque</w:t>
      </w:r>
      <w:proofErr w:type="spellEnd"/>
      <w:r>
        <w:rPr>
          <w:rFonts w:asciiTheme="majorHAnsi" w:hAnsiTheme="majorHAnsi" w:cstheme="majorHAnsi"/>
        </w:rPr>
        <w:t>, který se podrobně zabývá jurisdikcí států na jejich hranicích a absolutní povah</w:t>
      </w:r>
      <w:r w:rsidR="00E356EC">
        <w:rPr>
          <w:rFonts w:asciiTheme="majorHAnsi" w:hAnsiTheme="majorHAnsi" w:cstheme="majorHAnsi"/>
        </w:rPr>
        <w:t>ou</w:t>
      </w:r>
      <w:r>
        <w:rPr>
          <w:rFonts w:asciiTheme="majorHAnsi" w:hAnsiTheme="majorHAnsi" w:cstheme="majorHAnsi"/>
        </w:rPr>
        <w:t xml:space="preserve"> zásady </w:t>
      </w:r>
      <w:r w:rsidRPr="00E356EC">
        <w:rPr>
          <w:rFonts w:asciiTheme="majorHAnsi" w:hAnsiTheme="majorHAnsi" w:cstheme="majorHAnsi"/>
          <w:i/>
        </w:rPr>
        <w:t>non-refoulement</w:t>
      </w:r>
      <w:r>
        <w:rPr>
          <w:rFonts w:asciiTheme="majorHAnsi" w:hAnsiTheme="majorHAnsi" w:cstheme="majorHAnsi"/>
        </w:rPr>
        <w:t xml:space="preserve">. Ten se mj. vyslovil: </w:t>
      </w:r>
    </w:p>
    <w:p w:rsidR="00501E38" w:rsidRDefault="00093117" w:rsidP="00434F67">
      <w:pPr>
        <w:pStyle w:val="Odstavecseseznamem"/>
        <w:ind w:left="1134" w:right="277"/>
        <w:jc w:val="both"/>
        <w:rPr>
          <w:rFonts w:asciiTheme="majorHAnsi" w:hAnsiTheme="majorHAnsi" w:cstheme="majorHAnsi"/>
        </w:rPr>
      </w:pPr>
      <w:r>
        <w:rPr>
          <w:rFonts w:asciiTheme="majorHAnsi" w:hAnsiTheme="majorHAnsi" w:cstheme="majorHAnsi"/>
        </w:rPr>
        <w:t>„</w:t>
      </w:r>
      <w:r w:rsidRPr="00D26C15">
        <w:rPr>
          <w:rFonts w:asciiTheme="majorHAnsi" w:hAnsiTheme="majorHAnsi" w:cstheme="majorHAnsi"/>
          <w:i/>
          <w:sz w:val="21"/>
          <w:lang w:val="en-US"/>
        </w:rPr>
        <w:t>Accepting jurisdiction at the border, but rejecting the principle that migrants who come under the Contracting Parties’ jurisdiction have the right not to be returned or removed without an individual evaluation of each migrant’s claim, would be a hypocritical, self-defeating interpretation of the Convention and its Additional Protocols. To allow people to be rejected</w:t>
      </w:r>
      <w:r w:rsidRPr="00D26C15">
        <w:rPr>
          <w:rFonts w:asciiTheme="majorHAnsi" w:hAnsiTheme="majorHAnsi" w:cstheme="majorHAnsi"/>
          <w:sz w:val="21"/>
          <w:lang w:val="en-US"/>
        </w:rPr>
        <w:t xml:space="preserve"> </w:t>
      </w:r>
      <w:r w:rsidRPr="00D26C15">
        <w:rPr>
          <w:rFonts w:asciiTheme="majorHAnsi" w:hAnsiTheme="majorHAnsi" w:cstheme="majorHAnsi"/>
          <w:i/>
          <w:sz w:val="21"/>
          <w:lang w:val="en-US"/>
        </w:rPr>
        <w:t xml:space="preserve">at land borders and returned without assessing their individual claims amounts to treating them like animals. Migrants are not cattle that can be driven away like </w:t>
      </w:r>
      <w:r w:rsidR="00434F67" w:rsidRPr="00D26C15">
        <w:rPr>
          <w:rFonts w:asciiTheme="majorHAnsi" w:hAnsiTheme="majorHAnsi" w:cstheme="majorHAnsi"/>
          <w:i/>
          <w:sz w:val="21"/>
          <w:lang w:val="en-US"/>
        </w:rPr>
        <w:t>this</w:t>
      </w:r>
      <w:r w:rsidR="00434F67" w:rsidRPr="00D26C15">
        <w:rPr>
          <w:rFonts w:asciiTheme="majorHAnsi" w:hAnsiTheme="majorHAnsi" w:cstheme="majorHAnsi"/>
          <w:sz w:val="21"/>
        </w:rPr>
        <w:t>. “</w:t>
      </w:r>
    </w:p>
    <w:p w:rsidR="00826C62" w:rsidRDefault="00826C62" w:rsidP="00B0099A">
      <w:pPr>
        <w:pStyle w:val="Odstavecseseznamem"/>
        <w:jc w:val="both"/>
        <w:rPr>
          <w:rFonts w:asciiTheme="majorHAnsi" w:hAnsiTheme="majorHAnsi" w:cstheme="majorHAnsi"/>
        </w:rPr>
      </w:pPr>
    </w:p>
    <w:p w:rsidR="00BC3784" w:rsidRDefault="00D5112E" w:rsidP="00B0099A">
      <w:pPr>
        <w:pStyle w:val="Odstavecseseznamem"/>
        <w:jc w:val="both"/>
        <w:rPr>
          <w:rFonts w:asciiTheme="majorHAnsi" w:hAnsiTheme="majorHAnsi" w:cstheme="majorHAnsi"/>
        </w:rPr>
      </w:pPr>
      <w:r>
        <w:rPr>
          <w:rFonts w:asciiTheme="majorHAnsi" w:hAnsiTheme="majorHAnsi" w:cstheme="majorHAnsi"/>
        </w:rPr>
        <w:t>Výše uvedené zmi</w:t>
      </w:r>
      <w:r w:rsidR="00D26C15">
        <w:rPr>
          <w:rFonts w:asciiTheme="majorHAnsi" w:hAnsiTheme="majorHAnsi" w:cstheme="majorHAnsi"/>
        </w:rPr>
        <w:t xml:space="preserve">ňuji </w:t>
      </w:r>
      <w:r w:rsidR="00A10F18">
        <w:rPr>
          <w:rFonts w:asciiTheme="majorHAnsi" w:hAnsiTheme="majorHAnsi" w:cstheme="majorHAnsi"/>
        </w:rPr>
        <w:t>k aktuálnosti daného tématu</w:t>
      </w:r>
      <w:r w:rsidR="0008440E">
        <w:rPr>
          <w:rFonts w:asciiTheme="majorHAnsi" w:hAnsiTheme="majorHAnsi" w:cstheme="majorHAnsi"/>
        </w:rPr>
        <w:t xml:space="preserve"> ve vztahu k </w:t>
      </w:r>
      <w:proofErr w:type="spellStart"/>
      <w:r w:rsidR="0008440E">
        <w:rPr>
          <w:rFonts w:asciiTheme="majorHAnsi" w:hAnsiTheme="majorHAnsi" w:cstheme="majorHAnsi"/>
        </w:rPr>
        <w:t>push-back</w:t>
      </w:r>
      <w:proofErr w:type="spellEnd"/>
      <w:r w:rsidR="0008440E">
        <w:rPr>
          <w:rFonts w:asciiTheme="majorHAnsi" w:hAnsiTheme="majorHAnsi" w:cstheme="majorHAnsi"/>
        </w:rPr>
        <w:t xml:space="preserve"> operacím, ke kterým dochází ze strany evropských státu v souvislosti se současnou migrační situací</w:t>
      </w:r>
      <w:r w:rsidR="00A10F18">
        <w:rPr>
          <w:rFonts w:asciiTheme="majorHAnsi" w:hAnsiTheme="majorHAnsi" w:cstheme="majorHAnsi"/>
        </w:rPr>
        <w:t xml:space="preserve">. Dne </w:t>
      </w:r>
      <w:r w:rsidR="000D1CFC">
        <w:rPr>
          <w:rFonts w:asciiTheme="majorHAnsi" w:hAnsiTheme="majorHAnsi" w:cstheme="majorHAnsi"/>
        </w:rPr>
        <w:t>13. února 2020</w:t>
      </w:r>
      <w:r w:rsidR="00A10F18">
        <w:rPr>
          <w:rFonts w:asciiTheme="majorHAnsi" w:hAnsiTheme="majorHAnsi" w:cstheme="majorHAnsi"/>
        </w:rPr>
        <w:t xml:space="preserve"> vydal velký senát Soudu hojně kritizovaný rozsudek ve věci </w:t>
      </w:r>
      <w:r w:rsidR="00A10F18" w:rsidRPr="00F6546B">
        <w:rPr>
          <w:rFonts w:asciiTheme="majorHAnsi" w:hAnsiTheme="majorHAnsi" w:cstheme="majorHAnsi"/>
          <w:b/>
          <w:i/>
        </w:rPr>
        <w:t>N. D. a N. T. proti Španělsku</w:t>
      </w:r>
      <w:r w:rsidR="000D1CFC">
        <w:rPr>
          <w:rFonts w:asciiTheme="majorHAnsi" w:hAnsiTheme="majorHAnsi" w:cstheme="majorHAnsi"/>
        </w:rPr>
        <w:t xml:space="preserve"> (č. </w:t>
      </w:r>
      <w:r w:rsidR="00F6546B">
        <w:rPr>
          <w:rFonts w:asciiTheme="majorHAnsi" w:hAnsiTheme="majorHAnsi" w:cstheme="majorHAnsi"/>
        </w:rPr>
        <w:t>8675/15)</w:t>
      </w:r>
      <w:r w:rsidR="00A10F18">
        <w:rPr>
          <w:rFonts w:asciiTheme="majorHAnsi" w:hAnsiTheme="majorHAnsi" w:cstheme="majorHAnsi"/>
        </w:rPr>
        <w:t xml:space="preserve">. Ta se týkala skupiny migrantů do Maroka, kteří se pokoušeli vstoupit na španělské území přelezením plotů na hranicích s enklávou </w:t>
      </w:r>
      <w:proofErr w:type="spellStart"/>
      <w:r w:rsidR="00A10F18">
        <w:rPr>
          <w:rFonts w:asciiTheme="majorHAnsi" w:hAnsiTheme="majorHAnsi" w:cstheme="majorHAnsi"/>
        </w:rPr>
        <w:t>Melilla</w:t>
      </w:r>
      <w:proofErr w:type="spellEnd"/>
      <w:r w:rsidR="00A10F18">
        <w:rPr>
          <w:rFonts w:asciiTheme="majorHAnsi" w:hAnsiTheme="majorHAnsi" w:cstheme="majorHAnsi"/>
        </w:rPr>
        <w:t xml:space="preserve">. Po přelezení plotu byli stěžovatelé zadržení a bez provedení individuálního přezkumu </w:t>
      </w:r>
      <w:r w:rsidR="00E356EC">
        <w:rPr>
          <w:rFonts w:asciiTheme="majorHAnsi" w:hAnsiTheme="majorHAnsi" w:cstheme="majorHAnsi"/>
        </w:rPr>
        <w:t xml:space="preserve">byly okamžitě </w:t>
      </w:r>
      <w:r w:rsidR="00A10F18">
        <w:rPr>
          <w:rFonts w:asciiTheme="majorHAnsi" w:hAnsiTheme="majorHAnsi" w:cstheme="majorHAnsi"/>
        </w:rPr>
        <w:t xml:space="preserve">navráceni na území Maroka. Velký senát Soudu v daném případě neshledal, že by </w:t>
      </w:r>
      <w:r w:rsidR="00E356EC">
        <w:rPr>
          <w:rFonts w:asciiTheme="majorHAnsi" w:hAnsiTheme="majorHAnsi" w:cstheme="majorHAnsi"/>
        </w:rPr>
        <w:t>z</w:t>
      </w:r>
      <w:r w:rsidR="00A10F18">
        <w:rPr>
          <w:rFonts w:asciiTheme="majorHAnsi" w:hAnsiTheme="majorHAnsi" w:cstheme="majorHAnsi"/>
        </w:rPr>
        <w:t xml:space="preserve">de došlo k porušení </w:t>
      </w:r>
      <w:r w:rsidR="00E356EC">
        <w:rPr>
          <w:rFonts w:asciiTheme="majorHAnsi" w:hAnsiTheme="majorHAnsi" w:cstheme="majorHAnsi"/>
        </w:rPr>
        <w:t xml:space="preserve">zákazu </w:t>
      </w:r>
      <w:r w:rsidR="00A10F18">
        <w:rPr>
          <w:rFonts w:asciiTheme="majorHAnsi" w:hAnsiTheme="majorHAnsi" w:cstheme="majorHAnsi"/>
        </w:rPr>
        <w:t>hromadného vyhoštění cizinců dle čl. 4 Protokolu č. 4 s</w:t>
      </w:r>
      <w:r w:rsidR="00E356EC">
        <w:rPr>
          <w:rFonts w:asciiTheme="majorHAnsi" w:hAnsiTheme="majorHAnsi" w:cstheme="majorHAnsi"/>
        </w:rPr>
        <w:t> </w:t>
      </w:r>
      <w:r w:rsidR="00A10F18">
        <w:rPr>
          <w:rFonts w:asciiTheme="majorHAnsi" w:hAnsiTheme="majorHAnsi" w:cstheme="majorHAnsi"/>
        </w:rPr>
        <w:t>odůvodněním</w:t>
      </w:r>
      <w:r w:rsidR="00E356EC">
        <w:rPr>
          <w:rFonts w:asciiTheme="majorHAnsi" w:hAnsiTheme="majorHAnsi" w:cstheme="majorHAnsi"/>
        </w:rPr>
        <w:t xml:space="preserve"> (velmi zjednodušeně)</w:t>
      </w:r>
      <w:r w:rsidR="00A10F18">
        <w:rPr>
          <w:rFonts w:asciiTheme="majorHAnsi" w:hAnsiTheme="majorHAnsi" w:cstheme="majorHAnsi"/>
        </w:rPr>
        <w:t>, ž</w:t>
      </w:r>
      <w:r w:rsidR="0008440E">
        <w:rPr>
          <w:rFonts w:asciiTheme="majorHAnsi" w:hAnsiTheme="majorHAnsi" w:cstheme="majorHAnsi"/>
        </w:rPr>
        <w:t xml:space="preserve">e </w:t>
      </w:r>
      <w:r w:rsidR="00A10F18">
        <w:rPr>
          <w:rFonts w:asciiTheme="majorHAnsi" w:hAnsiTheme="majorHAnsi" w:cstheme="majorHAnsi"/>
        </w:rPr>
        <w:t xml:space="preserve">stěžovatelé nevyužili </w:t>
      </w:r>
      <w:r w:rsidR="0008440E">
        <w:rPr>
          <w:rFonts w:asciiTheme="majorHAnsi" w:hAnsiTheme="majorHAnsi" w:cstheme="majorHAnsi"/>
        </w:rPr>
        <w:t xml:space="preserve">dle Soudu dostupných </w:t>
      </w:r>
      <w:r w:rsidR="00A10F18">
        <w:rPr>
          <w:rFonts w:asciiTheme="majorHAnsi" w:hAnsiTheme="majorHAnsi" w:cstheme="majorHAnsi"/>
        </w:rPr>
        <w:t>legálních cest, jak se dostat na španělské území</w:t>
      </w:r>
      <w:r w:rsidR="0008440E">
        <w:rPr>
          <w:rFonts w:asciiTheme="majorHAnsi" w:hAnsiTheme="majorHAnsi" w:cstheme="majorHAnsi"/>
        </w:rPr>
        <w:t xml:space="preserve">. Byť se zde migranti jasně ocitli pod jurisdikcí smluvní strany, Soud jejich hromadné vyhoštění bez individuálního přezkumu neshledal jako porušení Úmluvy. Kdybyste se s ohledem na dané rozhodnutí chtěli zamyslet nad absolutním zákazem zásady </w:t>
      </w:r>
      <w:r w:rsidR="0008440E" w:rsidRPr="0008440E">
        <w:rPr>
          <w:rFonts w:asciiTheme="majorHAnsi" w:hAnsiTheme="majorHAnsi" w:cstheme="majorHAnsi"/>
          <w:i/>
        </w:rPr>
        <w:t>non-refoulement</w:t>
      </w:r>
      <w:r w:rsidR="0008440E">
        <w:rPr>
          <w:rFonts w:asciiTheme="majorHAnsi" w:hAnsiTheme="majorHAnsi" w:cstheme="majorHAnsi"/>
        </w:rPr>
        <w:t xml:space="preserve"> na hranicích, zvu Vás k přečtení daného rozsudku a příp. i následujících článků:</w:t>
      </w:r>
    </w:p>
    <w:p w:rsidR="0008440E" w:rsidRPr="0008440E" w:rsidRDefault="00C32D2A" w:rsidP="00B0099A">
      <w:pPr>
        <w:pStyle w:val="Odstavecseseznamem"/>
        <w:jc w:val="both"/>
        <w:rPr>
          <w:rFonts w:asciiTheme="majorHAnsi" w:hAnsiTheme="majorHAnsi" w:cstheme="majorHAnsi"/>
          <w:sz w:val="21"/>
        </w:rPr>
      </w:pPr>
      <w:hyperlink r:id="rId9" w:history="1">
        <w:r w:rsidR="0008440E" w:rsidRPr="0008440E">
          <w:rPr>
            <w:rStyle w:val="Hypertextovodkaz"/>
            <w:rFonts w:asciiTheme="majorHAnsi" w:hAnsiTheme="majorHAnsi" w:cstheme="majorHAnsi"/>
            <w:sz w:val="21"/>
          </w:rPr>
          <w:t>https://strasbourgobservers.com/2020/03/26/n-d-and-n-t-v-spain-defining-strasbourgs-position-on-push-backs-at-land-borders/</w:t>
        </w:r>
      </w:hyperlink>
      <w:r w:rsidR="0008440E" w:rsidRPr="0008440E">
        <w:rPr>
          <w:rFonts w:asciiTheme="majorHAnsi" w:hAnsiTheme="majorHAnsi" w:cstheme="majorHAnsi"/>
          <w:sz w:val="21"/>
        </w:rPr>
        <w:t xml:space="preserve"> </w:t>
      </w:r>
    </w:p>
    <w:p w:rsidR="00BC3784" w:rsidRPr="0008440E" w:rsidRDefault="00C32D2A" w:rsidP="00B0099A">
      <w:pPr>
        <w:pStyle w:val="Odstavecseseznamem"/>
        <w:jc w:val="both"/>
        <w:rPr>
          <w:rFonts w:asciiTheme="majorHAnsi" w:hAnsiTheme="majorHAnsi" w:cstheme="majorHAnsi"/>
          <w:sz w:val="21"/>
        </w:rPr>
      </w:pPr>
      <w:hyperlink r:id="rId10" w:history="1">
        <w:r w:rsidR="0008440E" w:rsidRPr="0008440E">
          <w:rPr>
            <w:rStyle w:val="Hypertextovodkaz"/>
            <w:rFonts w:asciiTheme="majorHAnsi" w:hAnsiTheme="majorHAnsi" w:cstheme="majorHAnsi"/>
            <w:sz w:val="21"/>
          </w:rPr>
          <w:t>https://strasbourgobservers.com/2020/02/25/push-backs-of-badly-behaving-migrants-at-spanish-border-are-not-collective-expulsions-but-might-still-be-illegal-refoulements/</w:t>
        </w:r>
      </w:hyperlink>
      <w:r w:rsidR="0008440E" w:rsidRPr="0008440E">
        <w:rPr>
          <w:rFonts w:asciiTheme="majorHAnsi" w:hAnsiTheme="majorHAnsi" w:cstheme="majorHAnsi"/>
          <w:sz w:val="21"/>
        </w:rPr>
        <w:t xml:space="preserve"> </w:t>
      </w:r>
    </w:p>
    <w:p w:rsidR="00D252C1" w:rsidRDefault="00D252C1" w:rsidP="00B0099A">
      <w:pPr>
        <w:pStyle w:val="Odstavecseseznamem"/>
        <w:jc w:val="both"/>
        <w:rPr>
          <w:rFonts w:asciiTheme="majorHAnsi" w:hAnsiTheme="majorHAnsi" w:cstheme="majorHAnsi"/>
        </w:rPr>
      </w:pPr>
    </w:p>
    <w:p w:rsidR="00BC3784" w:rsidRDefault="00BC3784" w:rsidP="00BC3784">
      <w:pPr>
        <w:pStyle w:val="Odstavecseseznamem"/>
        <w:pBdr>
          <w:bottom w:val="single" w:sz="4" w:space="1" w:color="auto"/>
        </w:pBdr>
        <w:jc w:val="both"/>
        <w:rPr>
          <w:rFonts w:asciiTheme="majorHAnsi" w:hAnsiTheme="majorHAnsi" w:cstheme="majorHAnsi"/>
        </w:rPr>
      </w:pPr>
      <w:r>
        <w:rPr>
          <w:rFonts w:asciiTheme="majorHAnsi" w:hAnsiTheme="majorHAnsi" w:cstheme="majorHAnsi"/>
        </w:rPr>
        <w:t xml:space="preserve">7. </w:t>
      </w:r>
      <w:r w:rsidR="00D252C1">
        <w:rPr>
          <w:rFonts w:asciiTheme="majorHAnsi" w:hAnsiTheme="majorHAnsi" w:cstheme="majorHAnsi"/>
        </w:rPr>
        <w:t xml:space="preserve">Další </w:t>
      </w:r>
      <w:r w:rsidR="009A66B9">
        <w:rPr>
          <w:rFonts w:asciiTheme="majorHAnsi" w:hAnsiTheme="majorHAnsi" w:cstheme="majorHAnsi"/>
        </w:rPr>
        <w:t>práva v Úmluvě</w:t>
      </w:r>
    </w:p>
    <w:p w:rsidR="00BC3784" w:rsidRDefault="00BC3784" w:rsidP="00B0099A">
      <w:pPr>
        <w:pStyle w:val="Odstavecseseznamem"/>
        <w:jc w:val="both"/>
        <w:rPr>
          <w:rFonts w:asciiTheme="majorHAnsi" w:hAnsiTheme="majorHAnsi" w:cstheme="majorHAnsi"/>
        </w:rPr>
      </w:pPr>
    </w:p>
    <w:p w:rsidR="00DD1E0C" w:rsidRPr="00DD1E0C" w:rsidRDefault="00AE6B67" w:rsidP="00E356EC">
      <w:pPr>
        <w:pStyle w:val="Odstavecseseznamem"/>
        <w:jc w:val="both"/>
        <w:rPr>
          <w:rFonts w:asciiTheme="majorHAnsi" w:hAnsiTheme="majorHAnsi" w:cstheme="majorHAnsi"/>
        </w:rPr>
      </w:pPr>
      <w:r w:rsidRPr="00AE6B67">
        <w:rPr>
          <w:rFonts w:asciiTheme="majorHAnsi" w:hAnsiTheme="majorHAnsi" w:cstheme="majorHAnsi"/>
        </w:rPr>
        <w:t xml:space="preserve">Dalšími relevantními články </w:t>
      </w:r>
      <w:r w:rsidR="00E356EC">
        <w:rPr>
          <w:rFonts w:asciiTheme="majorHAnsi" w:hAnsiTheme="majorHAnsi" w:cstheme="majorHAnsi"/>
        </w:rPr>
        <w:t xml:space="preserve">Úmluvy </w:t>
      </w:r>
      <w:r w:rsidRPr="00AE6B67">
        <w:rPr>
          <w:rFonts w:asciiTheme="majorHAnsi" w:hAnsiTheme="majorHAnsi" w:cstheme="majorHAnsi"/>
        </w:rPr>
        <w:t>týkající se práv uprchlíků a migrantů jsou: čl</w:t>
      </w:r>
      <w:r>
        <w:rPr>
          <w:rFonts w:asciiTheme="majorHAnsi" w:hAnsiTheme="majorHAnsi" w:cstheme="majorHAnsi"/>
        </w:rPr>
        <w:t>ánek</w:t>
      </w:r>
      <w:r w:rsidRPr="00AE6B67">
        <w:rPr>
          <w:rFonts w:asciiTheme="majorHAnsi" w:hAnsiTheme="majorHAnsi" w:cstheme="majorHAnsi"/>
        </w:rPr>
        <w:t xml:space="preserve"> 5, který zaručuje právo na svobodu a osobní bezpečnost a jehož ochrany je možné se domáhat například v případě zajištění</w:t>
      </w:r>
      <w:r>
        <w:rPr>
          <w:rFonts w:asciiTheme="majorHAnsi" w:hAnsiTheme="majorHAnsi" w:cstheme="majorHAnsi"/>
        </w:rPr>
        <w:t xml:space="preserve"> cizinců v detenčních zařízeních</w:t>
      </w:r>
      <w:r w:rsidRPr="00AE6B67">
        <w:rPr>
          <w:rFonts w:asciiTheme="majorHAnsi" w:hAnsiTheme="majorHAnsi" w:cstheme="majorHAnsi"/>
        </w:rPr>
        <w:t>; čl</w:t>
      </w:r>
      <w:r w:rsidR="00E24882">
        <w:rPr>
          <w:rFonts w:asciiTheme="majorHAnsi" w:hAnsiTheme="majorHAnsi" w:cstheme="majorHAnsi"/>
        </w:rPr>
        <w:t>ánek</w:t>
      </w:r>
      <w:r w:rsidRPr="00AE6B67">
        <w:rPr>
          <w:rFonts w:asciiTheme="majorHAnsi" w:hAnsiTheme="majorHAnsi" w:cstheme="majorHAnsi"/>
        </w:rPr>
        <w:t xml:space="preserve"> 8, který zaručuje právo na respektování rodinného a soukromého života</w:t>
      </w:r>
      <w:r>
        <w:rPr>
          <w:rFonts w:asciiTheme="majorHAnsi" w:hAnsiTheme="majorHAnsi" w:cstheme="majorHAnsi"/>
        </w:rPr>
        <w:t xml:space="preserve"> a na základě kterého také není za určitých podmínek možné cizince v</w:t>
      </w:r>
      <w:r w:rsidR="00DD1E0C">
        <w:rPr>
          <w:rFonts w:asciiTheme="majorHAnsi" w:hAnsiTheme="majorHAnsi" w:cstheme="majorHAnsi"/>
        </w:rPr>
        <w:t>y</w:t>
      </w:r>
      <w:r>
        <w:rPr>
          <w:rFonts w:asciiTheme="majorHAnsi" w:hAnsiTheme="majorHAnsi" w:cstheme="majorHAnsi"/>
        </w:rPr>
        <w:t>hostit</w:t>
      </w:r>
      <w:r w:rsidRPr="00AE6B67">
        <w:rPr>
          <w:rFonts w:asciiTheme="majorHAnsi" w:hAnsiTheme="majorHAnsi" w:cstheme="majorHAnsi"/>
        </w:rPr>
        <w:t>; čl</w:t>
      </w:r>
      <w:r w:rsidR="00E24882">
        <w:rPr>
          <w:rFonts w:asciiTheme="majorHAnsi" w:hAnsiTheme="majorHAnsi" w:cstheme="majorHAnsi"/>
        </w:rPr>
        <w:t>ánek</w:t>
      </w:r>
      <w:r w:rsidRPr="00AE6B67">
        <w:rPr>
          <w:rFonts w:asciiTheme="majorHAnsi" w:hAnsiTheme="majorHAnsi" w:cstheme="majorHAnsi"/>
        </w:rPr>
        <w:t xml:space="preserve"> 13 zaručující právo na účinné opravné prostředky; čl. 4 Protokolu č. 4 k Úmluvě zakazující kolektivní vyhoštění cizinců; a čl</w:t>
      </w:r>
      <w:r w:rsidR="00E24882">
        <w:rPr>
          <w:rFonts w:asciiTheme="majorHAnsi" w:hAnsiTheme="majorHAnsi" w:cstheme="majorHAnsi"/>
        </w:rPr>
        <w:t>.</w:t>
      </w:r>
      <w:r w:rsidRPr="00AE6B67">
        <w:rPr>
          <w:rFonts w:asciiTheme="majorHAnsi" w:hAnsiTheme="majorHAnsi" w:cstheme="majorHAnsi"/>
        </w:rPr>
        <w:t xml:space="preserve"> 1 Protokolu č. 7 zaručující procesní záruky cizincům v případě jejich vyhoštění.</w:t>
      </w:r>
      <w:r w:rsidR="00E356EC">
        <w:rPr>
          <w:rFonts w:asciiTheme="majorHAnsi" w:hAnsiTheme="majorHAnsi" w:cstheme="majorHAnsi"/>
        </w:rPr>
        <w:t xml:space="preserve"> </w:t>
      </w:r>
      <w:r w:rsidR="00DD1E0C">
        <w:rPr>
          <w:rFonts w:asciiTheme="majorHAnsi" w:hAnsiTheme="majorHAnsi" w:cstheme="majorHAnsi"/>
        </w:rPr>
        <w:t xml:space="preserve">Další </w:t>
      </w:r>
      <w:r w:rsidR="00B26B00">
        <w:rPr>
          <w:rFonts w:asciiTheme="majorHAnsi" w:hAnsiTheme="majorHAnsi" w:cstheme="majorHAnsi"/>
        </w:rPr>
        <w:t xml:space="preserve">podklad </w:t>
      </w:r>
      <w:r w:rsidR="00E356EC">
        <w:rPr>
          <w:rFonts w:asciiTheme="majorHAnsi" w:hAnsiTheme="majorHAnsi" w:cstheme="majorHAnsi"/>
        </w:rPr>
        <w:t>k</w:t>
      </w:r>
      <w:r w:rsidR="003014C7">
        <w:rPr>
          <w:rFonts w:asciiTheme="majorHAnsi" w:hAnsiTheme="majorHAnsi" w:cstheme="majorHAnsi"/>
        </w:rPr>
        <w:t xml:space="preserve">e studiu </w:t>
      </w:r>
      <w:r w:rsidR="00E356EC">
        <w:rPr>
          <w:rFonts w:asciiTheme="majorHAnsi" w:hAnsiTheme="majorHAnsi" w:cstheme="majorHAnsi"/>
        </w:rPr>
        <w:t>téma</w:t>
      </w:r>
      <w:r w:rsidR="003014C7">
        <w:rPr>
          <w:rFonts w:asciiTheme="majorHAnsi" w:hAnsiTheme="majorHAnsi" w:cstheme="majorHAnsi"/>
        </w:rPr>
        <w:t xml:space="preserve"> migrace</w:t>
      </w:r>
      <w:r w:rsidR="00E356EC">
        <w:rPr>
          <w:rFonts w:asciiTheme="majorHAnsi" w:hAnsiTheme="majorHAnsi" w:cstheme="majorHAnsi"/>
        </w:rPr>
        <w:t xml:space="preserve"> </w:t>
      </w:r>
      <w:r w:rsidR="00DD1E0C">
        <w:rPr>
          <w:rFonts w:asciiTheme="majorHAnsi" w:hAnsiTheme="majorHAnsi" w:cstheme="majorHAnsi"/>
        </w:rPr>
        <w:t xml:space="preserve">můžete nalézt například </w:t>
      </w:r>
      <w:hyperlink r:id="rId11" w:history="1">
        <w:r w:rsidR="00DD1E0C" w:rsidRPr="00287B22">
          <w:rPr>
            <w:rStyle w:val="Hypertextovodkaz"/>
            <w:rFonts w:asciiTheme="majorHAnsi" w:hAnsiTheme="majorHAnsi" w:cstheme="majorHAnsi"/>
          </w:rPr>
          <w:t>zde</w:t>
        </w:r>
      </w:hyperlink>
      <w:r w:rsidR="00287B22">
        <w:rPr>
          <w:rFonts w:asciiTheme="majorHAnsi" w:hAnsiTheme="majorHAnsi" w:cstheme="majorHAnsi"/>
        </w:rPr>
        <w:t>.</w:t>
      </w:r>
      <w:r w:rsidR="00DD1E0C">
        <w:rPr>
          <w:rFonts w:asciiTheme="majorHAnsi" w:hAnsiTheme="majorHAnsi" w:cstheme="majorHAnsi"/>
        </w:rPr>
        <w:t xml:space="preserve"> </w:t>
      </w:r>
    </w:p>
    <w:sectPr w:rsidR="00DD1E0C" w:rsidRPr="00DD1E0C" w:rsidSect="002E318F">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2A" w:rsidRDefault="00C32D2A" w:rsidP="00AA6F99">
      <w:r>
        <w:separator/>
      </w:r>
    </w:p>
  </w:endnote>
  <w:endnote w:type="continuationSeparator" w:id="0">
    <w:p w:rsidR="00C32D2A" w:rsidRDefault="00C32D2A" w:rsidP="00AA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620456439"/>
      <w:docPartObj>
        <w:docPartGallery w:val="Page Numbers (Bottom of Page)"/>
        <w:docPartUnique/>
      </w:docPartObj>
    </w:sdtPr>
    <w:sdtEndPr>
      <w:rPr>
        <w:rStyle w:val="slostrnky"/>
      </w:rPr>
    </w:sdtEndPr>
    <w:sdtContent>
      <w:p w:rsidR="00A10F18" w:rsidRDefault="00A10F18" w:rsidP="00BB311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A10F18" w:rsidRDefault="00A10F18" w:rsidP="007A07B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929003569"/>
      <w:docPartObj>
        <w:docPartGallery w:val="Page Numbers (Bottom of Page)"/>
        <w:docPartUnique/>
      </w:docPartObj>
    </w:sdtPr>
    <w:sdtEndPr>
      <w:rPr>
        <w:rStyle w:val="slostrnky"/>
      </w:rPr>
    </w:sdtEndPr>
    <w:sdtContent>
      <w:p w:rsidR="00A10F18" w:rsidRDefault="00A10F18" w:rsidP="00BB311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0B1364">
          <w:rPr>
            <w:rStyle w:val="slostrnky"/>
            <w:noProof/>
          </w:rPr>
          <w:t>1</w:t>
        </w:r>
        <w:r>
          <w:rPr>
            <w:rStyle w:val="slostrnky"/>
          </w:rPr>
          <w:fldChar w:fldCharType="end"/>
        </w:r>
      </w:p>
    </w:sdtContent>
  </w:sdt>
  <w:p w:rsidR="00A10F18" w:rsidRDefault="00A10F18" w:rsidP="007A07B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2A" w:rsidRDefault="00C32D2A" w:rsidP="00AA6F99">
      <w:r>
        <w:separator/>
      </w:r>
    </w:p>
  </w:footnote>
  <w:footnote w:type="continuationSeparator" w:id="0">
    <w:p w:rsidR="00C32D2A" w:rsidRDefault="00C32D2A" w:rsidP="00AA6F99">
      <w:r>
        <w:continuationSeparator/>
      </w:r>
    </w:p>
  </w:footnote>
  <w:footnote w:id="1">
    <w:p w:rsidR="00A10F18" w:rsidRDefault="00A10F18" w:rsidP="00AA6F99">
      <w:pPr>
        <w:pStyle w:val="Textpoznpodarou"/>
        <w:jc w:val="both"/>
      </w:pPr>
      <w:r>
        <w:rPr>
          <w:rStyle w:val="Znakapoznpodarou"/>
        </w:rPr>
        <w:footnoteRef/>
      </w:r>
      <w:r>
        <w:t xml:space="preserve"> Směrnice Evropského parlamentu a Rady 2011/95/EU ze dne 13. prosince 2011 o normách, které musí splňovat státní příslušníci třetích zemí nebo osoby bez státní příslušnosti, aby mohli požívat mezinárodní ochrany, o jednotném statusu pro uprchlíky nebo osoby, které mají nárok na doplňkovou ochranu, a o obsahu poskytnuté ochrany (přepracované znění). </w:t>
      </w:r>
    </w:p>
  </w:footnote>
  <w:footnote w:id="2">
    <w:p w:rsidR="00A10F18" w:rsidRDefault="00A10F18">
      <w:pPr>
        <w:pStyle w:val="Textpoznpodarou"/>
      </w:pPr>
      <w:r>
        <w:rPr>
          <w:rStyle w:val="Znakapoznpodarou"/>
        </w:rPr>
        <w:footnoteRef/>
      </w:r>
      <w:r>
        <w:t xml:space="preserve"> </w:t>
      </w:r>
      <w:r w:rsidRPr="00582651">
        <w:rPr>
          <w:i/>
        </w:rPr>
        <w:t>Nelze</w:t>
      </w:r>
      <w:r w:rsidR="007134EB">
        <w:rPr>
          <w:i/>
        </w:rPr>
        <w:t xml:space="preserve"> zde</w:t>
      </w:r>
      <w:r w:rsidRPr="00582651">
        <w:rPr>
          <w:i/>
        </w:rPr>
        <w:t xml:space="preserve"> tedy na nikoho zkoušet t</w:t>
      </w:r>
      <w:r>
        <w:rPr>
          <w:i/>
        </w:rPr>
        <w:t>am</w:t>
      </w:r>
      <w:r w:rsidRPr="00582651">
        <w:rPr>
          <w:i/>
        </w:rPr>
        <w:t>ty…t</w:t>
      </w:r>
      <w:r>
        <w:rPr>
          <w:i/>
        </w:rPr>
        <w:t>amty</w:t>
      </w:r>
      <w:r w:rsidRPr="00582651">
        <w:rPr>
          <w:i/>
        </w:rPr>
        <w:t xml:space="preserve"> proporcionalit</w:t>
      </w:r>
      <w:r>
        <w:rPr>
          <w:i/>
        </w:rPr>
        <w: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4F79"/>
    <w:multiLevelType w:val="hybridMultilevel"/>
    <w:tmpl w:val="12EE8CD4"/>
    <w:lvl w:ilvl="0" w:tplc="04050013">
      <w:start w:val="1"/>
      <w:numFmt w:val="upperRoman"/>
      <w:lvlText w:val="%1."/>
      <w:lvlJc w:val="right"/>
      <w:pPr>
        <w:ind w:left="1501" w:hanging="360"/>
      </w:pPr>
    </w:lvl>
    <w:lvl w:ilvl="1" w:tplc="04050019" w:tentative="1">
      <w:start w:val="1"/>
      <w:numFmt w:val="lowerLetter"/>
      <w:lvlText w:val="%2."/>
      <w:lvlJc w:val="left"/>
      <w:pPr>
        <w:ind w:left="2221" w:hanging="360"/>
      </w:pPr>
    </w:lvl>
    <w:lvl w:ilvl="2" w:tplc="0405001B" w:tentative="1">
      <w:start w:val="1"/>
      <w:numFmt w:val="lowerRoman"/>
      <w:lvlText w:val="%3."/>
      <w:lvlJc w:val="right"/>
      <w:pPr>
        <w:ind w:left="2941" w:hanging="180"/>
      </w:pPr>
    </w:lvl>
    <w:lvl w:ilvl="3" w:tplc="0405000F" w:tentative="1">
      <w:start w:val="1"/>
      <w:numFmt w:val="decimal"/>
      <w:lvlText w:val="%4."/>
      <w:lvlJc w:val="left"/>
      <w:pPr>
        <w:ind w:left="3661" w:hanging="360"/>
      </w:pPr>
    </w:lvl>
    <w:lvl w:ilvl="4" w:tplc="04050019" w:tentative="1">
      <w:start w:val="1"/>
      <w:numFmt w:val="lowerLetter"/>
      <w:lvlText w:val="%5."/>
      <w:lvlJc w:val="left"/>
      <w:pPr>
        <w:ind w:left="4381" w:hanging="360"/>
      </w:pPr>
    </w:lvl>
    <w:lvl w:ilvl="5" w:tplc="0405001B" w:tentative="1">
      <w:start w:val="1"/>
      <w:numFmt w:val="lowerRoman"/>
      <w:lvlText w:val="%6."/>
      <w:lvlJc w:val="right"/>
      <w:pPr>
        <w:ind w:left="5101" w:hanging="180"/>
      </w:pPr>
    </w:lvl>
    <w:lvl w:ilvl="6" w:tplc="0405000F" w:tentative="1">
      <w:start w:val="1"/>
      <w:numFmt w:val="decimal"/>
      <w:lvlText w:val="%7."/>
      <w:lvlJc w:val="left"/>
      <w:pPr>
        <w:ind w:left="5821" w:hanging="360"/>
      </w:pPr>
    </w:lvl>
    <w:lvl w:ilvl="7" w:tplc="04050019" w:tentative="1">
      <w:start w:val="1"/>
      <w:numFmt w:val="lowerLetter"/>
      <w:lvlText w:val="%8."/>
      <w:lvlJc w:val="left"/>
      <w:pPr>
        <w:ind w:left="6541" w:hanging="360"/>
      </w:pPr>
    </w:lvl>
    <w:lvl w:ilvl="8" w:tplc="0405001B" w:tentative="1">
      <w:start w:val="1"/>
      <w:numFmt w:val="lowerRoman"/>
      <w:lvlText w:val="%9."/>
      <w:lvlJc w:val="right"/>
      <w:pPr>
        <w:ind w:left="7261" w:hanging="180"/>
      </w:pPr>
    </w:lvl>
  </w:abstractNum>
  <w:abstractNum w:abstractNumId="1" w15:restartNumberingAfterBreak="0">
    <w:nsid w:val="21835FE3"/>
    <w:multiLevelType w:val="hybridMultilevel"/>
    <w:tmpl w:val="20B08868"/>
    <w:lvl w:ilvl="0" w:tplc="04050011">
      <w:start w:val="1"/>
      <w:numFmt w:val="decimal"/>
      <w:lvlText w:val="%1)"/>
      <w:lvlJc w:val="left"/>
      <w:pPr>
        <w:ind w:left="1501" w:hanging="360"/>
      </w:pPr>
    </w:lvl>
    <w:lvl w:ilvl="1" w:tplc="04050019" w:tentative="1">
      <w:start w:val="1"/>
      <w:numFmt w:val="lowerLetter"/>
      <w:lvlText w:val="%2."/>
      <w:lvlJc w:val="left"/>
      <w:pPr>
        <w:ind w:left="2221" w:hanging="360"/>
      </w:pPr>
    </w:lvl>
    <w:lvl w:ilvl="2" w:tplc="0405001B" w:tentative="1">
      <w:start w:val="1"/>
      <w:numFmt w:val="lowerRoman"/>
      <w:lvlText w:val="%3."/>
      <w:lvlJc w:val="right"/>
      <w:pPr>
        <w:ind w:left="2941" w:hanging="180"/>
      </w:pPr>
    </w:lvl>
    <w:lvl w:ilvl="3" w:tplc="0405000F" w:tentative="1">
      <w:start w:val="1"/>
      <w:numFmt w:val="decimal"/>
      <w:lvlText w:val="%4."/>
      <w:lvlJc w:val="left"/>
      <w:pPr>
        <w:ind w:left="3661" w:hanging="360"/>
      </w:pPr>
    </w:lvl>
    <w:lvl w:ilvl="4" w:tplc="04050019" w:tentative="1">
      <w:start w:val="1"/>
      <w:numFmt w:val="lowerLetter"/>
      <w:lvlText w:val="%5."/>
      <w:lvlJc w:val="left"/>
      <w:pPr>
        <w:ind w:left="4381" w:hanging="360"/>
      </w:pPr>
    </w:lvl>
    <w:lvl w:ilvl="5" w:tplc="0405001B" w:tentative="1">
      <w:start w:val="1"/>
      <w:numFmt w:val="lowerRoman"/>
      <w:lvlText w:val="%6."/>
      <w:lvlJc w:val="right"/>
      <w:pPr>
        <w:ind w:left="5101" w:hanging="180"/>
      </w:pPr>
    </w:lvl>
    <w:lvl w:ilvl="6" w:tplc="0405000F" w:tentative="1">
      <w:start w:val="1"/>
      <w:numFmt w:val="decimal"/>
      <w:lvlText w:val="%7."/>
      <w:lvlJc w:val="left"/>
      <w:pPr>
        <w:ind w:left="5821" w:hanging="360"/>
      </w:pPr>
    </w:lvl>
    <w:lvl w:ilvl="7" w:tplc="04050019" w:tentative="1">
      <w:start w:val="1"/>
      <w:numFmt w:val="lowerLetter"/>
      <w:lvlText w:val="%8."/>
      <w:lvlJc w:val="left"/>
      <w:pPr>
        <w:ind w:left="6541" w:hanging="360"/>
      </w:pPr>
    </w:lvl>
    <w:lvl w:ilvl="8" w:tplc="0405001B" w:tentative="1">
      <w:start w:val="1"/>
      <w:numFmt w:val="lowerRoman"/>
      <w:lvlText w:val="%9."/>
      <w:lvlJc w:val="right"/>
      <w:pPr>
        <w:ind w:left="7261" w:hanging="180"/>
      </w:pPr>
    </w:lvl>
  </w:abstractNum>
  <w:abstractNum w:abstractNumId="2" w15:restartNumberingAfterBreak="0">
    <w:nsid w:val="2D666989"/>
    <w:multiLevelType w:val="hybridMultilevel"/>
    <w:tmpl w:val="DC1A4F14"/>
    <w:lvl w:ilvl="0" w:tplc="1294140E">
      <w:start w:val="3"/>
      <w:numFmt w:val="bullet"/>
      <w:lvlText w:val="-"/>
      <w:lvlJc w:val="left"/>
      <w:pPr>
        <w:ind w:left="1080" w:hanging="360"/>
      </w:pPr>
      <w:rPr>
        <w:rFonts w:ascii="Calibri Light" w:eastAsiaTheme="minorHAnsi"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7421FA0"/>
    <w:multiLevelType w:val="hybridMultilevel"/>
    <w:tmpl w:val="DE9CA5AA"/>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49F21776"/>
    <w:multiLevelType w:val="hybridMultilevel"/>
    <w:tmpl w:val="76308D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F506594"/>
    <w:multiLevelType w:val="hybridMultilevel"/>
    <w:tmpl w:val="A0D47E58"/>
    <w:lvl w:ilvl="0" w:tplc="33ACB4E0">
      <w:start w:val="4"/>
      <w:numFmt w:val="bullet"/>
      <w:lvlText w:val="-"/>
      <w:lvlJc w:val="left"/>
      <w:pPr>
        <w:ind w:left="1080" w:hanging="360"/>
      </w:pPr>
      <w:rPr>
        <w:rFonts w:ascii="Calibri Light" w:eastAsiaTheme="minorHAnsi"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7C9762A"/>
    <w:multiLevelType w:val="hybridMultilevel"/>
    <w:tmpl w:val="E450572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80570C9"/>
    <w:multiLevelType w:val="hybridMultilevel"/>
    <w:tmpl w:val="50ECC31C"/>
    <w:lvl w:ilvl="0" w:tplc="531A75C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05"/>
    <w:rsid w:val="00007D25"/>
    <w:rsid w:val="0002386A"/>
    <w:rsid w:val="00023F81"/>
    <w:rsid w:val="0002452F"/>
    <w:rsid w:val="000262ED"/>
    <w:rsid w:val="00053BBA"/>
    <w:rsid w:val="0008440E"/>
    <w:rsid w:val="00093117"/>
    <w:rsid w:val="000B1364"/>
    <w:rsid w:val="000C6DE2"/>
    <w:rsid w:val="000D1CFC"/>
    <w:rsid w:val="000D6D45"/>
    <w:rsid w:val="000E3C8C"/>
    <w:rsid w:val="000F1BB4"/>
    <w:rsid w:val="00100F8D"/>
    <w:rsid w:val="00105B0C"/>
    <w:rsid w:val="0011666C"/>
    <w:rsid w:val="00123CE2"/>
    <w:rsid w:val="00124EEC"/>
    <w:rsid w:val="00130AF6"/>
    <w:rsid w:val="00135E11"/>
    <w:rsid w:val="00146131"/>
    <w:rsid w:val="00165E11"/>
    <w:rsid w:val="00193AD2"/>
    <w:rsid w:val="001B0288"/>
    <w:rsid w:val="001B0490"/>
    <w:rsid w:val="001C2B0C"/>
    <w:rsid w:val="001F37F5"/>
    <w:rsid w:val="00202461"/>
    <w:rsid w:val="00220DF1"/>
    <w:rsid w:val="00224470"/>
    <w:rsid w:val="00230409"/>
    <w:rsid w:val="0023133F"/>
    <w:rsid w:val="002314CD"/>
    <w:rsid w:val="00250927"/>
    <w:rsid w:val="00250D73"/>
    <w:rsid w:val="002536FD"/>
    <w:rsid w:val="002642B4"/>
    <w:rsid w:val="00273F7A"/>
    <w:rsid w:val="00287B22"/>
    <w:rsid w:val="002C6D57"/>
    <w:rsid w:val="002D0013"/>
    <w:rsid w:val="002E2920"/>
    <w:rsid w:val="002E318F"/>
    <w:rsid w:val="002E5DC8"/>
    <w:rsid w:val="002F13EF"/>
    <w:rsid w:val="003014C7"/>
    <w:rsid w:val="003215F4"/>
    <w:rsid w:val="0033197D"/>
    <w:rsid w:val="0036068D"/>
    <w:rsid w:val="00366EEF"/>
    <w:rsid w:val="00371F92"/>
    <w:rsid w:val="00373FE6"/>
    <w:rsid w:val="003B7ED9"/>
    <w:rsid w:val="003D4772"/>
    <w:rsid w:val="003D4E3D"/>
    <w:rsid w:val="003D73DB"/>
    <w:rsid w:val="003E106C"/>
    <w:rsid w:val="003F0D2D"/>
    <w:rsid w:val="003F2D6A"/>
    <w:rsid w:val="0042470E"/>
    <w:rsid w:val="00434F67"/>
    <w:rsid w:val="00440E7A"/>
    <w:rsid w:val="0044182A"/>
    <w:rsid w:val="00444412"/>
    <w:rsid w:val="00447837"/>
    <w:rsid w:val="00461050"/>
    <w:rsid w:val="00473B2A"/>
    <w:rsid w:val="0048345B"/>
    <w:rsid w:val="00492782"/>
    <w:rsid w:val="004948E2"/>
    <w:rsid w:val="004A04FB"/>
    <w:rsid w:val="004B29FD"/>
    <w:rsid w:val="00501E38"/>
    <w:rsid w:val="00515238"/>
    <w:rsid w:val="00523B71"/>
    <w:rsid w:val="0053372C"/>
    <w:rsid w:val="005369AF"/>
    <w:rsid w:val="0055116F"/>
    <w:rsid w:val="00555907"/>
    <w:rsid w:val="00573267"/>
    <w:rsid w:val="00582651"/>
    <w:rsid w:val="0058799C"/>
    <w:rsid w:val="005939C5"/>
    <w:rsid w:val="005C1792"/>
    <w:rsid w:val="0060727F"/>
    <w:rsid w:val="00610130"/>
    <w:rsid w:val="0061093C"/>
    <w:rsid w:val="0062046A"/>
    <w:rsid w:val="006324FC"/>
    <w:rsid w:val="006357F4"/>
    <w:rsid w:val="00653ACA"/>
    <w:rsid w:val="00663D8B"/>
    <w:rsid w:val="00675A0A"/>
    <w:rsid w:val="0068659E"/>
    <w:rsid w:val="00692418"/>
    <w:rsid w:val="0069258F"/>
    <w:rsid w:val="006A49A6"/>
    <w:rsid w:val="006B1FF6"/>
    <w:rsid w:val="006B68AF"/>
    <w:rsid w:val="006D1047"/>
    <w:rsid w:val="006D611A"/>
    <w:rsid w:val="006D67FD"/>
    <w:rsid w:val="006E55A7"/>
    <w:rsid w:val="006E7539"/>
    <w:rsid w:val="006F0018"/>
    <w:rsid w:val="00706CBB"/>
    <w:rsid w:val="007134EB"/>
    <w:rsid w:val="00713C9A"/>
    <w:rsid w:val="007223EE"/>
    <w:rsid w:val="0072473C"/>
    <w:rsid w:val="0073033A"/>
    <w:rsid w:val="00733C98"/>
    <w:rsid w:val="00755808"/>
    <w:rsid w:val="0076607D"/>
    <w:rsid w:val="00782EDA"/>
    <w:rsid w:val="0078387C"/>
    <w:rsid w:val="00787FAA"/>
    <w:rsid w:val="00792811"/>
    <w:rsid w:val="007A07B5"/>
    <w:rsid w:val="007A1B3E"/>
    <w:rsid w:val="007A775D"/>
    <w:rsid w:val="007B11C4"/>
    <w:rsid w:val="007C6AFF"/>
    <w:rsid w:val="007D7F88"/>
    <w:rsid w:val="007E3C8E"/>
    <w:rsid w:val="007E7D3B"/>
    <w:rsid w:val="007F4322"/>
    <w:rsid w:val="00806948"/>
    <w:rsid w:val="008252D3"/>
    <w:rsid w:val="00826C62"/>
    <w:rsid w:val="008276A9"/>
    <w:rsid w:val="0085047C"/>
    <w:rsid w:val="008535DF"/>
    <w:rsid w:val="008762D3"/>
    <w:rsid w:val="008766C0"/>
    <w:rsid w:val="00892217"/>
    <w:rsid w:val="00893AAD"/>
    <w:rsid w:val="008A4030"/>
    <w:rsid w:val="008B5550"/>
    <w:rsid w:val="008B5E32"/>
    <w:rsid w:val="008C1230"/>
    <w:rsid w:val="008C4A28"/>
    <w:rsid w:val="008E56A2"/>
    <w:rsid w:val="008F644F"/>
    <w:rsid w:val="00900199"/>
    <w:rsid w:val="0090580B"/>
    <w:rsid w:val="00925FF9"/>
    <w:rsid w:val="00927D53"/>
    <w:rsid w:val="009324E5"/>
    <w:rsid w:val="009366BA"/>
    <w:rsid w:val="0094523E"/>
    <w:rsid w:val="00955C29"/>
    <w:rsid w:val="009862FD"/>
    <w:rsid w:val="009965BF"/>
    <w:rsid w:val="009A2916"/>
    <w:rsid w:val="009A66B9"/>
    <w:rsid w:val="009B0BAB"/>
    <w:rsid w:val="009B235A"/>
    <w:rsid w:val="009C29A4"/>
    <w:rsid w:val="009E560A"/>
    <w:rsid w:val="009F0177"/>
    <w:rsid w:val="009F0204"/>
    <w:rsid w:val="00A10F18"/>
    <w:rsid w:val="00A15E77"/>
    <w:rsid w:val="00A25E3B"/>
    <w:rsid w:val="00A71A85"/>
    <w:rsid w:val="00A7211F"/>
    <w:rsid w:val="00A76368"/>
    <w:rsid w:val="00A94971"/>
    <w:rsid w:val="00A94D24"/>
    <w:rsid w:val="00AA6F99"/>
    <w:rsid w:val="00AB1F30"/>
    <w:rsid w:val="00AB59C6"/>
    <w:rsid w:val="00AD54F9"/>
    <w:rsid w:val="00AE4913"/>
    <w:rsid w:val="00AE6B67"/>
    <w:rsid w:val="00AF251E"/>
    <w:rsid w:val="00AF7379"/>
    <w:rsid w:val="00B0099A"/>
    <w:rsid w:val="00B26B00"/>
    <w:rsid w:val="00B320A7"/>
    <w:rsid w:val="00B422D9"/>
    <w:rsid w:val="00B50908"/>
    <w:rsid w:val="00B677BD"/>
    <w:rsid w:val="00B94805"/>
    <w:rsid w:val="00BA37E9"/>
    <w:rsid w:val="00BA7660"/>
    <w:rsid w:val="00BB3114"/>
    <w:rsid w:val="00BB34CF"/>
    <w:rsid w:val="00BC3784"/>
    <w:rsid w:val="00BC59D5"/>
    <w:rsid w:val="00BD0E8B"/>
    <w:rsid w:val="00BD255F"/>
    <w:rsid w:val="00BD77C2"/>
    <w:rsid w:val="00BE7DB9"/>
    <w:rsid w:val="00C32D2A"/>
    <w:rsid w:val="00C33E00"/>
    <w:rsid w:val="00C52BCD"/>
    <w:rsid w:val="00C54EC0"/>
    <w:rsid w:val="00C64FE7"/>
    <w:rsid w:val="00C65682"/>
    <w:rsid w:val="00CB1837"/>
    <w:rsid w:val="00CD4793"/>
    <w:rsid w:val="00D03818"/>
    <w:rsid w:val="00D135B1"/>
    <w:rsid w:val="00D173B4"/>
    <w:rsid w:val="00D21C05"/>
    <w:rsid w:val="00D252C1"/>
    <w:rsid w:val="00D26C15"/>
    <w:rsid w:val="00D34945"/>
    <w:rsid w:val="00D35996"/>
    <w:rsid w:val="00D367DF"/>
    <w:rsid w:val="00D36D33"/>
    <w:rsid w:val="00D4257E"/>
    <w:rsid w:val="00D449DA"/>
    <w:rsid w:val="00D458C3"/>
    <w:rsid w:val="00D5112E"/>
    <w:rsid w:val="00D52FB0"/>
    <w:rsid w:val="00D55F8F"/>
    <w:rsid w:val="00D70740"/>
    <w:rsid w:val="00D87816"/>
    <w:rsid w:val="00D9214E"/>
    <w:rsid w:val="00D94217"/>
    <w:rsid w:val="00DA564C"/>
    <w:rsid w:val="00DA5FA4"/>
    <w:rsid w:val="00DB7E51"/>
    <w:rsid w:val="00DC426F"/>
    <w:rsid w:val="00DC66D2"/>
    <w:rsid w:val="00DC6D34"/>
    <w:rsid w:val="00DD1E0C"/>
    <w:rsid w:val="00DD3EE7"/>
    <w:rsid w:val="00DF3249"/>
    <w:rsid w:val="00E00EEA"/>
    <w:rsid w:val="00E038F5"/>
    <w:rsid w:val="00E24882"/>
    <w:rsid w:val="00E278B5"/>
    <w:rsid w:val="00E356EC"/>
    <w:rsid w:val="00E46D91"/>
    <w:rsid w:val="00E850A2"/>
    <w:rsid w:val="00EB0435"/>
    <w:rsid w:val="00ED0FA1"/>
    <w:rsid w:val="00ED3F8F"/>
    <w:rsid w:val="00ED4790"/>
    <w:rsid w:val="00ED6086"/>
    <w:rsid w:val="00EE644C"/>
    <w:rsid w:val="00EF149F"/>
    <w:rsid w:val="00EF579E"/>
    <w:rsid w:val="00EF6AA1"/>
    <w:rsid w:val="00F02D46"/>
    <w:rsid w:val="00F06399"/>
    <w:rsid w:val="00F215E8"/>
    <w:rsid w:val="00F2204E"/>
    <w:rsid w:val="00F30ED3"/>
    <w:rsid w:val="00F340E4"/>
    <w:rsid w:val="00F512BF"/>
    <w:rsid w:val="00F6546B"/>
    <w:rsid w:val="00F66C69"/>
    <w:rsid w:val="00F674C3"/>
    <w:rsid w:val="00F83E9E"/>
    <w:rsid w:val="00FA5C30"/>
    <w:rsid w:val="00FA71C2"/>
    <w:rsid w:val="00FC1E4F"/>
    <w:rsid w:val="00FD32D4"/>
    <w:rsid w:val="00FD432A"/>
    <w:rsid w:val="00FE7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E7D7"/>
  <w14:defaultImageDpi w14:val="32767"/>
  <w15:chartTrackingRefBased/>
  <w15:docId w15:val="{D4519921-1A15-2E4E-BE3D-772268B2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67FD"/>
    <w:pPr>
      <w:ind w:left="720"/>
      <w:contextualSpacing/>
    </w:pPr>
  </w:style>
  <w:style w:type="paragraph" w:styleId="Textpoznpodarou">
    <w:name w:val="footnote text"/>
    <w:basedOn w:val="Normln"/>
    <w:link w:val="TextpoznpodarouChar"/>
    <w:uiPriority w:val="99"/>
    <w:semiHidden/>
    <w:unhideWhenUsed/>
    <w:rsid w:val="00AA6F99"/>
    <w:rPr>
      <w:sz w:val="20"/>
      <w:szCs w:val="20"/>
    </w:rPr>
  </w:style>
  <w:style w:type="character" w:customStyle="1" w:styleId="TextpoznpodarouChar">
    <w:name w:val="Text pozn. pod čarou Char"/>
    <w:basedOn w:val="Standardnpsmoodstavce"/>
    <w:link w:val="Textpoznpodarou"/>
    <w:uiPriority w:val="99"/>
    <w:semiHidden/>
    <w:rsid w:val="00AA6F99"/>
    <w:rPr>
      <w:sz w:val="20"/>
      <w:szCs w:val="20"/>
    </w:rPr>
  </w:style>
  <w:style w:type="character" w:styleId="Znakapoznpodarou">
    <w:name w:val="footnote reference"/>
    <w:basedOn w:val="Standardnpsmoodstavce"/>
    <w:uiPriority w:val="99"/>
    <w:semiHidden/>
    <w:unhideWhenUsed/>
    <w:rsid w:val="00AA6F99"/>
    <w:rPr>
      <w:vertAlign w:val="superscript"/>
    </w:rPr>
  </w:style>
  <w:style w:type="character" w:styleId="Hypertextovodkaz">
    <w:name w:val="Hyperlink"/>
    <w:basedOn w:val="Standardnpsmoodstavce"/>
    <w:uiPriority w:val="99"/>
    <w:unhideWhenUsed/>
    <w:rsid w:val="00AA6F99"/>
    <w:rPr>
      <w:color w:val="0563C1" w:themeColor="hyperlink"/>
      <w:u w:val="single"/>
    </w:rPr>
  </w:style>
  <w:style w:type="character" w:customStyle="1" w:styleId="UnresolvedMention">
    <w:name w:val="Unresolved Mention"/>
    <w:basedOn w:val="Standardnpsmoodstavce"/>
    <w:uiPriority w:val="99"/>
    <w:rsid w:val="00AA6F99"/>
    <w:rPr>
      <w:color w:val="605E5C"/>
      <w:shd w:val="clear" w:color="auto" w:fill="E1DFDD"/>
    </w:rPr>
  </w:style>
  <w:style w:type="paragraph" w:styleId="Zpat">
    <w:name w:val="footer"/>
    <w:basedOn w:val="Normln"/>
    <w:link w:val="ZpatChar"/>
    <w:uiPriority w:val="99"/>
    <w:unhideWhenUsed/>
    <w:rsid w:val="007A07B5"/>
    <w:pPr>
      <w:tabs>
        <w:tab w:val="center" w:pos="4536"/>
        <w:tab w:val="right" w:pos="9072"/>
      </w:tabs>
    </w:pPr>
  </w:style>
  <w:style w:type="character" w:customStyle="1" w:styleId="ZpatChar">
    <w:name w:val="Zápatí Char"/>
    <w:basedOn w:val="Standardnpsmoodstavce"/>
    <w:link w:val="Zpat"/>
    <w:uiPriority w:val="99"/>
    <w:rsid w:val="007A07B5"/>
  </w:style>
  <w:style w:type="character" w:styleId="slostrnky">
    <w:name w:val="page number"/>
    <w:basedOn w:val="Standardnpsmoodstavce"/>
    <w:uiPriority w:val="99"/>
    <w:semiHidden/>
    <w:unhideWhenUsed/>
    <w:rsid w:val="007A07B5"/>
  </w:style>
  <w:style w:type="character" w:styleId="Sledovanodkaz">
    <w:name w:val="FollowedHyperlink"/>
    <w:basedOn w:val="Standardnpsmoodstavce"/>
    <w:uiPriority w:val="99"/>
    <w:semiHidden/>
    <w:unhideWhenUsed/>
    <w:rsid w:val="00DD1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140">
      <w:bodyDiv w:val="1"/>
      <w:marLeft w:val="0"/>
      <w:marRight w:val="0"/>
      <w:marTop w:val="0"/>
      <w:marBottom w:val="0"/>
      <w:divBdr>
        <w:top w:val="none" w:sz="0" w:space="0" w:color="auto"/>
        <w:left w:val="none" w:sz="0" w:space="0" w:color="auto"/>
        <w:bottom w:val="none" w:sz="0" w:space="0" w:color="auto"/>
        <w:right w:val="none" w:sz="0" w:space="0" w:color="auto"/>
      </w:divBdr>
    </w:div>
    <w:div w:id="508833438">
      <w:bodyDiv w:val="1"/>
      <w:marLeft w:val="0"/>
      <w:marRight w:val="0"/>
      <w:marTop w:val="0"/>
      <w:marBottom w:val="0"/>
      <w:divBdr>
        <w:top w:val="none" w:sz="0" w:space="0" w:color="auto"/>
        <w:left w:val="none" w:sz="0" w:space="0" w:color="auto"/>
        <w:bottom w:val="none" w:sz="0" w:space="0" w:color="auto"/>
        <w:right w:val="none" w:sz="0" w:space="0" w:color="auto"/>
      </w:divBdr>
    </w:div>
    <w:div w:id="673797227">
      <w:bodyDiv w:val="1"/>
      <w:marLeft w:val="0"/>
      <w:marRight w:val="0"/>
      <w:marTop w:val="0"/>
      <w:marBottom w:val="0"/>
      <w:divBdr>
        <w:top w:val="none" w:sz="0" w:space="0" w:color="auto"/>
        <w:left w:val="none" w:sz="0" w:space="0" w:color="auto"/>
        <w:bottom w:val="none" w:sz="0" w:space="0" w:color="auto"/>
        <w:right w:val="none" w:sz="0" w:space="0" w:color="auto"/>
      </w:divBdr>
    </w:div>
    <w:div w:id="694114702">
      <w:bodyDiv w:val="1"/>
      <w:marLeft w:val="0"/>
      <w:marRight w:val="0"/>
      <w:marTop w:val="0"/>
      <w:marBottom w:val="0"/>
      <w:divBdr>
        <w:top w:val="none" w:sz="0" w:space="0" w:color="auto"/>
        <w:left w:val="none" w:sz="0" w:space="0" w:color="auto"/>
        <w:bottom w:val="none" w:sz="0" w:space="0" w:color="auto"/>
        <w:right w:val="none" w:sz="0" w:space="0" w:color="auto"/>
      </w:divBdr>
    </w:div>
    <w:div w:id="976104207">
      <w:bodyDiv w:val="1"/>
      <w:marLeft w:val="0"/>
      <w:marRight w:val="0"/>
      <w:marTop w:val="0"/>
      <w:marBottom w:val="0"/>
      <w:divBdr>
        <w:top w:val="none" w:sz="0" w:space="0" w:color="auto"/>
        <w:left w:val="none" w:sz="0" w:space="0" w:color="auto"/>
        <w:bottom w:val="none" w:sz="0" w:space="0" w:color="auto"/>
        <w:right w:val="none" w:sz="0" w:space="0" w:color="auto"/>
      </w:divBdr>
    </w:div>
    <w:div w:id="990790977">
      <w:bodyDiv w:val="1"/>
      <w:marLeft w:val="0"/>
      <w:marRight w:val="0"/>
      <w:marTop w:val="0"/>
      <w:marBottom w:val="0"/>
      <w:divBdr>
        <w:top w:val="none" w:sz="0" w:space="0" w:color="auto"/>
        <w:left w:val="none" w:sz="0" w:space="0" w:color="auto"/>
        <w:bottom w:val="none" w:sz="0" w:space="0" w:color="auto"/>
        <w:right w:val="none" w:sz="0" w:space="0" w:color="auto"/>
      </w:divBdr>
    </w:div>
    <w:div w:id="1035229540">
      <w:bodyDiv w:val="1"/>
      <w:marLeft w:val="0"/>
      <w:marRight w:val="0"/>
      <w:marTop w:val="0"/>
      <w:marBottom w:val="0"/>
      <w:divBdr>
        <w:top w:val="none" w:sz="0" w:space="0" w:color="auto"/>
        <w:left w:val="none" w:sz="0" w:space="0" w:color="auto"/>
        <w:bottom w:val="none" w:sz="0" w:space="0" w:color="auto"/>
        <w:right w:val="none" w:sz="0" w:space="0" w:color="auto"/>
      </w:divBdr>
    </w:div>
    <w:div w:id="1822966844">
      <w:bodyDiv w:val="1"/>
      <w:marLeft w:val="0"/>
      <w:marRight w:val="0"/>
      <w:marTop w:val="0"/>
      <w:marBottom w:val="0"/>
      <w:divBdr>
        <w:top w:val="none" w:sz="0" w:space="0" w:color="auto"/>
        <w:left w:val="none" w:sz="0" w:space="0" w:color="auto"/>
        <w:bottom w:val="none" w:sz="0" w:space="0" w:color="auto"/>
        <w:right w:val="none" w:sz="0" w:space="0" w:color="auto"/>
      </w:divBdr>
    </w:div>
    <w:div w:id="1835755874">
      <w:bodyDiv w:val="1"/>
      <w:marLeft w:val="0"/>
      <w:marRight w:val="0"/>
      <w:marTop w:val="0"/>
      <w:marBottom w:val="0"/>
      <w:divBdr>
        <w:top w:val="none" w:sz="0" w:space="0" w:color="auto"/>
        <w:left w:val="none" w:sz="0" w:space="0" w:color="auto"/>
        <w:bottom w:val="none" w:sz="0" w:space="0" w:color="auto"/>
        <w:right w:val="none" w:sz="0" w:space="0" w:color="auto"/>
      </w:divBdr>
    </w:div>
    <w:div w:id="205411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dova@msp.justic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hr.coe.int/Documents/Guide_Immigration_EN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rasbourgobservers.com/2020/02/25/push-backs-of-badly-behaving-migrants-at-spanish-border-are-not-collective-expulsions-but-might-still-be-illegal-refoulements/" TargetMode="External"/><Relationship Id="rId4" Type="http://schemas.openxmlformats.org/officeDocument/2006/relationships/settings" Target="settings.xml"/><Relationship Id="rId9" Type="http://schemas.openxmlformats.org/officeDocument/2006/relationships/hyperlink" Target="https://strasbourgobservers.com/2020/03/26/n-d-and-n-t-v-spain-defining-strasbourgs-position-on-push-backs-at-land-borders/"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94DC8-9943-4DA5-8514-05B90662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2942</Words>
  <Characters>17362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Radová</dc:creator>
  <cp:keywords/>
  <dc:description/>
  <cp:lastModifiedBy>EPetrova</cp:lastModifiedBy>
  <cp:revision>2</cp:revision>
  <dcterms:created xsi:type="dcterms:W3CDTF">2020-04-27T18:23:00Z</dcterms:created>
  <dcterms:modified xsi:type="dcterms:W3CDTF">2020-04-27T18:23:00Z</dcterms:modified>
</cp:coreProperties>
</file>