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before="0" w:after="60"/>
        <w:rPr>
          <w:b/>
          <w:b/>
          <w:color w:val="2F5496" w:themeColor="accent5" w:themeShade="bf"/>
          <w:sz w:val="26"/>
          <w:szCs w:val="26"/>
        </w:rPr>
      </w:pPr>
      <w:r>
        <w:rPr>
          <w:b/>
          <w:color w:val="2F5496" w:themeColor="accent5" w:themeShade="bf"/>
          <w:sz w:val="26"/>
          <w:szCs w:val="26"/>
          <w:highlight w:val="yellow"/>
        </w:rPr>
        <w:t>Navazující veřejná správa – NP207Zk - Zkušební okruhy – postupová zkouška (20</w:t>
      </w:r>
      <w:r>
        <w:rPr>
          <w:b/>
          <w:color w:val="2F5496" w:themeColor="accent5" w:themeShade="bf"/>
          <w:sz w:val="26"/>
          <w:szCs w:val="26"/>
          <w:highlight w:val="yellow"/>
        </w:rPr>
        <w:t>20</w:t>
      </w:r>
      <w:r>
        <w:rPr>
          <w:b/>
          <w:color w:val="2F5496" w:themeColor="accent5" w:themeShade="bf"/>
          <w:sz w:val="26"/>
          <w:szCs w:val="26"/>
          <w:highlight w:val="yellow"/>
        </w:rPr>
        <w:t>)</w:t>
      </w:r>
      <w:r>
        <w:rPr>
          <w:b/>
          <w:color w:val="2F5496" w:themeColor="accent5" w:themeShade="bf"/>
          <w:sz w:val="26"/>
          <w:szCs w:val="26"/>
        </w:rPr>
        <w:t xml:space="preserve"> </w:t>
      </w:r>
    </w:p>
    <w:p>
      <w:pPr>
        <w:pStyle w:val="Tlotextu"/>
        <w:spacing w:before="0" w:after="60"/>
        <w:rPr>
          <w:b/>
          <w:b/>
          <w:color w:val="004600"/>
          <w:sz w:val="26"/>
          <w:szCs w:val="26"/>
        </w:rPr>
      </w:pPr>
      <w:r>
        <w:rPr>
          <w:b/>
          <w:color w:val="004600"/>
          <w:sz w:val="26"/>
          <w:szCs w:val="26"/>
          <w:highlight w:val="yellow"/>
        </w:rPr>
        <w:t>MPV:</w:t>
      </w:r>
    </w:p>
    <w:p>
      <w:pPr>
        <w:pStyle w:val="Normal"/>
        <w:spacing w:before="0" w:after="60"/>
        <w:rPr>
          <w:color w:val="004600"/>
          <w:sz w:val="26"/>
          <w:szCs w:val="26"/>
        </w:rPr>
      </w:pPr>
      <w:r>
        <w:rPr>
          <w:color w:val="004600"/>
          <w:sz w:val="26"/>
          <w:szCs w:val="26"/>
        </w:rPr>
        <w:t>1. Pojem mezinárodního práva, jeho specifika oproti právu vnitrostátnímu</w:t>
      </w:r>
    </w:p>
    <w:p>
      <w:pPr>
        <w:pStyle w:val="Normal"/>
        <w:spacing w:before="0" w:after="60"/>
        <w:rPr>
          <w:color w:val="004600"/>
          <w:sz w:val="26"/>
          <w:szCs w:val="26"/>
        </w:rPr>
      </w:pPr>
      <w:r>
        <w:rPr>
          <w:color w:val="004600"/>
          <w:sz w:val="26"/>
          <w:szCs w:val="26"/>
        </w:rPr>
        <w:t>2. Prameny mezinárodního práva, pojem a třídění mezinárodních smluv jako jednoho z pramenů</w:t>
      </w:r>
    </w:p>
    <w:p>
      <w:pPr>
        <w:pStyle w:val="Normal"/>
        <w:spacing w:before="0" w:after="60"/>
        <w:rPr>
          <w:color w:val="004600"/>
          <w:sz w:val="26"/>
          <w:szCs w:val="26"/>
        </w:rPr>
      </w:pPr>
      <w:r>
        <w:rPr>
          <w:color w:val="004600"/>
          <w:sz w:val="26"/>
          <w:szCs w:val="26"/>
        </w:rPr>
        <w:t>3. Proces vzniku dvoustranné mezinárodní smlouvy od kontaktních jednání až po vstup v platnost - podrobně jednotlivá stadia</w:t>
      </w:r>
    </w:p>
    <w:p>
      <w:pPr>
        <w:pStyle w:val="Normal"/>
        <w:spacing w:before="0" w:after="60"/>
        <w:rPr>
          <w:color w:val="004600"/>
          <w:sz w:val="26"/>
          <w:szCs w:val="26"/>
        </w:rPr>
      </w:pPr>
      <w:r>
        <w:rPr>
          <w:color w:val="004600"/>
          <w:sz w:val="26"/>
          <w:szCs w:val="26"/>
        </w:rPr>
        <w:t>4. Proces vzniku mnohostranné mezinárodní smlouvy až po vstup v platnost - podrobně jednotlivá stadia, vstup v platnost objektivní a subjektivní</w:t>
      </w:r>
    </w:p>
    <w:p>
      <w:pPr>
        <w:pStyle w:val="Normal"/>
        <w:spacing w:before="0" w:after="60"/>
        <w:rPr>
          <w:color w:val="004600"/>
          <w:sz w:val="26"/>
          <w:szCs w:val="26"/>
        </w:rPr>
      </w:pPr>
      <w:r>
        <w:rPr>
          <w:color w:val="004600"/>
          <w:sz w:val="26"/>
          <w:szCs w:val="26"/>
        </w:rPr>
        <w:t>5. Subjekty mezinárodního práva, stát jako subjekt, jeho pojmové znaky</w:t>
      </w:r>
    </w:p>
    <w:p>
      <w:pPr>
        <w:pStyle w:val="Normal"/>
        <w:spacing w:before="0" w:after="60"/>
        <w:rPr>
          <w:b/>
          <w:b/>
          <w:color w:val="800000"/>
          <w:sz w:val="26"/>
          <w:szCs w:val="26"/>
        </w:rPr>
      </w:pPr>
      <w:r>
        <w:rPr>
          <w:b/>
          <w:color w:val="800000"/>
          <w:sz w:val="26"/>
          <w:szCs w:val="26"/>
          <w:highlight w:val="yellow"/>
        </w:rPr>
        <w:t>EU:</w:t>
      </w:r>
      <w:bookmarkStart w:id="0" w:name="_GoBack"/>
      <w:bookmarkEnd w:id="0"/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6. Pojem nadstátnosti EU - podstata, projevy, vztah k suverenitě členských států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7. Porovnání běžné mezivládní organizace a nadstátní organizace (EU) - podstatné rozdíly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8. Vývoj evropské integrace a jeho mezníky z hlediska integračních organizací a jejich povahy (EHS, ESVO, Euratom, ES, EU, EHP)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9. Lisabonská smlouva - hlavní vývojové změny, které přinesla (ES x EU)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10. Pravomoci EU - typy, stanovení, rozšiřování, principy subsidiarity a proporcionality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11. Institucionální struktura EU - soustava orgánů, jejich pravomoci, vzájemné vazby mezi nimi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12. Právo EU - charakteristika, prameny, úprava jednotná a harmonizovaná, legislativní a nelegislativní akty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13. Aplikace práva EU v členských státech - přednost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14. Aplikace práva EU v členských státech - přímý účinek, nepřímý účinek směrnic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15. Odpovědnost členského státu EU za porušení práva EU - obecně (vůči EU) a odpovědnost za škodu vůči jednotlivci (Francovich)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16. Soudní dvůr EU - pravomoci, typy řízení (žalob), role při vynucování práva, příslušnost jeho jednotlivých složek (Tribunál)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17. Řízení před Soudním dvorem EU, generální advokáti, formy rozhodnutí (rozsudky a stanoviska)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18. Zajišťování jednotného výkladu práva EU v členských státech - řízení o předběžné otázce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19. Působení Soudního dvora EU jakožto ústavního nebo správního soudu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 xml:space="preserve">20. Vynucování práva EU vůči členským státům a vůči jednotlivcům 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21. Pojem společného trhu a jednotného vnitřního trhu EU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22. Volný pohyb zboží na vnitřním trhu EU, dovolená omezení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23. Volný pohyb osob a Prostor svobody, bezpečnosti a práva v EU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24. EU jako celní unie, společná obchodní politika</w:t>
      </w:r>
    </w:p>
    <w:p>
      <w:pPr>
        <w:pStyle w:val="Normal"/>
        <w:spacing w:before="0" w:after="60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25. Harmonizace daní v EU</w:t>
      </w:r>
    </w:p>
    <w:p>
      <w:pPr>
        <w:pStyle w:val="Normal"/>
        <w:spacing w:before="0" w:after="60"/>
        <w:rPr/>
      </w:pPr>
      <w:r>
        <w:rPr>
          <w:color w:val="800000"/>
          <w:sz w:val="26"/>
          <w:szCs w:val="26"/>
        </w:rPr>
        <w:t>26. Ochrana lidských práv v právu EU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sz w:val="24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WenQuanYi Micro Hei" w:cs="FreeSans"/>
      <w:color w:val="00000A"/>
      <w:kern w:val="0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Symbol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2424f"/>
    <w:rPr>
      <w:rFonts w:ascii="Segoe UI" w:hAnsi="Segoe UI" w:cs="Mangal"/>
      <w:color w:val="00000A"/>
      <w:sz w:val="18"/>
      <w:szCs w:val="16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lotextu" w:customStyle="1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Seznamnadpis" w:customStyle="1">
    <w:name w:val="Seznam nadpisů"/>
    <w:basedOn w:val="Normal"/>
    <w:qFormat/>
    <w:pPr/>
    <w:rPr/>
  </w:style>
  <w:style w:type="paragraph" w:styleId="Obsahseznamu" w:customStyle="1">
    <w:name w:val="Obsah seznamu"/>
    <w:basedOn w:val="Normal"/>
    <w:qFormat/>
    <w:pPr>
      <w:ind w:left="567" w:hanging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2424f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335</Words>
  <Characters>1929</Characters>
  <CharactersWithSpaces>2239</CharactersWithSpaces>
  <Paragraphs>29</Paragraphs>
  <Company>PrF MU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2019-04-16T13:27:00Z</dcterms:created>
  <dc:creator>Vladimír Týč</dc:creator>
  <dc:description/>
  <dc:language>cs-CZ</dc:language>
  <cp:lastModifiedBy>Vladimír Týč</cp:lastModifiedBy>
  <cp:lastPrinted>2017-02-21T15:32:00Z</cp:lastPrinted>
  <dcterms:modified xsi:type="dcterms:W3CDTF">2020-03-20T16:02:16Z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