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5B" w:rsidRPr="006B305B" w:rsidRDefault="006B305B" w:rsidP="006B305B">
      <w:pPr>
        <w:spacing w:after="0" w:line="487" w:lineRule="atLeast"/>
        <w:textAlignment w:val="baseline"/>
        <w:outlineLvl w:val="0"/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</w:pP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Final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judgment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 xml:space="preserve"> EU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Court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 xml:space="preserve"> Justice: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logging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 xml:space="preserve"> in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Bialowieza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Forest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breaks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 xml:space="preserve"> EU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17"/>
          <w:kern w:val="36"/>
          <w:sz w:val="51"/>
          <w:szCs w:val="51"/>
          <w:lang w:eastAsia="cs-CZ"/>
        </w:rPr>
        <w:t>law</w:t>
      </w:r>
      <w:proofErr w:type="spellEnd"/>
    </w:p>
    <w:p w:rsidR="006B305B" w:rsidRPr="006B305B" w:rsidRDefault="006B305B" w:rsidP="006B305B">
      <w:pPr>
        <w:spacing w:after="0" w:line="298" w:lineRule="atLeast"/>
        <w:textAlignment w:val="baseline"/>
        <w:rPr>
          <w:rFonts w:ascii="Times New Roman" w:eastAsia="Times New Roman" w:hAnsi="Times New Roman" w:cs="Times New Roman"/>
          <w:color w:val="858C8F"/>
          <w:sz w:val="19"/>
          <w:szCs w:val="19"/>
          <w:lang w:eastAsia="cs-CZ"/>
        </w:rPr>
      </w:pPr>
      <w:proofErr w:type="spellStart"/>
      <w:r w:rsidRPr="006B305B">
        <w:rPr>
          <w:rFonts w:ascii="Times New Roman" w:eastAsia="Times New Roman" w:hAnsi="Times New Roman" w:cs="Times New Roman"/>
          <w:color w:val="9D9F93"/>
          <w:sz w:val="19"/>
          <w:szCs w:val="19"/>
          <w:bdr w:val="none" w:sz="0" w:space="0" w:color="auto" w:frame="1"/>
          <w:lang w:eastAsia="cs-CZ"/>
        </w:rPr>
        <w:t>News</w:t>
      </w:r>
      <w:proofErr w:type="spellEnd"/>
      <w:r w:rsidRPr="006B305B">
        <w:rPr>
          <w:rFonts w:ascii="Times New Roman" w:eastAsia="Times New Roman" w:hAnsi="Times New Roman" w:cs="Times New Roman"/>
          <w:color w:val="858C8F"/>
          <w:sz w:val="19"/>
          <w:szCs w:val="19"/>
          <w:lang w:eastAsia="cs-CZ"/>
        </w:rPr>
        <w:t xml:space="preserve"> / 17 </w:t>
      </w:r>
      <w:proofErr w:type="spellStart"/>
      <w:r w:rsidRPr="006B305B">
        <w:rPr>
          <w:rFonts w:ascii="Times New Roman" w:eastAsia="Times New Roman" w:hAnsi="Times New Roman" w:cs="Times New Roman"/>
          <w:color w:val="858C8F"/>
          <w:sz w:val="19"/>
          <w:szCs w:val="19"/>
          <w:lang w:eastAsia="cs-CZ"/>
        </w:rPr>
        <w:t>April</w:t>
      </w:r>
      <w:proofErr w:type="spellEnd"/>
      <w:r w:rsidRPr="006B305B">
        <w:rPr>
          <w:rFonts w:ascii="Times New Roman" w:eastAsia="Times New Roman" w:hAnsi="Times New Roman" w:cs="Times New Roman"/>
          <w:color w:val="858C8F"/>
          <w:sz w:val="19"/>
          <w:szCs w:val="19"/>
          <w:lang w:eastAsia="cs-CZ"/>
        </w:rPr>
        <w:t xml:space="preserve"> 2018</w:t>
      </w:r>
    </w:p>
    <w:p w:rsidR="006B305B" w:rsidRPr="006B305B" w:rsidRDefault="006B305B" w:rsidP="006B305B">
      <w:pPr>
        <w:spacing w:after="195" w:line="349" w:lineRule="atLeast"/>
        <w:textAlignment w:val="baseline"/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</w:pP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EU’s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top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court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ruled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today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that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increased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logging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in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Bialowieza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Forest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violates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EU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law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ruling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comes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into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force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immediately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so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Polish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Environment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Minister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must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quickly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reverse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decisions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that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allowed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logging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he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fails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to do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government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risks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 minimum fine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€4.3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million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and up to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tens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millions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euros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.</w:t>
      </w:r>
    </w:p>
    <w:p w:rsidR="006B305B" w:rsidRPr="006B305B" w:rsidRDefault="006B305B" w:rsidP="006B305B">
      <w:pPr>
        <w:spacing w:after="195" w:line="349" w:lineRule="atLeast"/>
        <w:textAlignment w:val="baseline"/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</w:pP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ClientEarth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chief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executive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James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Thornton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said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: “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huge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victory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all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defenders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Bialowieza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Forest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Hundreds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people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were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heavily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engaged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in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saving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unique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ancient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woodland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from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unthinkable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destruction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.</w:t>
      </w:r>
    </w:p>
    <w:p w:rsidR="006B305B" w:rsidRPr="006B305B" w:rsidRDefault="006B305B" w:rsidP="006B305B">
      <w:pPr>
        <w:spacing w:after="195" w:line="349" w:lineRule="atLeast"/>
        <w:textAlignment w:val="baseline"/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</w:pPr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“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warned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that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increased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logging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would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breach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EU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law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even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before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minister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officially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authorised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From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legal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perspective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case has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been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as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clear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as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day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from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beginning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–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was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very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obvious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that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law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was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being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broken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.</w:t>
      </w:r>
    </w:p>
    <w:p w:rsidR="006B305B" w:rsidRPr="006B305B" w:rsidRDefault="006B305B" w:rsidP="006B305B">
      <w:pPr>
        <w:spacing w:after="195" w:line="349" w:lineRule="atLeast"/>
        <w:textAlignment w:val="baseline"/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</w:pPr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“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not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end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our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fight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ruling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just on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paper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now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: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need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to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see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concrete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action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First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decisions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that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allowed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logging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must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withdrawn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Polish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government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should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also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consider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enlarging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national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park so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encompasses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whole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Bialowieza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Forest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only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way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to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guarantee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that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devastation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forest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will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not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happen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again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believe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that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 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World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Heritage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site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and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one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last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primeval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forests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in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Europe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deserves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.”</w:t>
      </w:r>
    </w:p>
    <w:p w:rsidR="006B305B" w:rsidRPr="006B305B" w:rsidRDefault="006B305B" w:rsidP="006B305B">
      <w:pPr>
        <w:spacing w:before="336" w:after="210" w:line="331" w:lineRule="atLeast"/>
        <w:textAlignment w:val="baseline"/>
        <w:outlineLvl w:val="1"/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</w:pPr>
      <w:proofErr w:type="spellStart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>History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>legal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>fight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 xml:space="preserve"> to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>protect</w:t>
      </w:r>
      <w:proofErr w:type="spellEnd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70B63E"/>
          <w:spacing w:val="-7"/>
          <w:sz w:val="33"/>
          <w:szCs w:val="33"/>
          <w:lang w:eastAsia="cs-CZ"/>
        </w:rPr>
        <w:t>Bialowieza</w:t>
      </w:r>
      <w:proofErr w:type="spellEnd"/>
    </w:p>
    <w:p w:rsidR="006B305B" w:rsidRPr="006B305B" w:rsidRDefault="006B305B" w:rsidP="006B305B">
      <w:pPr>
        <w:spacing w:after="195" w:line="349" w:lineRule="atLeast"/>
        <w:textAlignment w:val="baseline"/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</w:pP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story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began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back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in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March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2016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when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Jan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Szyszko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–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Minister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Environment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dismissed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last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month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because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case –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tripled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logging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limits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in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Bialowieza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Forest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despite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warnings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from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scientists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all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over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Europe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that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would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be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very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harmful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forest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.</w:t>
      </w:r>
    </w:p>
    <w:p w:rsidR="006B305B" w:rsidRPr="006B305B" w:rsidRDefault="006B305B" w:rsidP="006B305B">
      <w:pPr>
        <w:spacing w:after="195" w:line="349" w:lineRule="atLeast"/>
        <w:textAlignment w:val="baseline"/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</w:pP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ClientEarth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together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with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six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other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organisations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filed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complaint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to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European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Commission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Commission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acted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very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quickly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and in July 2017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case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was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already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Court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Justice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EU.</w:t>
      </w:r>
    </w:p>
    <w:p w:rsidR="006B305B" w:rsidRPr="006B305B" w:rsidRDefault="006B305B" w:rsidP="006B305B">
      <w:pPr>
        <w:spacing w:line="349" w:lineRule="atLeast"/>
        <w:textAlignment w:val="baseline"/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</w:pP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hyperlink r:id="rId5" w:tgtFrame="_blank" w:history="1">
        <w:proofErr w:type="spellStart"/>
        <w:r w:rsidRPr="006B305B">
          <w:rPr>
            <w:rFonts w:ascii="&amp;quot" w:eastAsia="Times New Roman" w:hAnsi="&amp;quot" w:cs="Times New Roman"/>
            <w:color w:val="70B63E"/>
            <w:spacing w:val="-2"/>
            <w:sz w:val="23"/>
            <w:szCs w:val="23"/>
            <w:u w:val="single"/>
            <w:bdr w:val="none" w:sz="0" w:space="0" w:color="auto" w:frame="1"/>
            <w:lang w:eastAsia="cs-CZ"/>
          </w:rPr>
          <w:t>judgment</w:t>
        </w:r>
        <w:proofErr w:type="spellEnd"/>
        <w:r w:rsidRPr="006B305B">
          <w:rPr>
            <w:rFonts w:ascii="&amp;quot" w:eastAsia="Times New Roman" w:hAnsi="&amp;quot" w:cs="Times New Roman"/>
            <w:color w:val="70B63E"/>
            <w:spacing w:val="-2"/>
            <w:sz w:val="23"/>
            <w:szCs w:val="23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6B305B">
          <w:rPr>
            <w:rFonts w:ascii="&amp;quot" w:eastAsia="Times New Roman" w:hAnsi="&amp;quot" w:cs="Times New Roman"/>
            <w:color w:val="70B63E"/>
            <w:spacing w:val="-2"/>
            <w:sz w:val="23"/>
            <w:szCs w:val="23"/>
            <w:u w:val="single"/>
            <w:bdr w:val="none" w:sz="0" w:space="0" w:color="auto" w:frame="1"/>
            <w:lang w:eastAsia="cs-CZ"/>
          </w:rPr>
          <w:t>is</w:t>
        </w:r>
        <w:proofErr w:type="spellEnd"/>
        <w:r w:rsidRPr="006B305B">
          <w:rPr>
            <w:rFonts w:ascii="&amp;quot" w:eastAsia="Times New Roman" w:hAnsi="&amp;quot" w:cs="Times New Roman"/>
            <w:color w:val="70B63E"/>
            <w:spacing w:val="-2"/>
            <w:sz w:val="23"/>
            <w:szCs w:val="23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6B305B">
          <w:rPr>
            <w:rFonts w:ascii="&amp;quot" w:eastAsia="Times New Roman" w:hAnsi="&amp;quot" w:cs="Times New Roman"/>
            <w:color w:val="70B63E"/>
            <w:spacing w:val="-2"/>
            <w:sz w:val="23"/>
            <w:szCs w:val="23"/>
            <w:u w:val="single"/>
            <w:bdr w:val="none" w:sz="0" w:space="0" w:color="auto" w:frame="1"/>
            <w:lang w:eastAsia="cs-CZ"/>
          </w:rPr>
          <w:t>final</w:t>
        </w:r>
        <w:proofErr w:type="spellEnd"/>
      </w:hyperlink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and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Polish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side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cannot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appeal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verdict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valid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from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today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so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government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will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have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to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adjust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to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as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soon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as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possible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Otherwise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Commission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will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launch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a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legal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case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over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non-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compliance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which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could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result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in hefty fines.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minimum penalty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is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€4.3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million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but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usually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in such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cases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the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fines are much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higher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,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potentially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reaching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tens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millions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of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euros</w:t>
      </w:r>
      <w:proofErr w:type="spellEnd"/>
      <w:r w:rsidRPr="006B305B">
        <w:rPr>
          <w:rFonts w:ascii="&amp;quot" w:eastAsia="Times New Roman" w:hAnsi="&amp;quot" w:cs="Times New Roman"/>
          <w:color w:val="858C8F"/>
          <w:spacing w:val="-2"/>
          <w:sz w:val="23"/>
          <w:szCs w:val="23"/>
          <w:lang w:eastAsia="cs-CZ"/>
        </w:rPr>
        <w:t>.</w:t>
      </w:r>
    </w:p>
    <w:p w:rsidR="006B305B" w:rsidRPr="006B305B" w:rsidRDefault="006B305B" w:rsidP="006B305B">
      <w:pPr>
        <w:numPr>
          <w:ilvl w:val="0"/>
          <w:numId w:val="1"/>
        </w:numPr>
        <w:shd w:val="clear" w:color="auto" w:fill="70B63E"/>
        <w:spacing w:after="0" w:line="193" w:lineRule="atLeast"/>
        <w:ind w:left="0" w:right="90"/>
        <w:textAlignment w:val="baseline"/>
        <w:rPr>
          <w:rFonts w:ascii="&amp;quot" w:eastAsia="Times New Roman" w:hAnsi="&amp;quot" w:cs="Times New Roman"/>
          <w:color w:val="858C8F"/>
          <w:spacing w:val="-2"/>
          <w:sz w:val="19"/>
          <w:szCs w:val="19"/>
          <w:lang w:eastAsia="cs-CZ"/>
        </w:rPr>
      </w:pPr>
      <w:hyperlink r:id="rId6" w:history="1"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Wildlife</w:t>
        </w:r>
        <w:proofErr w:type="spellEnd"/>
      </w:hyperlink>
    </w:p>
    <w:p w:rsidR="006B305B" w:rsidRPr="006B305B" w:rsidRDefault="006B305B" w:rsidP="006B305B">
      <w:pPr>
        <w:numPr>
          <w:ilvl w:val="0"/>
          <w:numId w:val="2"/>
        </w:numPr>
        <w:shd w:val="clear" w:color="auto" w:fill="91C568"/>
        <w:spacing w:after="0" w:line="193" w:lineRule="atLeast"/>
        <w:ind w:left="0" w:right="90"/>
        <w:textAlignment w:val="baseline"/>
        <w:rPr>
          <w:rFonts w:ascii="&amp;quot" w:eastAsia="Times New Roman" w:hAnsi="&amp;quot" w:cs="Times New Roman"/>
          <w:color w:val="858C8F"/>
          <w:spacing w:val="-2"/>
          <w:sz w:val="19"/>
          <w:szCs w:val="19"/>
          <w:lang w:eastAsia="cs-CZ"/>
        </w:rPr>
      </w:pPr>
      <w:hyperlink r:id="rId7" w:history="1"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Forest</w:t>
        </w:r>
        <w:proofErr w:type="spellEnd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Governance</w:t>
        </w:r>
        <w:proofErr w:type="spellEnd"/>
      </w:hyperlink>
    </w:p>
    <w:p w:rsidR="006B305B" w:rsidRPr="006B305B" w:rsidRDefault="006B305B" w:rsidP="006B305B">
      <w:pPr>
        <w:numPr>
          <w:ilvl w:val="0"/>
          <w:numId w:val="2"/>
        </w:numPr>
        <w:shd w:val="clear" w:color="auto" w:fill="91C568"/>
        <w:spacing w:after="0" w:line="193" w:lineRule="atLeast"/>
        <w:ind w:left="0" w:right="90"/>
        <w:textAlignment w:val="baseline"/>
        <w:rPr>
          <w:rFonts w:ascii="&amp;quot" w:eastAsia="Times New Roman" w:hAnsi="&amp;quot" w:cs="Times New Roman"/>
          <w:color w:val="858C8F"/>
          <w:spacing w:val="-2"/>
          <w:sz w:val="19"/>
          <w:szCs w:val="19"/>
          <w:lang w:eastAsia="cs-CZ"/>
        </w:rPr>
      </w:pPr>
      <w:hyperlink r:id="rId8" w:history="1"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Illegal</w:t>
        </w:r>
        <w:proofErr w:type="spellEnd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Logging</w:t>
        </w:r>
        <w:proofErr w:type="spellEnd"/>
      </w:hyperlink>
    </w:p>
    <w:p w:rsidR="006B305B" w:rsidRPr="006B305B" w:rsidRDefault="006B305B" w:rsidP="006B305B">
      <w:pPr>
        <w:numPr>
          <w:ilvl w:val="0"/>
          <w:numId w:val="2"/>
        </w:numPr>
        <w:shd w:val="clear" w:color="auto" w:fill="91C568"/>
        <w:spacing w:after="0" w:line="193" w:lineRule="atLeast"/>
        <w:ind w:left="0" w:right="90"/>
        <w:textAlignment w:val="baseline"/>
        <w:rPr>
          <w:rFonts w:ascii="&amp;quot" w:eastAsia="Times New Roman" w:hAnsi="&amp;quot" w:cs="Times New Roman"/>
          <w:color w:val="858C8F"/>
          <w:spacing w:val="-2"/>
          <w:sz w:val="19"/>
          <w:szCs w:val="19"/>
          <w:lang w:eastAsia="cs-CZ"/>
        </w:rPr>
      </w:pPr>
      <w:hyperlink r:id="rId9" w:history="1"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 xml:space="preserve">James </w:t>
        </w:r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Thornton</w:t>
        </w:r>
        <w:proofErr w:type="spellEnd"/>
      </w:hyperlink>
    </w:p>
    <w:p w:rsidR="006B305B" w:rsidRPr="006B305B" w:rsidRDefault="006B305B" w:rsidP="006B305B">
      <w:pPr>
        <w:numPr>
          <w:ilvl w:val="0"/>
          <w:numId w:val="2"/>
        </w:numPr>
        <w:shd w:val="clear" w:color="auto" w:fill="91C568"/>
        <w:spacing w:after="0" w:line="193" w:lineRule="atLeast"/>
        <w:ind w:left="0" w:right="90"/>
        <w:textAlignment w:val="baseline"/>
        <w:rPr>
          <w:rFonts w:ascii="&amp;quot" w:eastAsia="Times New Roman" w:hAnsi="&amp;quot" w:cs="Times New Roman"/>
          <w:color w:val="858C8F"/>
          <w:spacing w:val="-2"/>
          <w:sz w:val="19"/>
          <w:szCs w:val="19"/>
          <w:lang w:eastAsia="cs-CZ"/>
        </w:rPr>
      </w:pPr>
      <w:hyperlink r:id="rId10" w:history="1"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Nature</w:t>
        </w:r>
        <w:proofErr w:type="spellEnd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Directives</w:t>
        </w:r>
        <w:proofErr w:type="spellEnd"/>
      </w:hyperlink>
    </w:p>
    <w:p w:rsidR="006B305B" w:rsidRPr="006B305B" w:rsidRDefault="006B305B" w:rsidP="006B305B">
      <w:pPr>
        <w:numPr>
          <w:ilvl w:val="0"/>
          <w:numId w:val="2"/>
        </w:numPr>
        <w:shd w:val="clear" w:color="auto" w:fill="91C568"/>
        <w:spacing w:after="0" w:line="193" w:lineRule="atLeast"/>
        <w:ind w:left="0" w:right="90"/>
        <w:textAlignment w:val="baseline"/>
        <w:rPr>
          <w:rFonts w:ascii="&amp;quot" w:eastAsia="Times New Roman" w:hAnsi="&amp;quot" w:cs="Times New Roman"/>
          <w:color w:val="858C8F"/>
          <w:spacing w:val="-2"/>
          <w:sz w:val="19"/>
          <w:szCs w:val="19"/>
          <w:lang w:eastAsia="cs-CZ"/>
        </w:rPr>
      </w:pPr>
      <w:hyperlink r:id="rId11" w:history="1"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Poland's</w:t>
        </w:r>
        <w:proofErr w:type="spellEnd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forests</w:t>
        </w:r>
        <w:proofErr w:type="spellEnd"/>
      </w:hyperlink>
    </w:p>
    <w:p w:rsidR="006B305B" w:rsidRPr="006B305B" w:rsidRDefault="006B305B" w:rsidP="006B305B">
      <w:pPr>
        <w:numPr>
          <w:ilvl w:val="0"/>
          <w:numId w:val="3"/>
        </w:numPr>
        <w:shd w:val="clear" w:color="auto" w:fill="B2C2A9"/>
        <w:spacing w:after="144" w:line="193" w:lineRule="atLeast"/>
        <w:ind w:left="0" w:right="90"/>
        <w:textAlignment w:val="baseline"/>
        <w:rPr>
          <w:rFonts w:ascii="&amp;quot" w:eastAsia="Times New Roman" w:hAnsi="&amp;quot" w:cs="Times New Roman"/>
          <w:color w:val="858C8F"/>
          <w:spacing w:val="-2"/>
          <w:sz w:val="19"/>
          <w:szCs w:val="19"/>
          <w:lang w:eastAsia="cs-CZ"/>
        </w:rPr>
      </w:pPr>
      <w:hyperlink r:id="rId12" w:history="1">
        <w:proofErr w:type="spellStart"/>
        <w:r w:rsidRPr="006B305B">
          <w:rPr>
            <w:rFonts w:ascii="&amp;quot" w:eastAsia="Times New Roman" w:hAnsi="&amp;quot" w:cs="Times New Roman"/>
            <w:color w:val="FFFFFF"/>
            <w:spacing w:val="-2"/>
            <w:sz w:val="19"/>
            <w:szCs w:val="19"/>
            <w:u w:val="single"/>
            <w:bdr w:val="none" w:sz="0" w:space="0" w:color="auto" w:frame="1"/>
            <w:lang w:eastAsia="cs-CZ"/>
          </w:rPr>
          <w:t>Poland</w:t>
        </w:r>
        <w:proofErr w:type="spellEnd"/>
      </w:hyperlink>
    </w:p>
    <w:p w:rsidR="006B305B" w:rsidRPr="006B305B" w:rsidRDefault="006B305B" w:rsidP="006B305B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858C8F"/>
          <w:sz w:val="16"/>
          <w:szCs w:val="16"/>
          <w:lang w:eastAsia="cs-CZ"/>
        </w:rPr>
      </w:pPr>
      <w:proofErr w:type="spellStart"/>
      <w:r w:rsidRPr="006B305B">
        <w:rPr>
          <w:rFonts w:ascii="&amp;quot" w:eastAsia="Times New Roman" w:hAnsi="&amp;quot" w:cs="Times New Roman"/>
          <w:color w:val="858C8F"/>
          <w:sz w:val="16"/>
          <w:szCs w:val="16"/>
          <w:lang w:eastAsia="cs-CZ"/>
        </w:rPr>
        <w:t>Share</w:t>
      </w:r>
      <w:proofErr w:type="spellEnd"/>
      <w:r w:rsidRPr="006B305B">
        <w:rPr>
          <w:rFonts w:ascii="&amp;quot" w:eastAsia="Times New Roman" w:hAnsi="&amp;quot" w:cs="Times New Roman"/>
          <w:color w:val="858C8F"/>
          <w:sz w:val="16"/>
          <w:szCs w:val="16"/>
          <w:lang w:eastAsia="cs-CZ"/>
        </w:rPr>
        <w:t xml:space="preserve"> </w:t>
      </w:r>
      <w:proofErr w:type="spellStart"/>
      <w:r w:rsidRPr="006B305B">
        <w:rPr>
          <w:rFonts w:ascii="&amp;quot" w:eastAsia="Times New Roman" w:hAnsi="&amp;quot" w:cs="Times New Roman"/>
          <w:color w:val="858C8F"/>
          <w:sz w:val="16"/>
          <w:szCs w:val="16"/>
          <w:lang w:eastAsia="cs-CZ"/>
        </w:rPr>
        <w:t>this</w:t>
      </w:r>
      <w:proofErr w:type="spellEnd"/>
      <w:r w:rsidRPr="006B305B">
        <w:rPr>
          <w:rFonts w:ascii="&amp;quot" w:eastAsia="Times New Roman" w:hAnsi="&amp;quot" w:cs="Times New Roman"/>
          <w:color w:val="858C8F"/>
          <w:sz w:val="16"/>
          <w:szCs w:val="16"/>
          <w:lang w:eastAsia="cs-CZ"/>
        </w:rPr>
        <w:t>...</w:t>
      </w:r>
    </w:p>
    <w:p w:rsidR="006B305B" w:rsidRPr="006B305B" w:rsidRDefault="006B305B" w:rsidP="006B305B">
      <w:pPr>
        <w:spacing w:line="240" w:lineRule="auto"/>
        <w:textAlignment w:val="baseline"/>
        <w:rPr>
          <w:rFonts w:ascii="&amp;quot" w:eastAsia="Times New Roman" w:hAnsi="&amp;quot" w:cs="Times New Roman"/>
          <w:color w:val="858C8F"/>
          <w:sz w:val="16"/>
          <w:szCs w:val="16"/>
          <w:lang w:eastAsia="cs-CZ"/>
        </w:rPr>
      </w:pPr>
      <w:r w:rsidRPr="006B305B">
        <w:rPr>
          <w:rFonts w:ascii="&amp;quot" w:eastAsia="Times New Roman" w:hAnsi="&amp;quot" w:cs="Times New Roman"/>
          <w:noProof/>
          <w:color w:val="70B63E"/>
          <w:sz w:val="16"/>
          <w:szCs w:val="16"/>
          <w:bdr w:val="none" w:sz="0" w:space="0" w:color="auto" w:frame="1"/>
          <w:lang w:eastAsia="cs-CZ"/>
        </w:rPr>
        <w:drawing>
          <wp:inline distT="0" distB="0" distL="0" distR="0" wp14:anchorId="66CC7764" wp14:editId="7377121A">
            <wp:extent cx="504825" cy="609600"/>
            <wp:effectExtent l="0" t="0" r="9525" b="0"/>
            <wp:docPr id="5" name="obrázek 5" descr="Share on Facebook!">
              <a:hlinkClick xmlns:a="http://schemas.openxmlformats.org/drawingml/2006/main" r:id="rId13" tgtFrame="&quot;popup&quot;" tooltip="&quot;Share on Facebook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re on Facebook!">
                      <a:hlinkClick r:id="rId13" tgtFrame="&quot;popup&quot;" tooltip="&quot;Share on Facebook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5B">
        <w:rPr>
          <w:rFonts w:ascii="&amp;quot" w:eastAsia="Times New Roman" w:hAnsi="&amp;quot" w:cs="Times New Roman"/>
          <w:noProof/>
          <w:color w:val="70B63E"/>
          <w:sz w:val="16"/>
          <w:szCs w:val="16"/>
          <w:bdr w:val="none" w:sz="0" w:space="0" w:color="auto" w:frame="1"/>
          <w:lang w:eastAsia="cs-CZ"/>
        </w:rPr>
        <w:drawing>
          <wp:inline distT="0" distB="0" distL="0" distR="0" wp14:anchorId="4D0D34FB" wp14:editId="306D20B2">
            <wp:extent cx="504825" cy="609600"/>
            <wp:effectExtent l="0" t="0" r="9525" b="0"/>
            <wp:docPr id="6" name="obrázek 6" descr="Tweet this!">
              <a:hlinkClick xmlns:a="http://schemas.openxmlformats.org/drawingml/2006/main" r:id="rId15" tgtFrame="&quot;popup&quot;" tooltip="&quot;Tweet this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weet this!">
                      <a:hlinkClick r:id="rId15" tgtFrame="&quot;popup&quot;" tooltip="&quot;Tweet this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5B">
        <w:rPr>
          <w:rFonts w:ascii="&amp;quot" w:eastAsia="Times New Roman" w:hAnsi="&amp;quot" w:cs="Times New Roman"/>
          <w:noProof/>
          <w:color w:val="70B63E"/>
          <w:sz w:val="16"/>
          <w:szCs w:val="16"/>
          <w:bdr w:val="none" w:sz="0" w:space="0" w:color="auto" w:frame="1"/>
          <w:lang w:eastAsia="cs-CZ"/>
        </w:rPr>
        <w:drawing>
          <wp:inline distT="0" distB="0" distL="0" distR="0" wp14:anchorId="0EB6727A" wp14:editId="289A79F0">
            <wp:extent cx="504825" cy="609600"/>
            <wp:effectExtent l="0" t="0" r="9525" b="0"/>
            <wp:docPr id="7" name="obrázek 7" descr="Share on LinkedIn!">
              <a:hlinkClick xmlns:a="http://schemas.openxmlformats.org/drawingml/2006/main" r:id="rId17" tgtFrame="&quot;popup&quot;" tooltip="&quot;Share on LinkedIn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re on LinkedIn!">
                      <a:hlinkClick r:id="rId17" tgtFrame="&quot;popup&quot;" tooltip="&quot;Share on LinkedIn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5B">
        <w:rPr>
          <w:rFonts w:ascii="&amp;quot" w:eastAsia="Times New Roman" w:hAnsi="&amp;quot" w:cs="Times New Roman"/>
          <w:noProof/>
          <w:color w:val="70B63E"/>
          <w:sz w:val="16"/>
          <w:szCs w:val="16"/>
          <w:bdr w:val="none" w:sz="0" w:space="0" w:color="auto" w:frame="1"/>
          <w:lang w:eastAsia="cs-CZ"/>
        </w:rPr>
        <w:drawing>
          <wp:inline distT="0" distB="0" distL="0" distR="0" wp14:anchorId="08527E60" wp14:editId="7127D8BB">
            <wp:extent cx="504825" cy="609600"/>
            <wp:effectExtent l="0" t="0" r="9525" b="0"/>
            <wp:docPr id="8" name="obrázek 8" descr="Email!">
              <a:hlinkClick xmlns:a="http://schemas.openxmlformats.org/drawingml/2006/main" r:id="rId19" tgtFrame="&quot;_blank&quot;" tooltip="&quot;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ail!">
                      <a:hlinkClick r:id="rId19" tgtFrame="&quot;_blank&quot;" tooltip="&quot;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5B" w:rsidRPr="006B305B" w:rsidRDefault="006B305B" w:rsidP="006B305B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858C8F"/>
          <w:sz w:val="15"/>
          <w:szCs w:val="15"/>
          <w:lang w:eastAsia="cs-CZ"/>
        </w:rPr>
      </w:pPr>
      <w:hyperlink r:id="rId21" w:tgtFrame="_blank" w:history="1">
        <w:proofErr w:type="spellStart"/>
        <w:r w:rsidRPr="006B305B">
          <w:rPr>
            <w:rFonts w:ascii="&amp;quot" w:eastAsia="Times New Roman" w:hAnsi="&amp;quot" w:cs="Times New Roman"/>
            <w:color w:val="858C8F"/>
            <w:sz w:val="15"/>
            <w:szCs w:val="15"/>
            <w:u w:val="single"/>
            <w:bdr w:val="none" w:sz="0" w:space="0" w:color="auto" w:frame="1"/>
            <w:lang w:eastAsia="cs-CZ"/>
          </w:rPr>
          <w:t>Christoph</w:t>
        </w:r>
        <w:proofErr w:type="spellEnd"/>
        <w:r w:rsidRPr="006B305B">
          <w:rPr>
            <w:rFonts w:ascii="&amp;quot" w:eastAsia="Times New Roman" w:hAnsi="&amp;quot" w:cs="Times New Roman"/>
            <w:color w:val="858C8F"/>
            <w:sz w:val="15"/>
            <w:szCs w:val="15"/>
            <w:u w:val="single"/>
            <w:bdr w:val="none" w:sz="0" w:space="0" w:color="auto" w:frame="1"/>
            <w:lang w:eastAsia="cs-CZ"/>
          </w:rPr>
          <w:t xml:space="preserve"> Anton </w:t>
        </w:r>
        <w:proofErr w:type="spellStart"/>
        <w:r w:rsidRPr="006B305B">
          <w:rPr>
            <w:rFonts w:ascii="&amp;quot" w:eastAsia="Times New Roman" w:hAnsi="&amp;quot" w:cs="Times New Roman"/>
            <w:color w:val="858C8F"/>
            <w:sz w:val="15"/>
            <w:szCs w:val="15"/>
            <w:u w:val="single"/>
            <w:bdr w:val="none" w:sz="0" w:space="0" w:color="auto" w:frame="1"/>
            <w:lang w:eastAsia="cs-CZ"/>
          </w:rPr>
          <w:t>Mitterer</w:t>
        </w:r>
        <w:proofErr w:type="spellEnd"/>
      </w:hyperlink>
    </w:p>
    <w:p w:rsidR="00890D64" w:rsidRDefault="00890D64">
      <w:bookmarkStart w:id="0" w:name="_GoBack"/>
      <w:bookmarkEnd w:id="0"/>
    </w:p>
    <w:sectPr w:rsidR="0089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C30"/>
    <w:multiLevelType w:val="multilevel"/>
    <w:tmpl w:val="1C86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542B1"/>
    <w:multiLevelType w:val="multilevel"/>
    <w:tmpl w:val="63B2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54D36"/>
    <w:multiLevelType w:val="multilevel"/>
    <w:tmpl w:val="BD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5B"/>
    <w:rsid w:val="006B305B"/>
    <w:rsid w:val="008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1008C-7AA4-4D6F-B8B5-41AAEDCE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1">
          <w:marLeft w:val="0"/>
          <w:marRight w:val="57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16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748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732">
          <w:marLeft w:val="0"/>
          <w:marRight w:val="57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56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707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entearth.org/illegal-logging/" TargetMode="External"/><Relationship Id="rId13" Type="http://schemas.openxmlformats.org/officeDocument/2006/relationships/hyperlink" Target="http://www.facebook.com/sharer.php?u=https://www.clientearth.org/judgment-of-the-eu-court-of-justice-logging-in-bialowieza-forest-breaks-eu-law/&amp;t=Final%20judgment%20of%20the%20EU%20Court%20of%20Justice:%20logging%20in%20Bialowieza%20Forest%20breaks%20EU%20law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commons.wikimedia.org/wiki/File:Eurasian_lynx_(Lynx_lynx).jpeg" TargetMode="External"/><Relationship Id="rId7" Type="http://schemas.openxmlformats.org/officeDocument/2006/relationships/hyperlink" Target="https://www.clientearth.org/forest-governance/" TargetMode="External"/><Relationship Id="rId12" Type="http://schemas.openxmlformats.org/officeDocument/2006/relationships/hyperlink" Target="https://www.clientearth.org/poland/" TargetMode="External"/><Relationship Id="rId17" Type="http://schemas.openxmlformats.org/officeDocument/2006/relationships/hyperlink" Target="http://www.linkedin.com/shareArticle?mini=true&amp;title=Final%20judgment%20of%20the%20EU%20Court%20of%20Justice:%20logging%20in%20Bialowieza%20Forest%20breaks%20EU%20law&amp;url=https://www.clientearth.org/judgment-of-the-eu-court-of-justice-logging-in-bialowieza-forest-breaks-eu-law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www.clientearth.org/wildlife/" TargetMode="External"/><Relationship Id="rId11" Type="http://schemas.openxmlformats.org/officeDocument/2006/relationships/hyperlink" Target="https://www.clientearth.org/polands-forests/" TargetMode="External"/><Relationship Id="rId5" Type="http://schemas.openxmlformats.org/officeDocument/2006/relationships/hyperlink" Target="https://curia.europa.eu/jcms/jcms/Jo1_6581/en/" TargetMode="External"/><Relationship Id="rId15" Type="http://schemas.openxmlformats.org/officeDocument/2006/relationships/hyperlink" Target="http://twitter.com/home/?status=Final%20judgment%20of%20the%20EU%20Court%20of%20Justice:%20logging%20in%20Bialowieza%20Forest%20breaks%20EU%20law%20-%20https://www.clientearth.org/judgment-of-the-eu-court-of-justice-logging-in-bialowieza-forest-breaks-eu-la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lientearth.org/nature-directives/" TargetMode="External"/><Relationship Id="rId19" Type="http://schemas.openxmlformats.org/officeDocument/2006/relationships/hyperlink" Target="mailto:type%20email%20address%20here?subject=Final%20judgment%20of%20the%20EU%20Court%20of%20Justice:%20logging%20in%20Bialowieza%20Forest%20breaks%20EU%20law&amp;body=https://www.clientearth.org/judgment-of-the-eu-court-of-justice-logging-in-bialowieza-forest-breaks-eu-la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entearth.org/james-thornton/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Jančářová</dc:creator>
  <cp:keywords/>
  <dc:description/>
  <cp:lastModifiedBy>Ilona Jančářová</cp:lastModifiedBy>
  <cp:revision>1</cp:revision>
  <dcterms:created xsi:type="dcterms:W3CDTF">2018-05-22T12:21:00Z</dcterms:created>
  <dcterms:modified xsi:type="dcterms:W3CDTF">2018-05-22T12:22:00Z</dcterms:modified>
</cp:coreProperties>
</file>