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A5C1" w14:textId="77777777" w:rsidR="00094FBE" w:rsidRDefault="00FE5049" w:rsidP="008A1B71">
      <w:pPr>
        <w:pStyle w:val="Nzev"/>
      </w:pPr>
      <w:r>
        <w:t>řízení před soudem prvního stupně</w:t>
      </w:r>
    </w:p>
    <w:p w14:paraId="0D0ADF44" w14:textId="77777777" w:rsidR="008A1B71" w:rsidRDefault="008A1B71" w:rsidP="008A1B71">
      <w:pPr>
        <w:pStyle w:val="Podnadpis"/>
      </w:pPr>
      <w:r>
        <w:t xml:space="preserve">Příklady </w:t>
      </w:r>
      <w:r w:rsidR="00CD344C">
        <w:t>na seminář</w:t>
      </w:r>
    </w:p>
    <w:p w14:paraId="0059BF81" w14:textId="77777777" w:rsidR="00CD344C" w:rsidRDefault="00CD344C" w:rsidP="000E680E">
      <w:pPr>
        <w:pStyle w:val="Odstavecseseznamem"/>
        <w:spacing w:after="120" w:line="240" w:lineRule="auto"/>
        <w:jc w:val="both"/>
        <w:rPr>
          <w:rFonts w:ascii="Century Gothic" w:hAnsi="Century Gothic"/>
        </w:rPr>
      </w:pPr>
    </w:p>
    <w:p w14:paraId="345CEABD" w14:textId="77777777" w:rsidR="007C36D5" w:rsidRPr="007C36D5" w:rsidRDefault="007C36D5" w:rsidP="007C36D5">
      <w:pPr>
        <w:pStyle w:val="Odstavecseseznamem"/>
        <w:spacing w:after="120" w:line="240" w:lineRule="auto"/>
        <w:ind w:left="714"/>
        <w:jc w:val="both"/>
        <w:rPr>
          <w:rFonts w:ascii="Century Gothic" w:hAnsi="Century Gothic"/>
        </w:rPr>
      </w:pPr>
      <w:bookmarkStart w:id="0" w:name="_GoBack"/>
      <w:bookmarkEnd w:id="0"/>
    </w:p>
    <w:p w14:paraId="0E146559" w14:textId="0725FB78" w:rsidR="00CD344C" w:rsidRPr="00CD344C" w:rsidRDefault="00CD344C" w:rsidP="007C36D5">
      <w:pPr>
        <w:pStyle w:val="Odstavecseseznamem"/>
        <w:numPr>
          <w:ilvl w:val="0"/>
          <w:numId w:val="7"/>
        </w:numPr>
        <w:spacing w:after="120" w:line="240" w:lineRule="auto"/>
        <w:ind w:left="714" w:hanging="357"/>
        <w:jc w:val="both"/>
        <w:rPr>
          <w:rFonts w:ascii="Century Gothic" w:hAnsi="Century Gothic"/>
        </w:rPr>
      </w:pPr>
      <w:r w:rsidRPr="00CD344C">
        <w:rPr>
          <w:rFonts w:ascii="Century Gothic" w:hAnsi="Century Gothic"/>
        </w:rPr>
        <w:t xml:space="preserve">Žalobce A podal žalobu o zrušení podílového spoluvlastnictví k pozemku, který mu náležel spolu s žalovaným B, a to přikázáním věci do výlučného vlastnictví A </w:t>
      </w:r>
      <w:r w:rsidR="003B3E5C">
        <w:rPr>
          <w:rFonts w:ascii="Century Gothic" w:hAnsi="Century Gothic"/>
        </w:rPr>
        <w:t>za náhradu ve prospěch B. Dne 15. 4. 2020</w:t>
      </w:r>
      <w:r w:rsidRPr="00CD344C">
        <w:rPr>
          <w:rFonts w:ascii="Century Gothic" w:hAnsi="Century Gothic"/>
        </w:rPr>
        <w:t xml:space="preserve"> byla žalovanému doručena výzva soudu I. stupně dle § </w:t>
      </w:r>
      <w:proofErr w:type="gramStart"/>
      <w:r w:rsidRPr="00CD344C">
        <w:rPr>
          <w:rFonts w:ascii="Century Gothic" w:hAnsi="Century Gothic"/>
        </w:rPr>
        <w:t>114b</w:t>
      </w:r>
      <w:proofErr w:type="gramEnd"/>
      <w:r w:rsidRPr="00CD344C">
        <w:rPr>
          <w:rFonts w:ascii="Century Gothic" w:hAnsi="Century Gothic"/>
        </w:rPr>
        <w:t xml:space="preserve"> OSŘ, v níž byl žalovaný vyzván, aby se do třiceti dnů ode dne doručení tohoto usnesení vyjádřil, a zároveň byl v souladu s citovaným ustanovením poučen o následcích, které by nastaly v přípa</w:t>
      </w:r>
      <w:r w:rsidR="003B3E5C">
        <w:rPr>
          <w:rFonts w:ascii="Century Gothic" w:hAnsi="Century Gothic"/>
        </w:rPr>
        <w:t>dě, že by výzvě nevyhověl. Dne 14. 5. 2020</w:t>
      </w:r>
      <w:r w:rsidRPr="00CD344C">
        <w:rPr>
          <w:rFonts w:ascii="Century Gothic" w:hAnsi="Century Gothic"/>
        </w:rPr>
        <w:t xml:space="preserve"> bylo soudu doručeno vyjádření žalovaného, jehož obsahem bylo pouhé konstatování, že s návrhem na zrušení podílového spoluvlastnictví nesouhlasí a p</w:t>
      </w:r>
      <w:r w:rsidR="003B3E5C">
        <w:rPr>
          <w:rFonts w:ascii="Century Gothic" w:hAnsi="Century Gothic"/>
        </w:rPr>
        <w:t>ovažuje jej za nedůvodný. Dne 19. 5. 2020</w:t>
      </w:r>
      <w:r w:rsidRPr="00CD344C">
        <w:rPr>
          <w:rFonts w:ascii="Century Gothic" w:hAnsi="Century Gothic"/>
        </w:rPr>
        <w:t xml:space="preserve"> doručil žalovaný soudu podání, v němž žalovaný důvody svého nesouhlasu rozváděl, uvedl skutkové přednesy a učinil důkazní návrhy. Soud I. stupně vyhověl žalobě rozsudkem pro uznání s tím, že vyjádření žalovaného ve stanovené lhůtě bylo nedostatečné, a že k vyjádření doručenému po lhůtě již nebylo možno přihlížet. Žalovaný podal proti rozsudku odvolání, v němž postup soudu I. stupně označil za přepjatý formalismus, který je sofistikovaným zdůvodněním zjevné nespravedlnosti. Zvažte, zda je odvolání důvodné, či nikoliv.</w:t>
      </w:r>
    </w:p>
    <w:p w14:paraId="3F80C4A0" w14:textId="77777777" w:rsidR="00CD344C" w:rsidRDefault="00CD344C" w:rsidP="000E680E">
      <w:pPr>
        <w:pStyle w:val="Odstavecseseznamem"/>
        <w:spacing w:after="120" w:line="240" w:lineRule="auto"/>
        <w:jc w:val="both"/>
        <w:rPr>
          <w:rFonts w:ascii="Century Gothic" w:hAnsi="Century Gothic"/>
        </w:rPr>
      </w:pPr>
    </w:p>
    <w:p w14:paraId="4A04064C" w14:textId="77777777" w:rsidR="000E680E" w:rsidRDefault="00925A8C" w:rsidP="000E680E">
      <w:pPr>
        <w:pStyle w:val="Odstavecseseznamem"/>
        <w:numPr>
          <w:ilvl w:val="0"/>
          <w:numId w:val="7"/>
        </w:numPr>
        <w:spacing w:after="120" w:line="240" w:lineRule="auto"/>
        <w:ind w:left="714" w:hanging="357"/>
        <w:jc w:val="both"/>
        <w:rPr>
          <w:rFonts w:ascii="Century Gothic" w:hAnsi="Century Gothic"/>
        </w:rPr>
      </w:pPr>
      <w:r w:rsidRPr="00F118FE">
        <w:rPr>
          <w:rFonts w:ascii="Century Gothic" w:hAnsi="Century Gothic"/>
        </w:rPr>
        <w:t>Rozvedená manželka Anna Hruška se rozhodla podat proti bývalému manželovi Pavlu Hruškovi žalobu o vypořádání</w:t>
      </w:r>
      <w:r>
        <w:rPr>
          <w:rFonts w:ascii="Century Gothic" w:hAnsi="Century Gothic"/>
        </w:rPr>
        <w:t xml:space="preserve"> společného jmění manželů. V žalob</w:t>
      </w:r>
      <w:r w:rsidR="00A43363">
        <w:rPr>
          <w:rFonts w:ascii="Century Gothic" w:hAnsi="Century Gothic"/>
        </w:rPr>
        <w:t xml:space="preserve">ě navrhla žalobkyně vypořádání </w:t>
      </w:r>
      <w:r>
        <w:rPr>
          <w:rFonts w:ascii="Century Gothic" w:hAnsi="Century Gothic"/>
        </w:rPr>
        <w:t xml:space="preserve">40 položek, které mají tvořit součást SJM. Soud se rozhodl nařídit v této věci přípravné jednání. Oba účastníky na přípravné jednání předvolal, nicméně ani jeden z nich se </w:t>
      </w:r>
      <w:r w:rsidR="00FA2268">
        <w:rPr>
          <w:rFonts w:ascii="Century Gothic" w:hAnsi="Century Gothic"/>
        </w:rPr>
        <w:t xml:space="preserve">při představě, že by se měli navzájem spatřit, nakonec </w:t>
      </w:r>
      <w:r>
        <w:rPr>
          <w:rFonts w:ascii="Century Gothic" w:hAnsi="Century Gothic"/>
        </w:rPr>
        <w:t xml:space="preserve">nedostavil. Mohl soud v této věci nařídit přípravné jednání? A jak by měl soud rozhodnout v případě, že se ani jedna ze stran na přípravné jednání nedostavila? </w:t>
      </w:r>
    </w:p>
    <w:p w14:paraId="17726B4D" w14:textId="77777777" w:rsidR="000E680E" w:rsidRPr="000E680E" w:rsidRDefault="000E680E" w:rsidP="000E680E">
      <w:pPr>
        <w:pStyle w:val="Odstavecseseznamem"/>
        <w:rPr>
          <w:rFonts w:ascii="Century Gothic" w:hAnsi="Century Gothic"/>
        </w:rPr>
      </w:pPr>
    </w:p>
    <w:p w14:paraId="1B8B2CB6" w14:textId="411A0BE0" w:rsidR="0041294F" w:rsidRPr="000E680E" w:rsidRDefault="0041294F" w:rsidP="000E680E">
      <w:pPr>
        <w:pStyle w:val="Odstavecseseznamem"/>
        <w:numPr>
          <w:ilvl w:val="0"/>
          <w:numId w:val="7"/>
        </w:numPr>
        <w:spacing w:after="120" w:line="240" w:lineRule="auto"/>
        <w:ind w:left="714" w:hanging="357"/>
        <w:jc w:val="both"/>
        <w:rPr>
          <w:rFonts w:ascii="Century Gothic" w:hAnsi="Century Gothic"/>
        </w:rPr>
      </w:pPr>
      <w:r w:rsidRPr="000E680E">
        <w:rPr>
          <w:rFonts w:ascii="Century Gothic" w:hAnsi="Century Gothic"/>
        </w:rPr>
        <w:t xml:space="preserve">Po doručení žaloby vyzval Obvodní soud pro Prahu 2 žalovaného podle § 114a odst. 2 písm. a) OSŘ, aby se písemně vyjádřil. Po dojití vyjádření k žalobě soud nařídil jednání. </w:t>
      </w:r>
      <w:r w:rsidR="0078300C">
        <w:rPr>
          <w:rFonts w:ascii="Century Gothic" w:hAnsi="Century Gothic"/>
        </w:rPr>
        <w:t xml:space="preserve">V předvolání k jednání byli účastníci poučeni o koncentraci řízení. </w:t>
      </w:r>
      <w:r w:rsidRPr="000E680E">
        <w:rPr>
          <w:rFonts w:ascii="Century Gothic" w:hAnsi="Century Gothic"/>
        </w:rPr>
        <w:t xml:space="preserve">Na jednání konaném dne 10. 3. 2020 od 9,45 žalobce přednesl žalobu a následně žalovaný sdělil obsah podaného písemného vyjádření. </w:t>
      </w:r>
      <w:r w:rsidR="00076DE9" w:rsidRPr="000E680E">
        <w:rPr>
          <w:rFonts w:ascii="Century Gothic" w:hAnsi="Century Gothic"/>
        </w:rPr>
        <w:t>Ihned p</w:t>
      </w:r>
      <w:r w:rsidRPr="000E680E">
        <w:rPr>
          <w:rFonts w:ascii="Century Gothic" w:hAnsi="Century Gothic"/>
        </w:rPr>
        <w:t>oté bylo jednání z časových důvodů odročeno, neboť měl soud další jednání v jiné věci nařízeno na 10,00</w:t>
      </w:r>
      <w:r w:rsidR="0078300C">
        <w:rPr>
          <w:rFonts w:ascii="Century Gothic" w:hAnsi="Century Gothic"/>
        </w:rPr>
        <w:t>. Před skončením tohoto jednání soud opět poučil účastníky o koncentraci řízení. T</w:t>
      </w:r>
      <w:r w:rsidRPr="000E680E">
        <w:rPr>
          <w:rFonts w:ascii="Century Gothic" w:hAnsi="Century Gothic"/>
        </w:rPr>
        <w:t xml:space="preserve">ermín druhého jednání byl stanoven na </w:t>
      </w:r>
      <w:r w:rsidR="00D2100C" w:rsidRPr="000E680E">
        <w:rPr>
          <w:rFonts w:ascii="Century Gothic" w:hAnsi="Century Gothic"/>
        </w:rPr>
        <w:t>4</w:t>
      </w:r>
      <w:r w:rsidRPr="000E680E">
        <w:rPr>
          <w:rFonts w:ascii="Century Gothic" w:hAnsi="Century Gothic"/>
        </w:rPr>
        <w:t>. </w:t>
      </w:r>
      <w:r w:rsidR="00D2100C" w:rsidRPr="000E680E">
        <w:rPr>
          <w:rFonts w:ascii="Century Gothic" w:hAnsi="Century Gothic"/>
        </w:rPr>
        <w:t>5</w:t>
      </w:r>
      <w:r w:rsidRPr="000E680E">
        <w:rPr>
          <w:rFonts w:ascii="Century Gothic" w:hAnsi="Century Gothic"/>
        </w:rPr>
        <w:t xml:space="preserve">. 2020. Na druhém jednání žalobce navrhl ke skutečnostem tvrzeným v žalobě nový důkaz, a sice výslech dvou svědků. Obvodní soud pro Prahu 2 však tento návrh </w:t>
      </w:r>
      <w:r w:rsidR="00D719E0" w:rsidRPr="000E680E">
        <w:rPr>
          <w:rFonts w:ascii="Century Gothic" w:hAnsi="Century Gothic"/>
        </w:rPr>
        <w:t xml:space="preserve">překvapivě </w:t>
      </w:r>
      <w:r w:rsidRPr="000E680E">
        <w:rPr>
          <w:rFonts w:ascii="Century Gothic" w:hAnsi="Century Gothic"/>
        </w:rPr>
        <w:t>zamítl, neboť žalobce nenavrhl provedení těchto důkazů včas. Je závěr soudu správný?</w:t>
      </w:r>
    </w:p>
    <w:p w14:paraId="453EFD63" w14:textId="77777777" w:rsidR="000E680E" w:rsidRDefault="000E680E" w:rsidP="000E680E">
      <w:pPr>
        <w:pStyle w:val="Odstavecseseznamem"/>
        <w:spacing w:after="120" w:line="240" w:lineRule="auto"/>
        <w:ind w:left="714"/>
        <w:jc w:val="both"/>
        <w:rPr>
          <w:rFonts w:ascii="Century Gothic" w:hAnsi="Century Gothic"/>
        </w:rPr>
      </w:pPr>
    </w:p>
    <w:p w14:paraId="1C8B8C71" w14:textId="77777777" w:rsidR="00AF0A3D" w:rsidRDefault="00AF0A3D" w:rsidP="000E680E">
      <w:pPr>
        <w:pStyle w:val="Odstavecseseznamem"/>
        <w:numPr>
          <w:ilvl w:val="0"/>
          <w:numId w:val="7"/>
        </w:numPr>
        <w:spacing w:after="120" w:line="240" w:lineRule="auto"/>
        <w:ind w:left="714" w:hanging="357"/>
        <w:jc w:val="both"/>
        <w:rPr>
          <w:rFonts w:ascii="Century Gothic" w:hAnsi="Century Gothic"/>
        </w:rPr>
      </w:pPr>
      <w:r>
        <w:rPr>
          <w:rFonts w:ascii="Century Gothic" w:hAnsi="Century Gothic"/>
        </w:rPr>
        <w:t xml:space="preserve">Okresní soud v Blansku předvolal účastníky k prvnímu jednání ve věci a v předvolání je poučil o účincích koncentrace řízení. </w:t>
      </w:r>
      <w:r w:rsidR="00520A91">
        <w:rPr>
          <w:rFonts w:ascii="Century Gothic" w:hAnsi="Century Gothic"/>
        </w:rPr>
        <w:t xml:space="preserve">V rámci prvního jednání soud mj. vyslechl svědkyni Martu Novotnou, která vypověděla, že viděla žalovaného v noci u </w:t>
      </w:r>
      <w:r w:rsidR="00520A91">
        <w:rPr>
          <w:rFonts w:ascii="Century Gothic" w:hAnsi="Century Gothic"/>
        </w:rPr>
        <w:lastRenderedPageBreak/>
        <w:t xml:space="preserve">osobního automobilu žalobce a to při tom, jak rozbíjí žalobci přední laserové světlo. </w:t>
      </w:r>
      <w:r>
        <w:rPr>
          <w:rFonts w:ascii="Century Gothic" w:hAnsi="Century Gothic"/>
        </w:rPr>
        <w:t xml:space="preserve">Na konci prvního jednání účastníky opět poučil o tom, že řízení bude zkoncentrováno koncem prvního jednání.  První jednání skončilo a bylo nařízeno jednání druhé jednání na 15. 6. 2020. Na tomto jednání žalovaný soudu sdělil, že </w:t>
      </w:r>
      <w:r w:rsidR="00520A91">
        <w:rPr>
          <w:rFonts w:ascii="Century Gothic" w:hAnsi="Century Gothic"/>
        </w:rPr>
        <w:t xml:space="preserve">navrhuje nový důkaz – výslech svědka Jiřího Moravského, který slyšel, jak se žalobce se svědkyní Martou Novotnou domlouvá na tom, jak má před soudem vypovídat, aby to bylo ve prospěch žalobce. Soud ale tomuto návrhu na výslech Jiřího Moravského nevyhověl s odůvodněním, že byl uplatněn v rozporu s principem koncentrace řízení, o čemž byli oba účastníci řádně poučeni. Je názor soudu správný? </w:t>
      </w:r>
    </w:p>
    <w:p w14:paraId="30979DD9" w14:textId="77777777" w:rsidR="0072344C" w:rsidRPr="0072344C" w:rsidRDefault="0072344C" w:rsidP="000E680E">
      <w:pPr>
        <w:pStyle w:val="Odstavecseseznamem"/>
        <w:spacing w:after="120" w:line="240" w:lineRule="auto"/>
        <w:jc w:val="both"/>
        <w:rPr>
          <w:rFonts w:ascii="Century Gothic" w:hAnsi="Century Gothic"/>
        </w:rPr>
      </w:pPr>
    </w:p>
    <w:p w14:paraId="438F5CA8" w14:textId="77777777" w:rsidR="00F669EF" w:rsidRDefault="0072344C" w:rsidP="000E680E">
      <w:pPr>
        <w:pStyle w:val="Odstavecseseznamem"/>
        <w:numPr>
          <w:ilvl w:val="0"/>
          <w:numId w:val="7"/>
        </w:numPr>
        <w:spacing w:after="120" w:line="240" w:lineRule="auto"/>
        <w:ind w:left="714" w:hanging="357"/>
        <w:jc w:val="both"/>
        <w:rPr>
          <w:rFonts w:ascii="Century Gothic" w:hAnsi="Century Gothic"/>
        </w:rPr>
      </w:pPr>
      <w:r w:rsidRPr="0072344C">
        <w:rPr>
          <w:rFonts w:ascii="Century Gothic" w:hAnsi="Century Gothic"/>
        </w:rPr>
        <w:t xml:space="preserve">Žalobce A se žalobou domáhal po žalovaných B, C a D, aby mu rukou společnou a nerozdílnou zaplatili kupní </w:t>
      </w:r>
      <w:r>
        <w:rPr>
          <w:rFonts w:ascii="Century Gothic" w:hAnsi="Century Gothic"/>
        </w:rPr>
        <w:t>cenu za osobní automobil Mazda ve výši 360</w:t>
      </w:r>
      <w:r w:rsidRPr="0072344C">
        <w:rPr>
          <w:rFonts w:ascii="Century Gothic" w:hAnsi="Century Gothic"/>
        </w:rPr>
        <w:t xml:space="preserve"> 000 Kč s příslušenstvím. K prvnímu jednání ve věci se dostavil žalobce A </w:t>
      </w:r>
      <w:proofErr w:type="spellStart"/>
      <w:r w:rsidRPr="0072344C">
        <w:rPr>
          <w:rFonts w:ascii="Century Gothic" w:hAnsi="Century Gothic"/>
        </w:rPr>
        <w:t>a</w:t>
      </w:r>
      <w:proofErr w:type="spellEnd"/>
      <w:r w:rsidRPr="0072344C">
        <w:rPr>
          <w:rFonts w:ascii="Century Gothic" w:hAnsi="Century Gothic"/>
        </w:rPr>
        <w:t xml:space="preserve"> žalovaný C. Žalovaní B a D se bez omluvy nedostavili. Žalobce proto navrhl, aby mu soud I. stupně vyhověl vůči žalovaným B a D kontumačním rozsudkem. Žalovaný C s tím nesouhlasil, neboť dle jeho mínění takto soud nemůže rozhodnout, pokud se jednání zúčastní alespoň jeden nerozlučný společník. Zvažte, zda jsou splněny předpoklady pro rozhodnutí kontumačním rozsudkem, či nikoliv.</w:t>
      </w:r>
    </w:p>
    <w:p w14:paraId="6DE2762A" w14:textId="77777777" w:rsidR="003B3E5C" w:rsidRPr="003B3E5C" w:rsidRDefault="003B3E5C" w:rsidP="000E680E">
      <w:pPr>
        <w:pStyle w:val="Odstavecseseznamem"/>
        <w:spacing w:after="120" w:line="240" w:lineRule="auto"/>
        <w:jc w:val="both"/>
        <w:rPr>
          <w:rFonts w:ascii="Century Gothic" w:hAnsi="Century Gothic"/>
        </w:rPr>
      </w:pPr>
    </w:p>
    <w:p w14:paraId="23DC20FF" w14:textId="6D511B89" w:rsidR="003B3E5C" w:rsidRPr="003B3E5C" w:rsidRDefault="003B3E5C" w:rsidP="000E680E">
      <w:pPr>
        <w:pStyle w:val="Odstavecseseznamem"/>
        <w:numPr>
          <w:ilvl w:val="0"/>
          <w:numId w:val="7"/>
        </w:numPr>
        <w:spacing w:after="120" w:line="240" w:lineRule="auto"/>
        <w:jc w:val="both"/>
        <w:rPr>
          <w:rFonts w:ascii="Century Gothic" w:hAnsi="Century Gothic"/>
        </w:rPr>
      </w:pPr>
      <w:r w:rsidRPr="003B3E5C">
        <w:rPr>
          <w:rFonts w:ascii="Century Gothic" w:hAnsi="Century Gothic"/>
        </w:rPr>
        <w:t>Alžběta Boušková zapůjčila své kamarádce Lindě Kozákové 50 000 Kč. Linda však peníze Alžbětě ve sjednaném termínu po několika výzvách nevrátila. Z toho důvodu se nakonec Alžběta rozhodla podat k Městskému soudu v Brně proti Lindě žalobu o zaplacení 50 000 Kč. Na nařízeném jednání se obě bývalé kamarádky dostavily se svými právními zástupci (advokáty). Linda na tomto jednání uvedla, že „žalobkyni peníze již vrátila“. Soud po skončení jednání vyhlásil rozsudek, jímž žalobě vyhověl. V odůvodnění uvedl, že žalovaná blíže nespecifikovala a ani neprokázala své tvrzení, že žalobkyni již peníze vrátila. V tomto ohledu nemohl soud žalované nijak radit. Navíc byla zastoupena advokátem – právním profesionálem, o to víc nepřipadalo v úvahu poučení soudem o tom, aby své tvrzení rozvedla a podložila důkazními návrhy. Je závěr soudu</w:t>
      </w:r>
      <w:r w:rsidR="0078300C">
        <w:rPr>
          <w:rFonts w:ascii="Century Gothic" w:hAnsi="Century Gothic"/>
        </w:rPr>
        <w:t xml:space="preserve"> ohledně jeho poučovací povinnosti správný</w:t>
      </w:r>
      <w:r w:rsidRPr="003B3E5C">
        <w:rPr>
          <w:rFonts w:ascii="Century Gothic" w:hAnsi="Century Gothic"/>
        </w:rPr>
        <w:t>?</w:t>
      </w:r>
    </w:p>
    <w:p w14:paraId="4EEA944D" w14:textId="77777777" w:rsidR="003B3E5C" w:rsidRPr="0072344C" w:rsidRDefault="003B3E5C" w:rsidP="00CD0FA4">
      <w:pPr>
        <w:pStyle w:val="Odstavecseseznamem"/>
        <w:spacing w:after="240" w:line="360" w:lineRule="auto"/>
        <w:ind w:left="714"/>
        <w:jc w:val="both"/>
        <w:rPr>
          <w:rFonts w:ascii="Century Gothic" w:hAnsi="Century Gothic"/>
        </w:rPr>
      </w:pPr>
    </w:p>
    <w:sectPr w:rsidR="003B3E5C" w:rsidRPr="0072344C" w:rsidSect="001B0B5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0ECD" w16cex:dateUtc="2021-04-29T08:54:00Z"/>
  <w16cex:commentExtensible w16cex:durableId="24351108" w16cex:dateUtc="2021-04-29T09:03:00Z"/>
  <w16cex:commentExtensible w16cex:durableId="243512D8" w16cex:dateUtc="2021-04-29T09:11:00Z"/>
  <w16cex:commentExtensible w16cex:durableId="243513BD" w16cex:dateUtc="2021-04-29T09: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1CC"/>
    <w:multiLevelType w:val="hybridMultilevel"/>
    <w:tmpl w:val="F6E43432"/>
    <w:lvl w:ilvl="0" w:tplc="1382A1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350E25"/>
    <w:multiLevelType w:val="hybridMultilevel"/>
    <w:tmpl w:val="410482E0"/>
    <w:lvl w:ilvl="0" w:tplc="040A3FC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97252AC"/>
    <w:multiLevelType w:val="hybridMultilevel"/>
    <w:tmpl w:val="CFEC21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A912894"/>
    <w:multiLevelType w:val="hybridMultilevel"/>
    <w:tmpl w:val="D23CF6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E2607A1"/>
    <w:multiLevelType w:val="hybridMultilevel"/>
    <w:tmpl w:val="9D6A98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FAD53B3"/>
    <w:multiLevelType w:val="hybridMultilevel"/>
    <w:tmpl w:val="61D815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0301381"/>
    <w:multiLevelType w:val="hybridMultilevel"/>
    <w:tmpl w:val="F69C591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B2F6F9F"/>
    <w:multiLevelType w:val="hybridMultilevel"/>
    <w:tmpl w:val="C756A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A521D4"/>
    <w:multiLevelType w:val="hybridMultilevel"/>
    <w:tmpl w:val="E870C0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6AA62309"/>
    <w:multiLevelType w:val="hybridMultilevel"/>
    <w:tmpl w:val="5CA20D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B27780"/>
    <w:multiLevelType w:val="hybridMultilevel"/>
    <w:tmpl w:val="C756A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3"/>
  </w:num>
  <w:num w:numId="6">
    <w:abstractNumId w:val="4"/>
  </w:num>
  <w:num w:numId="7">
    <w:abstractNumId w:val="9"/>
  </w:num>
  <w:num w:numId="8">
    <w:abstractNumId w:val="10"/>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71"/>
    <w:rsid w:val="00011B5E"/>
    <w:rsid w:val="0002054B"/>
    <w:rsid w:val="000654CE"/>
    <w:rsid w:val="00076DE9"/>
    <w:rsid w:val="00090F1A"/>
    <w:rsid w:val="00094C2F"/>
    <w:rsid w:val="00094FBE"/>
    <w:rsid w:val="000E4F0A"/>
    <w:rsid w:val="000E680E"/>
    <w:rsid w:val="000F12D6"/>
    <w:rsid w:val="0013406A"/>
    <w:rsid w:val="001422DF"/>
    <w:rsid w:val="00144843"/>
    <w:rsid w:val="00145AB7"/>
    <w:rsid w:val="0019425C"/>
    <w:rsid w:val="001946B2"/>
    <w:rsid w:val="001B0B52"/>
    <w:rsid w:val="001D52CF"/>
    <w:rsid w:val="00201309"/>
    <w:rsid w:val="00212C96"/>
    <w:rsid w:val="00227468"/>
    <w:rsid w:val="0024260A"/>
    <w:rsid w:val="002447E9"/>
    <w:rsid w:val="00261F5C"/>
    <w:rsid w:val="002711CF"/>
    <w:rsid w:val="00275687"/>
    <w:rsid w:val="00284D0E"/>
    <w:rsid w:val="00295A65"/>
    <w:rsid w:val="002A6162"/>
    <w:rsid w:val="002D366B"/>
    <w:rsid w:val="002E5EA0"/>
    <w:rsid w:val="002F10D1"/>
    <w:rsid w:val="00305728"/>
    <w:rsid w:val="0030701A"/>
    <w:rsid w:val="003155BD"/>
    <w:rsid w:val="00317195"/>
    <w:rsid w:val="003210D6"/>
    <w:rsid w:val="00326EE8"/>
    <w:rsid w:val="0034242C"/>
    <w:rsid w:val="00352CBF"/>
    <w:rsid w:val="0035493B"/>
    <w:rsid w:val="00364028"/>
    <w:rsid w:val="0036452D"/>
    <w:rsid w:val="00380735"/>
    <w:rsid w:val="003A4BF4"/>
    <w:rsid w:val="003B3E5C"/>
    <w:rsid w:val="003C6303"/>
    <w:rsid w:val="003C75F1"/>
    <w:rsid w:val="003D040F"/>
    <w:rsid w:val="003E18CA"/>
    <w:rsid w:val="003F055F"/>
    <w:rsid w:val="003F1E0C"/>
    <w:rsid w:val="0041294F"/>
    <w:rsid w:val="00414C74"/>
    <w:rsid w:val="00451916"/>
    <w:rsid w:val="00464456"/>
    <w:rsid w:val="00465C45"/>
    <w:rsid w:val="004A3407"/>
    <w:rsid w:val="004A766F"/>
    <w:rsid w:val="004B390C"/>
    <w:rsid w:val="004D0FC2"/>
    <w:rsid w:val="004E3396"/>
    <w:rsid w:val="004F0936"/>
    <w:rsid w:val="004F7E7C"/>
    <w:rsid w:val="004F7F60"/>
    <w:rsid w:val="005062C5"/>
    <w:rsid w:val="00506B54"/>
    <w:rsid w:val="00513251"/>
    <w:rsid w:val="005169DD"/>
    <w:rsid w:val="00520A91"/>
    <w:rsid w:val="00520C52"/>
    <w:rsid w:val="0054025B"/>
    <w:rsid w:val="00541BC1"/>
    <w:rsid w:val="00541BCA"/>
    <w:rsid w:val="00545EAA"/>
    <w:rsid w:val="0055274A"/>
    <w:rsid w:val="00556BDF"/>
    <w:rsid w:val="005676E5"/>
    <w:rsid w:val="00592902"/>
    <w:rsid w:val="005A7FC5"/>
    <w:rsid w:val="005D1D51"/>
    <w:rsid w:val="005E086A"/>
    <w:rsid w:val="005E134F"/>
    <w:rsid w:val="005E6B7E"/>
    <w:rsid w:val="00600EDF"/>
    <w:rsid w:val="00606C4F"/>
    <w:rsid w:val="0064720D"/>
    <w:rsid w:val="006629FD"/>
    <w:rsid w:val="00664664"/>
    <w:rsid w:val="00697CE4"/>
    <w:rsid w:val="006B19AF"/>
    <w:rsid w:val="006D2C62"/>
    <w:rsid w:val="006E4FD3"/>
    <w:rsid w:val="0072344C"/>
    <w:rsid w:val="0072445D"/>
    <w:rsid w:val="007300D0"/>
    <w:rsid w:val="007338BE"/>
    <w:rsid w:val="007402CD"/>
    <w:rsid w:val="00763698"/>
    <w:rsid w:val="00772A81"/>
    <w:rsid w:val="0078300C"/>
    <w:rsid w:val="007C06AC"/>
    <w:rsid w:val="007C36D5"/>
    <w:rsid w:val="007D3D4C"/>
    <w:rsid w:val="007E4528"/>
    <w:rsid w:val="007F0297"/>
    <w:rsid w:val="00832E97"/>
    <w:rsid w:val="0084798C"/>
    <w:rsid w:val="0085339F"/>
    <w:rsid w:val="00855D0C"/>
    <w:rsid w:val="00862AC3"/>
    <w:rsid w:val="00883DF5"/>
    <w:rsid w:val="0089496E"/>
    <w:rsid w:val="008A1B71"/>
    <w:rsid w:val="008A1BE9"/>
    <w:rsid w:val="008B3802"/>
    <w:rsid w:val="008C796C"/>
    <w:rsid w:val="008E6B27"/>
    <w:rsid w:val="00923B4D"/>
    <w:rsid w:val="00925A8C"/>
    <w:rsid w:val="00945E82"/>
    <w:rsid w:val="00953BED"/>
    <w:rsid w:val="0095701F"/>
    <w:rsid w:val="009624C1"/>
    <w:rsid w:val="00973DC6"/>
    <w:rsid w:val="00997DEA"/>
    <w:rsid w:val="009E0AD0"/>
    <w:rsid w:val="009E1E93"/>
    <w:rsid w:val="009E5C67"/>
    <w:rsid w:val="009F03E1"/>
    <w:rsid w:val="009F7B39"/>
    <w:rsid w:val="00A171CF"/>
    <w:rsid w:val="00A26CA1"/>
    <w:rsid w:val="00A342BD"/>
    <w:rsid w:val="00A43363"/>
    <w:rsid w:val="00A5350D"/>
    <w:rsid w:val="00A72D0D"/>
    <w:rsid w:val="00A94DB5"/>
    <w:rsid w:val="00AA4DB2"/>
    <w:rsid w:val="00AB10F6"/>
    <w:rsid w:val="00AB247D"/>
    <w:rsid w:val="00AD6BEE"/>
    <w:rsid w:val="00AE05C9"/>
    <w:rsid w:val="00AF0A3D"/>
    <w:rsid w:val="00AF797E"/>
    <w:rsid w:val="00B20952"/>
    <w:rsid w:val="00B250FA"/>
    <w:rsid w:val="00B517A6"/>
    <w:rsid w:val="00B6395D"/>
    <w:rsid w:val="00B722A8"/>
    <w:rsid w:val="00B922F7"/>
    <w:rsid w:val="00BB67A6"/>
    <w:rsid w:val="00BC6E26"/>
    <w:rsid w:val="00BD3969"/>
    <w:rsid w:val="00BF0DF7"/>
    <w:rsid w:val="00C033E1"/>
    <w:rsid w:val="00C15298"/>
    <w:rsid w:val="00C32A37"/>
    <w:rsid w:val="00C53AFE"/>
    <w:rsid w:val="00C55A02"/>
    <w:rsid w:val="00C851B1"/>
    <w:rsid w:val="00CB366B"/>
    <w:rsid w:val="00CB3F68"/>
    <w:rsid w:val="00CB7169"/>
    <w:rsid w:val="00CC7B16"/>
    <w:rsid w:val="00CD0FA4"/>
    <w:rsid w:val="00CD344C"/>
    <w:rsid w:val="00CE4DFE"/>
    <w:rsid w:val="00D123DA"/>
    <w:rsid w:val="00D2100C"/>
    <w:rsid w:val="00D33BD9"/>
    <w:rsid w:val="00D33E20"/>
    <w:rsid w:val="00D57598"/>
    <w:rsid w:val="00D719E0"/>
    <w:rsid w:val="00D8203A"/>
    <w:rsid w:val="00D875E2"/>
    <w:rsid w:val="00DD3106"/>
    <w:rsid w:val="00E11934"/>
    <w:rsid w:val="00E15B6C"/>
    <w:rsid w:val="00E27149"/>
    <w:rsid w:val="00E31D59"/>
    <w:rsid w:val="00E40921"/>
    <w:rsid w:val="00E44746"/>
    <w:rsid w:val="00E470BD"/>
    <w:rsid w:val="00E57F38"/>
    <w:rsid w:val="00E625DA"/>
    <w:rsid w:val="00E731B1"/>
    <w:rsid w:val="00EB40B9"/>
    <w:rsid w:val="00EC0B25"/>
    <w:rsid w:val="00ED2F8C"/>
    <w:rsid w:val="00ED5065"/>
    <w:rsid w:val="00EE11FF"/>
    <w:rsid w:val="00EE232F"/>
    <w:rsid w:val="00EE2F65"/>
    <w:rsid w:val="00EE5C89"/>
    <w:rsid w:val="00EF3499"/>
    <w:rsid w:val="00F07C97"/>
    <w:rsid w:val="00F118FE"/>
    <w:rsid w:val="00F13EA5"/>
    <w:rsid w:val="00F40802"/>
    <w:rsid w:val="00F669EF"/>
    <w:rsid w:val="00FA2268"/>
    <w:rsid w:val="00FA4005"/>
    <w:rsid w:val="00FA5C07"/>
    <w:rsid w:val="00FC0ED3"/>
    <w:rsid w:val="00FD04E3"/>
    <w:rsid w:val="00FE5049"/>
    <w:rsid w:val="00FE5990"/>
    <w:rsid w:val="00FF22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A7C7"/>
  <w15:docId w15:val="{AA47EC00-995B-43DB-980D-722A7546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7E9"/>
  </w:style>
  <w:style w:type="paragraph" w:styleId="Nadpis1">
    <w:name w:val="heading 1"/>
    <w:basedOn w:val="Normln"/>
    <w:next w:val="Normln"/>
    <w:link w:val="Nadpis1Char"/>
    <w:uiPriority w:val="9"/>
    <w:qFormat/>
    <w:rsid w:val="002447E9"/>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Nadpis2">
    <w:name w:val="heading 2"/>
    <w:basedOn w:val="Normln"/>
    <w:next w:val="Normln"/>
    <w:link w:val="Nadpis2Char"/>
    <w:uiPriority w:val="9"/>
    <w:unhideWhenUsed/>
    <w:qFormat/>
    <w:rsid w:val="002447E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2447E9"/>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2447E9"/>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2447E9"/>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2447E9"/>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2447E9"/>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2447E9"/>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2447E9"/>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447E9"/>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NzevChar">
    <w:name w:val="Název Char"/>
    <w:basedOn w:val="Standardnpsmoodstavce"/>
    <w:link w:val="Nzev"/>
    <w:uiPriority w:val="10"/>
    <w:rsid w:val="002447E9"/>
    <w:rPr>
      <w:rFonts w:asciiTheme="majorHAnsi" w:eastAsiaTheme="majorEastAsia" w:hAnsiTheme="majorHAnsi" w:cstheme="majorBidi"/>
      <w:caps/>
      <w:color w:val="242852" w:themeColor="text2"/>
      <w:spacing w:val="30"/>
      <w:sz w:val="72"/>
      <w:szCs w:val="72"/>
    </w:rPr>
  </w:style>
  <w:style w:type="paragraph" w:styleId="Podnadpis">
    <w:name w:val="Subtitle"/>
    <w:basedOn w:val="Normln"/>
    <w:next w:val="Normln"/>
    <w:link w:val="PodnadpisChar"/>
    <w:uiPriority w:val="11"/>
    <w:qFormat/>
    <w:rsid w:val="002447E9"/>
    <w:pPr>
      <w:numPr>
        <w:ilvl w:val="1"/>
      </w:numPr>
      <w:jc w:val="center"/>
    </w:pPr>
    <w:rPr>
      <w:color w:val="242852" w:themeColor="text2"/>
      <w:sz w:val="28"/>
      <w:szCs w:val="28"/>
    </w:rPr>
  </w:style>
  <w:style w:type="character" w:customStyle="1" w:styleId="PodnadpisChar">
    <w:name w:val="Podnadpis Char"/>
    <w:basedOn w:val="Standardnpsmoodstavce"/>
    <w:link w:val="Podnadpis"/>
    <w:uiPriority w:val="11"/>
    <w:rsid w:val="002447E9"/>
    <w:rPr>
      <w:color w:val="242852" w:themeColor="text2"/>
      <w:sz w:val="28"/>
      <w:szCs w:val="28"/>
    </w:rPr>
  </w:style>
  <w:style w:type="paragraph" w:styleId="Odstavecseseznamem">
    <w:name w:val="List Paragraph"/>
    <w:basedOn w:val="Normln"/>
    <w:uiPriority w:val="34"/>
    <w:qFormat/>
    <w:rsid w:val="008A1B71"/>
    <w:pPr>
      <w:ind w:left="720"/>
      <w:contextualSpacing/>
    </w:pPr>
  </w:style>
  <w:style w:type="character" w:customStyle="1" w:styleId="Nadpis1Char">
    <w:name w:val="Nadpis 1 Char"/>
    <w:basedOn w:val="Standardnpsmoodstavce"/>
    <w:link w:val="Nadpis1"/>
    <w:uiPriority w:val="9"/>
    <w:rsid w:val="002447E9"/>
    <w:rPr>
      <w:rFonts w:asciiTheme="majorHAnsi" w:eastAsiaTheme="majorEastAsia" w:hAnsiTheme="majorHAnsi" w:cstheme="majorBidi"/>
      <w:color w:val="374C80" w:themeColor="accent1" w:themeShade="BF"/>
      <w:sz w:val="40"/>
      <w:szCs w:val="40"/>
    </w:rPr>
  </w:style>
  <w:style w:type="character" w:customStyle="1" w:styleId="Nadpis2Char">
    <w:name w:val="Nadpis 2 Char"/>
    <w:basedOn w:val="Standardnpsmoodstavce"/>
    <w:link w:val="Nadpis2"/>
    <w:uiPriority w:val="9"/>
    <w:rsid w:val="002447E9"/>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2447E9"/>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2447E9"/>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2447E9"/>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2447E9"/>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2447E9"/>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2447E9"/>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2447E9"/>
    <w:rPr>
      <w:b/>
      <w:bCs/>
      <w:i/>
      <w:iCs/>
    </w:rPr>
  </w:style>
  <w:style w:type="paragraph" w:styleId="Titulek">
    <w:name w:val="caption"/>
    <w:basedOn w:val="Normln"/>
    <w:next w:val="Normln"/>
    <w:uiPriority w:val="35"/>
    <w:semiHidden/>
    <w:unhideWhenUsed/>
    <w:qFormat/>
    <w:rsid w:val="002447E9"/>
    <w:pPr>
      <w:spacing w:line="240" w:lineRule="auto"/>
    </w:pPr>
    <w:rPr>
      <w:b/>
      <w:bCs/>
      <w:color w:val="404040" w:themeColor="text1" w:themeTint="BF"/>
      <w:sz w:val="16"/>
      <w:szCs w:val="16"/>
    </w:rPr>
  </w:style>
  <w:style w:type="character" w:styleId="Siln">
    <w:name w:val="Strong"/>
    <w:basedOn w:val="Standardnpsmoodstavce"/>
    <w:uiPriority w:val="22"/>
    <w:qFormat/>
    <w:rsid w:val="002447E9"/>
    <w:rPr>
      <w:b/>
      <w:bCs/>
    </w:rPr>
  </w:style>
  <w:style w:type="character" w:styleId="Zdraznn">
    <w:name w:val="Emphasis"/>
    <w:basedOn w:val="Standardnpsmoodstavce"/>
    <w:uiPriority w:val="20"/>
    <w:qFormat/>
    <w:rsid w:val="002447E9"/>
    <w:rPr>
      <w:i/>
      <w:iCs/>
      <w:color w:val="000000" w:themeColor="text1"/>
    </w:rPr>
  </w:style>
  <w:style w:type="paragraph" w:styleId="Bezmezer">
    <w:name w:val="No Spacing"/>
    <w:link w:val="BezmezerChar"/>
    <w:uiPriority w:val="1"/>
    <w:qFormat/>
    <w:rsid w:val="002447E9"/>
    <w:pPr>
      <w:spacing w:after="0" w:line="240" w:lineRule="auto"/>
    </w:pPr>
  </w:style>
  <w:style w:type="paragraph" w:styleId="Citt">
    <w:name w:val="Quote"/>
    <w:basedOn w:val="Normln"/>
    <w:next w:val="Normln"/>
    <w:link w:val="CittChar"/>
    <w:uiPriority w:val="29"/>
    <w:qFormat/>
    <w:rsid w:val="002447E9"/>
    <w:pPr>
      <w:spacing w:before="160"/>
      <w:ind w:left="720" w:right="720"/>
      <w:jc w:val="center"/>
    </w:pPr>
    <w:rPr>
      <w:i/>
      <w:iCs/>
      <w:color w:val="1E5E9F" w:themeColor="accent3" w:themeShade="BF"/>
      <w:sz w:val="24"/>
      <w:szCs w:val="24"/>
    </w:rPr>
  </w:style>
  <w:style w:type="character" w:customStyle="1" w:styleId="CittChar">
    <w:name w:val="Citát Char"/>
    <w:basedOn w:val="Standardnpsmoodstavce"/>
    <w:link w:val="Citt"/>
    <w:uiPriority w:val="29"/>
    <w:rsid w:val="002447E9"/>
    <w:rPr>
      <w:i/>
      <w:iCs/>
      <w:color w:val="1E5E9F" w:themeColor="accent3" w:themeShade="BF"/>
      <w:sz w:val="24"/>
      <w:szCs w:val="24"/>
    </w:rPr>
  </w:style>
  <w:style w:type="paragraph" w:styleId="Vrazncitt">
    <w:name w:val="Intense Quote"/>
    <w:basedOn w:val="Normln"/>
    <w:next w:val="Normln"/>
    <w:link w:val="VrazncittChar"/>
    <w:uiPriority w:val="30"/>
    <w:qFormat/>
    <w:rsid w:val="002447E9"/>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VrazncittChar">
    <w:name w:val="Výrazný citát Char"/>
    <w:basedOn w:val="Standardnpsmoodstavce"/>
    <w:link w:val="Vrazncitt"/>
    <w:uiPriority w:val="30"/>
    <w:rsid w:val="002447E9"/>
    <w:rPr>
      <w:rFonts w:asciiTheme="majorHAnsi" w:eastAsiaTheme="majorEastAsia" w:hAnsiTheme="majorHAnsi" w:cstheme="majorBidi"/>
      <w:caps/>
      <w:color w:val="374C80" w:themeColor="accent1" w:themeShade="BF"/>
      <w:sz w:val="28"/>
      <w:szCs w:val="28"/>
    </w:rPr>
  </w:style>
  <w:style w:type="character" w:styleId="Zdraznnjemn">
    <w:name w:val="Subtle Emphasis"/>
    <w:basedOn w:val="Standardnpsmoodstavce"/>
    <w:uiPriority w:val="19"/>
    <w:qFormat/>
    <w:rsid w:val="002447E9"/>
    <w:rPr>
      <w:i/>
      <w:iCs/>
      <w:color w:val="595959" w:themeColor="text1" w:themeTint="A6"/>
    </w:rPr>
  </w:style>
  <w:style w:type="character" w:styleId="Zdraznnintenzivn">
    <w:name w:val="Intense Emphasis"/>
    <w:basedOn w:val="Standardnpsmoodstavce"/>
    <w:uiPriority w:val="21"/>
    <w:qFormat/>
    <w:rsid w:val="002447E9"/>
    <w:rPr>
      <w:b/>
      <w:bCs/>
      <w:i/>
      <w:iCs/>
      <w:color w:val="auto"/>
    </w:rPr>
  </w:style>
  <w:style w:type="character" w:styleId="Odkazjemn">
    <w:name w:val="Subtle Reference"/>
    <w:basedOn w:val="Standardnpsmoodstavce"/>
    <w:uiPriority w:val="31"/>
    <w:qFormat/>
    <w:rsid w:val="002447E9"/>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2447E9"/>
    <w:rPr>
      <w:b/>
      <w:bCs/>
      <w:caps w:val="0"/>
      <w:smallCaps/>
      <w:color w:val="auto"/>
      <w:spacing w:val="0"/>
      <w:u w:val="single"/>
    </w:rPr>
  </w:style>
  <w:style w:type="character" w:styleId="Nzevknihy">
    <w:name w:val="Book Title"/>
    <w:basedOn w:val="Standardnpsmoodstavce"/>
    <w:uiPriority w:val="33"/>
    <w:qFormat/>
    <w:rsid w:val="002447E9"/>
    <w:rPr>
      <w:b/>
      <w:bCs/>
      <w:caps w:val="0"/>
      <w:smallCaps/>
      <w:spacing w:val="0"/>
    </w:rPr>
  </w:style>
  <w:style w:type="paragraph" w:styleId="Nadpisobsahu">
    <w:name w:val="TOC Heading"/>
    <w:basedOn w:val="Nadpis1"/>
    <w:next w:val="Normln"/>
    <w:uiPriority w:val="39"/>
    <w:semiHidden/>
    <w:unhideWhenUsed/>
    <w:qFormat/>
    <w:rsid w:val="002447E9"/>
    <w:pPr>
      <w:outlineLvl w:val="9"/>
    </w:pPr>
  </w:style>
  <w:style w:type="character" w:customStyle="1" w:styleId="BezmezerChar">
    <w:name w:val="Bez mezer Char"/>
    <w:basedOn w:val="Standardnpsmoodstavce"/>
    <w:link w:val="Bezmezer"/>
    <w:uiPriority w:val="1"/>
    <w:rsid w:val="00EB40B9"/>
  </w:style>
  <w:style w:type="character" w:styleId="Odkaznakoment">
    <w:name w:val="annotation reference"/>
    <w:basedOn w:val="Standardnpsmoodstavce"/>
    <w:uiPriority w:val="99"/>
    <w:semiHidden/>
    <w:unhideWhenUsed/>
    <w:rsid w:val="00664664"/>
    <w:rPr>
      <w:sz w:val="16"/>
      <w:szCs w:val="16"/>
    </w:rPr>
  </w:style>
  <w:style w:type="paragraph" w:styleId="Textkomente">
    <w:name w:val="annotation text"/>
    <w:basedOn w:val="Normln"/>
    <w:link w:val="TextkomenteChar"/>
    <w:uiPriority w:val="99"/>
    <w:semiHidden/>
    <w:unhideWhenUsed/>
    <w:rsid w:val="00664664"/>
    <w:pPr>
      <w:spacing w:line="240" w:lineRule="auto"/>
    </w:pPr>
    <w:rPr>
      <w:sz w:val="20"/>
      <w:szCs w:val="20"/>
    </w:rPr>
  </w:style>
  <w:style w:type="character" w:customStyle="1" w:styleId="TextkomenteChar">
    <w:name w:val="Text komentáře Char"/>
    <w:basedOn w:val="Standardnpsmoodstavce"/>
    <w:link w:val="Textkomente"/>
    <w:uiPriority w:val="99"/>
    <w:semiHidden/>
    <w:rsid w:val="00664664"/>
    <w:rPr>
      <w:sz w:val="20"/>
      <w:szCs w:val="20"/>
    </w:rPr>
  </w:style>
  <w:style w:type="paragraph" w:styleId="Pedmtkomente">
    <w:name w:val="annotation subject"/>
    <w:basedOn w:val="Textkomente"/>
    <w:next w:val="Textkomente"/>
    <w:link w:val="PedmtkomenteChar"/>
    <w:uiPriority w:val="99"/>
    <w:semiHidden/>
    <w:unhideWhenUsed/>
    <w:rsid w:val="00664664"/>
    <w:rPr>
      <w:b/>
      <w:bCs/>
    </w:rPr>
  </w:style>
  <w:style w:type="character" w:customStyle="1" w:styleId="PedmtkomenteChar">
    <w:name w:val="Předmět komentáře Char"/>
    <w:basedOn w:val="TextkomenteChar"/>
    <w:link w:val="Pedmtkomente"/>
    <w:uiPriority w:val="99"/>
    <w:semiHidden/>
    <w:rsid w:val="00664664"/>
    <w:rPr>
      <w:b/>
      <w:bCs/>
      <w:sz w:val="20"/>
      <w:szCs w:val="20"/>
    </w:rPr>
  </w:style>
  <w:style w:type="paragraph" w:styleId="Textbubliny">
    <w:name w:val="Balloon Text"/>
    <w:basedOn w:val="Normln"/>
    <w:link w:val="TextbublinyChar"/>
    <w:uiPriority w:val="99"/>
    <w:semiHidden/>
    <w:unhideWhenUsed/>
    <w:rsid w:val="007830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3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9323">
      <w:bodyDiv w:val="1"/>
      <w:marLeft w:val="0"/>
      <w:marRight w:val="0"/>
      <w:marTop w:val="0"/>
      <w:marBottom w:val="0"/>
      <w:divBdr>
        <w:top w:val="none" w:sz="0" w:space="0" w:color="auto"/>
        <w:left w:val="none" w:sz="0" w:space="0" w:color="auto"/>
        <w:bottom w:val="none" w:sz="0" w:space="0" w:color="auto"/>
        <w:right w:val="none" w:sz="0" w:space="0" w:color="auto"/>
      </w:divBdr>
    </w:div>
    <w:div w:id="12733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Modrá, teplá">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Boardroom">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11225-F71B-4BA4-BB56-8CBACA86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4371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 Lavický, Ph.D.</dc:creator>
  <cp:lastModifiedBy>Miloslav Hrdlička</cp:lastModifiedBy>
  <cp:revision>4</cp:revision>
  <dcterms:created xsi:type="dcterms:W3CDTF">2021-05-03T14:42:00Z</dcterms:created>
  <dcterms:modified xsi:type="dcterms:W3CDTF">2021-05-03T15:09:00Z</dcterms:modified>
</cp:coreProperties>
</file>