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3FC8" w:rsidRPr="00FE5CD5" w:rsidRDefault="00DE3FC8">
      <w:pPr>
        <w:rPr>
          <w:b/>
          <w:bCs/>
          <w:sz w:val="20"/>
          <w:szCs w:val="20"/>
        </w:rPr>
      </w:pPr>
      <w:bookmarkStart w:id="0" w:name="_GoBack"/>
      <w:bookmarkEnd w:id="0"/>
      <w:r w:rsidRPr="00FE5CD5">
        <w:rPr>
          <w:b/>
          <w:bCs/>
          <w:sz w:val="20"/>
          <w:szCs w:val="20"/>
        </w:rPr>
        <w:t>Pl.ÚS 19/93 ze dne 21. 12. 1993</w:t>
      </w:r>
    </w:p>
    <w:p w:rsidR="00DE3FC8" w:rsidRPr="00FE5CD5" w:rsidRDefault="00DE3FC8">
      <w:pPr>
        <w:rPr>
          <w:b/>
          <w:bCs/>
          <w:sz w:val="20"/>
          <w:szCs w:val="20"/>
        </w:rPr>
      </w:pPr>
      <w:r w:rsidRPr="00FE5CD5">
        <w:rPr>
          <w:b/>
          <w:bCs/>
          <w:sz w:val="20"/>
          <w:szCs w:val="20"/>
        </w:rPr>
        <w:t>14/1994 Sb.</w:t>
      </w:r>
    </w:p>
    <w:p w:rsidR="00DE3FC8" w:rsidRPr="00FE5CD5" w:rsidRDefault="00DE3FC8">
      <w:pPr>
        <w:rPr>
          <w:b/>
          <w:bCs/>
          <w:sz w:val="20"/>
          <w:szCs w:val="20"/>
        </w:rPr>
      </w:pPr>
      <w:r w:rsidRPr="00FE5CD5">
        <w:rPr>
          <w:b/>
          <w:bCs/>
          <w:sz w:val="20"/>
          <w:szCs w:val="20"/>
        </w:rPr>
        <w:t>N 1/1 SbNU 1</w:t>
      </w:r>
    </w:p>
    <w:p w:rsidR="00DE3FC8" w:rsidRPr="00FE5CD5" w:rsidRDefault="00DE3FC8">
      <w:pPr>
        <w:rPr>
          <w:b/>
          <w:bCs/>
          <w:sz w:val="20"/>
          <w:szCs w:val="20"/>
        </w:rPr>
      </w:pPr>
      <w:r w:rsidRPr="00FE5CD5">
        <w:rPr>
          <w:b/>
          <w:bCs/>
          <w:sz w:val="20"/>
          <w:szCs w:val="20"/>
        </w:rPr>
        <w:t>Zákon č. 198/1993 Sb., o protiprávnosti komunistického režimu a o odporu proti němu</w:t>
      </w: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NÁLEZ</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t>Jménem republiky</w:t>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Plénum Ústavního soudu České republiky ve složení: JUDr. Iva Brožová,  Prof. JUDr.  Vojtěch  Cepl,  CSc., Doc.  JUDr. Vladimír Čermák, JUDr.  Vojen Güttler, Doc.  JUDr. Pavel Holländer,  JUDr. Miloš  Holeček, JUDr.  Ivana  Janů,  JUDr. Vladimír  Jurka, JUDr. Zdeněk  Kessler,  Prof.  JUDr.  Vladimír  Klokočka,  DrSc., JUDr. Vladimír  Paul, CSc.,  JUDr. Antonín  Procházka, JUDr.  Vlastimil Ševčík, JUDr. Eva Zarembová, rozhodl o návrhu skupiny 41 poslanců Parlamentu  České republiky  na  zrušení  zákona č.  198/1993 Sb. o protiprávnosti komunistického režimu a o odporu proti němu, takto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b/>
          <w:sz w:val="20"/>
          <w:szCs w:val="20"/>
        </w:rPr>
        <w:t>Návrh se zamítá.</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Dne 15. září 1993  předložila skupina 41 poslanců Parlamentu České republiky návrh,  aby Ústavní soud na základě  čl. 87 odst. 1 písm. a) Ústavy  České  republiky  zrušil zákon č. 198/1993 Sb. o protiprávnosti  komunistického režimu  a o  odporu proti  němu, a to pro  rozpor s Ústavou  České republiky, Listinou  základních práv a svobod, s ústavním zákonem  ČNR č. 4/1993 Sb. o opatřeních souvisejících   se   zánikem   České   a   Slovenské  Federativní Republiky, a některými mezinárodními smlouvami.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Protože  podání  návrhu  splnilo   podmínky  §  64  zák.  č. 182/1993 Sb.  o Ústavním soudu a  návrh byl přípustný podle  § 66 téhož  zákona, zahájil  Ústavní soud  řízení a  požádal Parlament České  republiky,  aby  se  v  zákonné  lhůtě  k  návrhu  písemně vyjádřil.</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Skupina  41 poslanců  podala 15.  9. 1993  návrh na  zrušení všech  ustanovení  zákona  č.  198/1993  Sb.  s  vyjímkou  §  7 a závěrečného §  9 o nabytí  účinnosti, a to  pro rozpor s  Ústavou České  republiky,  Listinou  základních  práv  a  svobod, jakož i ratifikovanými  mezinárodními  smlouvami  o  občanských právech a svobodách.</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Ústavní   soud  přezkoumal   obecné  i   jednotlivé  námitky navrhovatelů, poukazující na údajný  nesoulad zákona 198/1993 Sb. s čl.  1, 2  odst. 3,  78, 90  a 95  Ústavy České republiky, dále s ústavním zákonem České národní rady  č. 4/1993 Sb. o opatřeních souvisejících se zánikem České a Slovenské Federativní Republiky, s ustanoveními čl. 1,  2 odst. 2, čl. 3 odst.  1, čl. 15 odst. 2, čl. 17, čl. 37 odst. 3, článků 38 a 39 čl. 40 odst. 5 a 6 Listiny základních práv a svobod č. 2/1993  Sb., s ustanoveními čl. 4, 15 odst.  1,  čl.  19,  24  a  26  Mezinárodního  paktu o občanských a politických právech, s ustanovením čl. 15 odst. 3 Mezinárodního paktu    hospodářských,   sociálních    a   kulturních    právech a s ustanoveními  čl. 6, 10 a  14 Úmluvy o ochraně  lidských práv a základních svobod.</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     Vznesené námitky lze systematicky rozčlenit do tří skupin:</w:t>
      </w:r>
    </w:p>
    <w:p w:rsidR="00DE3FC8" w:rsidRPr="00DE3FC8" w:rsidRDefault="00DE3FC8" w:rsidP="00F73269">
      <w:pPr>
        <w:jc w:val="both"/>
        <w:rPr>
          <w:sz w:val="20"/>
          <w:szCs w:val="20"/>
        </w:rPr>
      </w:pPr>
      <w:r w:rsidRPr="00DE3FC8">
        <w:rPr>
          <w:sz w:val="20"/>
          <w:szCs w:val="20"/>
        </w:rPr>
        <w:t xml:space="preserve">     A. Námitky proti §§ 1 - 4 zák. č. 198/1993 Sb.</w:t>
      </w:r>
    </w:p>
    <w:p w:rsidR="00DE3FC8" w:rsidRPr="00DE3FC8" w:rsidRDefault="00DE3FC8" w:rsidP="00F73269">
      <w:pPr>
        <w:jc w:val="both"/>
        <w:rPr>
          <w:sz w:val="20"/>
          <w:szCs w:val="20"/>
        </w:rPr>
      </w:pPr>
      <w:r w:rsidRPr="00DE3FC8">
        <w:rPr>
          <w:sz w:val="20"/>
          <w:szCs w:val="20"/>
        </w:rPr>
        <w:t xml:space="preserve">     B. Námitky proti § 5 zák. č. 198/1993 Sb.</w:t>
      </w:r>
    </w:p>
    <w:p w:rsidR="00DE3FC8" w:rsidRPr="00DE3FC8" w:rsidRDefault="00DE3FC8" w:rsidP="00F73269">
      <w:pPr>
        <w:jc w:val="both"/>
        <w:rPr>
          <w:sz w:val="20"/>
          <w:szCs w:val="20"/>
        </w:rPr>
      </w:pPr>
      <w:r w:rsidRPr="00DE3FC8">
        <w:rPr>
          <w:sz w:val="20"/>
          <w:szCs w:val="20"/>
        </w:rPr>
        <w:t xml:space="preserve">     C. Námitky proti §§ 6 a 8 zákona č. 198/1993 Sb.</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Námitky proti §§ 1 - 4 zákona č. 198/1993 Sb.</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Celkový, koncepční přístup  k problematice napadeného zákona je  vyjádřen zejména  v bodech  2.1, 2.2  a 2.3  návrhu. V něm se uvádí zejména, že české právo je založeno na svrchovanosti zákona a na odtud odvozeném principu legality. Z tohoto hlediska napadají navrhovatelé  ustanovení  §  2  odst.  1  zákona, podle něhož byl </w:t>
      </w:r>
      <w:r w:rsidRPr="00DE3FC8">
        <w:rPr>
          <w:sz w:val="20"/>
          <w:szCs w:val="20"/>
        </w:rPr>
        <w:lastRenderedPageBreak/>
        <w:t>politický režim v letech 1948 - 1989 nelegitimní a označují tento výrok  za "neústavní".  Ze souvislostí  plyne, že  tím míní  stav nikoli  "praeter constitutionem",  nýbrž "contra  costitutionem", tudíž protiústavnost.  Svůj názor odůvodňují  poukazem na to,  že Česká  republika  je  jedním  z  legitimních  nástupnických států zaniklé ČSFR" a že v ní zůstávají v platnosti recipované zákony a jiné   právní   předpisy   jakož   i   právní   závazky  bývalého Československa.  Tato  "materiální  kontinuita  vnitrostátního  a mezinárodního  práva"  je  dle  navrhovatelů  výrazem  legitimity státního a politického režimu v letech 1948 až 1989.</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Součástí   celkových  výhrad  vůči  napadenému  zákonu  je i stanovisko, které zřejmě míří proti  ustanovením §§ 1 až 4 zákona č. 198/1993 Sb. o protiprávnosti komunistického režimu a o odporu proti  němu.      Navrhovatelé namítají, že axiomatické hodnocení historického období bývalého Československa, provedené formou zákona, vylučuje jiné   názory   a   závěry,   vycházející   z  vědeckého  poznání historických skutečností, čímž se  omezuje svoboda bádání (čl. 15 odst.  2  Listiny  základních  práv  a  svobod).  V  bodě  třetím a čtvrtém  uvádějí pak  argumenty proti  - zřejmě předpokládanému - pokusu zákonodárce  chápat a interpretovat  ustanovení §§ 1  až 4 zákona   č.   198/1993   Sb.   jako   základ  trestně-právních, pracovně-právních  a  jiných  sankcí.  Formulacemi  o  zločinech, perzekuci, vraždách atd. jakož i formulacemi o odpovědnosti resp. spoluodpovědnosti osob navozuje zákon, podle názoru navrhovatelů, představu,  že jde  o pojmy,  které mají  přímý vztah k trestnímu právu  hmotnému, a  že odpovědnost  resp. spoluodpovědnost  nesou celé  skupiny osob,  u nichž  ani deklaratorní  povaha ustanovení nevylučuje   kolektivní  nebo   individuelní  postih  netrestními sankcemi.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Jak plyne ze stanoviska  Parlamentu České republiky k návrhu skupiny  poslanců na  zrušení zákona  č. 198/1993  Sb., opírá  se Poslanecká sněmovna  o argumenty, uvedené  ve sněmovním tisku  č. 376 (důvodová zpráva k napadenému zákonu) a v projevech poslanců, zachycených v  Těsnopisecké zprávě z  jednání Poslanecké sněmovny o návrhu  zákona.  Skutečnost,  že   o  přijetí  zákona  rozhodla Poslanecká sněmovna  129 hlasy, uvedená  ve stanovisku Poslanecké sněmovny, není ve věci samé relevantní.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Důvodová zpráva k zákonu vychází  z toho, že "… s výjimkou velmi  stručného  zákona  č.  480/1991  Sb.  o  době nesvobody… nedošlo  ke  komplexnějšímu  vymezení  a  pojmenování bezpráví a zločinu diktatury, která tak  rozsáhle a systematicky poznamenala celou společnost.  Absence této právní  úpravy je ve  společnosti negativně pociťována,  zejména  ve  vztahu  ke konkrétním osobám, které byly viníky uvedeného stavu a za zločiny nebyly potrestány, na   druhé  straně   pak   nedošlo   k  morální   očistě  odpůrců komunistického režimu".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V  Preambuli   a  celé  první  části   zákona  (§§  1-4)  se konstatuje, že  Komunistická strana Československa, její vedení i členové jsou odpovědni za způsob vlády v letech 1948 - 1989, dále se uvádějí charakteristické znaky tohoto způsobu vlády a v § 1 se popisují  metody  "…  jaké  komunistický  režim,  jeho  aktivní prosazovatelé  a vykonavatelé  moci používali  při rozhodování  o řízení  státu a  o osudech  občanů "  (Důvodová zpráva).  Dále se formuluje   spoluodpovědnost  těch,   kteří  komunistický   režim prosazovali, za spáchané zločiny a jiné akty zvůle (§ 1 odst. 2), režim,  založený  na  komunistické  ideologii  se  prohlašuje  za zločinný, nelegitimní  a zavrženíhodný (§  2 odst. 1) a podobně i Komunistická  strana  Československa,  jakož  i další organizace, založené na její ideologii (§ 2 odst. 2). V §§ 3 a 4 se vyslovuje morální  uznání těm  občanům,  kteří  kladli odpor  tomuto režimu jakož i jeho nevinným obětem.</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Posouzení jednotlivých námitek uvedených v bodu 3 a 4 návrhu skupiny poslanců  odvisí od zjištění -  a limine fori -  zda a do jaké   míry  tato   ustanovení  mají   povahu  kogentních   resp. dispozitivních zákonných norem, jež stát zavazují anebo mu dávají dispozici k  určitému chování s  těmi či oněmi  právními následky pro osoby, skupiny osob resp. organizace.</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 názorem skupiny poslanců, že  věty první části zákona mají jen  obecnou  povahu,  aniž  by  se  staly  zavazujícími právními normami,  resp. že  jde o  ustanovení formulovaná  "axiomaticky a volně",  že  nejde  o pojmy přesně a  konkrétně  vymezené a že se nepoužívá vžitých právních pojmů s přesným obsahem, lze souhlasit právě tak jako s jejich označením za normy deklaratorní.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Oproti tvrzení navrhovatelů však  ani z textu zákona samého, ba  ani z  Důvodové zprávy  nelze vyvodit,  že by  z první  části zákona o  protiprávnosti komunistického režimu  a o odporu  proti němu  č. 198/1993  Sb. mohla  v oblasti  trestního práva hmotného anebo v jiných právních  oborech vzniknout právní povinnost anebo právní dispozice  státu ke stíhání  určitých osob anebo  k jejich postižení  netrestními sankcemi.  Předpokladem trestného  činu je vymezení jeho skutkové podstaty. Nic v §§ 1 - 4 nelze chápat jako určení skutkové podstaty trestného činu.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lastRenderedPageBreak/>
        <w:t>První část zákona  je morálně-politickým stanoviskem českého Parlamentu,  jehož  smysl  a  důvody  jsou  vysvětleny  ve  výše uvedeném  citátu Důvodové  zprávy.  První  4 paragrafy  zákona se zabývají  povahou  režimu,  jeho  specifickými  cíli, metodami  a strukturálními rysy, nikoli povahou  jednotlivců, kteří z těch či oněch pohnutek byli členy organizací o něž se režim opíral.</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Zákon  hovoří  o  "spoluodpovědnosti"  jednotlivců  na dvojí úrovni: o  spoluodpovědnosti členů Komunistické  strany za způsob vlády  v letech  1948 -   1989 a  dále o  spoluodpovědnosti těch, "kteří komunistický režim aktivně prosazovali "  (§ 1 odst. 1 a 2 zák.  č. 1998/1993  Sb.) -   v tomto  případě za  zločiny režimem páchané.   V   obou   souvilostech   jde   o   rozlišení   stupně morálně-politické a  nikoli trestní odpovědnosti  jednotlivců a o impulz Parlamentu k zamyšlení se nad minulostí.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Spoluodpovědnost  členů  KSČ  za  způsob  vlády je vyjádřena pouze v úvodní Preambuli zákona a  může být chápána jako podnět k zamyšlení  pro  ty,  kteří  byli  resp.  nadále  zůstávali  členy organizace  jejíž vedení  a politická  praxe se  stále zřetelněji rozcházely   nejen   se    základními   hodnotami   lidskosti   a demokratického  právního  státu,  ale  i  s  vlastními programy a zákony.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Toto  rozlišení  stupně  morální  spoluodpovědnosti  vychází z povahy  totalitní  diktatury.  Mylná  je  představa, že strana, která  se vůči  společnosti chová  diktátorsky je  schopna uvnitř sama  sebe  jednat  demokraticky.  I  tato  strana  byla mocensky hierarchizována mezi vládnoucí a  ovládané, její členská základna byla  manipulována  mocenskými  centry   a  stávala  se  současně instrumentem i  svého druhu zajatcem  těch, kteří "režim  aktivně prosazovali".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Morálně  a  právně-politické   proklamaci  Parlamentu  nelze vytknout, že  nepoužívá běžné právní terminologie.  V tom se liší od článků  5 a 6 zákona, v nichž - a  jedině v nich -  se nemluví o zločinech, ale  je použito přesného  termínu trestního práva  : "trestný  čin". Důvodová  zpráva rovněž  nesvědčí o  snaze zavést nové  skutkové  podstaty  do  trestního  práva, když interpretuje § 2  zákona  slovy:"Zavrženíhodnost   a  zločinnost,  s  výjimkou případu,  kdy se  jednalo  o  porušení tehdy  platných ustanovení trestního zákona,  je třeba považovat za  termíny spíše z oblasti politické a morální".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Je-li zřejmý  deklaratorní charakter ustanovení  první části zákona  č.  198/1993  Sb.,  není  třeba  zkoumat  dílčí argumenty navrhovatelů  uvedené v  bodech 3  a 4  návrhu -  s výjimkou tří námitek.</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První  z nich  uvádí, že  deklaratorní ustanovení nevylučují možnost  použít netrestních  sankcí obsažených  v jiných právních normách,  např.  v  zákonech    upravujících  práva  a povinnosti pedagogických a  vědeckých pracovníků, publicistů,  spisovatelů a jiných  umělců.  Tuto   námitku  je  třeba  odmítnout, protože se netýká   napadeného    zákona   samého,   ale   jiných  ,   blíže neoznačených   právních norem, na jejichž právním obsahu zákon č. 198/1993  Sb. nic  nemění.  Také  termín "netrestních  sankcí" je mlhavý.  Tzv.   lustrační  zákon  např.   nestanoví  sankce,  ale předpoklady  pro  výkon  určitých   funkcí,  jež  jsou  v  zemích založených  na  principu  právního  státu  s  ohledem na povahu a státně-politický význam těchto funkcí ústavně-právně akceptovány.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Rovněž   další   námitka,   že  "spoluodpovědnost"     resp. "kolektivní  odpovědnost"  v  první  části  napadeného  zákona je "především  …  spoluodpovědnost   trestněprávní"  je  vyloučena morálně-politickou  a  nikoli   juristickou  povahou  této  části zákona. To znamená, že ani hodnocení historického období bývalého Československa  nevylučuje jiné  názory a  závěry, než  ty, které vyslovil v  textu zákona Parlament. Svoboda  bádání, zaručená čl. 15  odst. 2  Listiny jakož  i mezinárodně-právními  akty, je  tím nedotčena.   Z   hlediska   vědecké   a   publicistické  činnosti nepředstavují  hodnocení,  obsažená   v  napadeném  zákoně  názor závazný, a to - jak  správně poznamenává návrh skupiny poslanců - "ani v případě,  že takové věty jsou obsaženy  v právním předpise označeném jako zákon" (s. 2 návrhu).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Další prvek protiústavnosti  shledávají navrhovatelé v záměru "…aby  zákon  sloužil  jako   výkladový  ve  vztahu  k  soudním rozhodnutím" - záměru, který  zákonodárce  v  textu  zákona nikde nevyslovil. Relevantní záměr je  ten, který je právně relevantním způsobem  vysloven.  Námitky   vůči  formulacím  Důvodové  zprávy nemohou  být předmětem  zkoumání a  rozhodování Ústavního  soudu. Podmíněný způsob vyjádření Důvodové  zprávy ("by měla sloužit … eventuelně  i k  rozhodnutím soudů  v této  oblasti") kromě  toho nesvědčí o jednoznačném záměru.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Také  úvodní prohlášení  Parlamentu,  "…  že ve  své další činnosti bude vycházet z tohoto zákona" nelze shledat jako právní normu,  jež by  Parlament zavazovala.  Jde o  vyjádření politické vůle programové povahy, vůle, zjištěné  v určité době a za určité konstelace sil v Parlamentu,  které nelze interpretovat v rozporu s právem  </w:t>
      </w:r>
      <w:r w:rsidRPr="00DE3FC8">
        <w:rPr>
          <w:sz w:val="20"/>
          <w:szCs w:val="20"/>
        </w:rPr>
        <w:lastRenderedPageBreak/>
        <w:t>Parlamentu  upravovat  věci  v  rámci  a  v  mezích své kompetence nově a jinak, ani v rozporu se zásadou svobodné výměny názorů na půdě Parlamentu.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Ústavní  zřízení  demokratického  státu  neupírá  Parlamentu právo  vyjádřit svou  vůli i  svá morální  a politická stanoviska způsobem, který v rámci obecných právních zásad pokládá za vhodný a přiměřený  -   a  to,  případně,  i   formou  právního  zákona, pokládá-li za vhodné a účelné  touto právní formou aktu zdůraznit společenský význam a dosah svého  prohlášení. Tak tomu bylo např. v zákoně, vydaném za První  republiky, kterým se konstatovalo, že T. G. Masaryk se zasloužil o stát.</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Celkově je zřejmé, že  napadený zákon neformuluje žádné nové skutkové podstaty trestných činů a že nic podobného nelze z textu jeho  první  části  dovodit.   Nadto  jako  generelní  norma  pro posouzení  kterýchkoli činů  z hlediska  jejich trestnosti  platí článek 40 odst.  6 Listiny základních práv a  svobod, podle něhož "trestnost  činu  se  posuzuje  a  trest  se  ukládá podle zákona účinného  v  době,  kdy  byl  čin  spáchán.  Pozdějšího zákona se použije, jestliže je to pro pachatele příznivější".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Námitky  navrhovatelů, obsažené  v bodech  2.1 a  2.2 návrhu směřují však i k některým  obecným otázkám koncepce českého práva a povahy  státního a  politického režimu  v letech  1948 až 1989. Skupina  poslanců namítá  především, že  ustanovení §  2 odst.  1 zákona  č.  198/1993  Sb.  obsahuje   "…  neústavní  výrok,  že politický  režim  v  letech  1948  až  1989 byl nelegitimní". Své tvrzení o  legitimitě tohoto režimu  opírají o kontinuitu  práva, danou  recepcí  právních  předpisů  vnitrostátních  i kontinuitou mezinárodně -právních  závazků z doby "starého  režimu" a na s. 3 svého  návrhu  dovozují:  "Kdyby  zákonný  výrok o nelegitimnosti státního a politického režimu v  letech 1948 až 1989 byl pravdivý a ponechán v platnosti, byly by  od 1. srpna 1993 neplatné právní akty přijaté v uvedené době. K tomu ovšem nedošlo, protože jedním ze základních  znaků právního státu  je právní jistota,  která je podmíněna  stabilitou legálně  vyjádřených principů  jednotlivých právních odvětví, stabilitou právních  vztahů " … atd.(bod. 2.3 návrhu).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Tuto  námitku  zcela  zásadní  povahy  je  třeba posoudit ve vztahu  k  základní  koncepci  Ústavy  a  ústavního zřízení České republiky.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Jak  známo,  proces  vzniku  moderního  ústavního  státu  ve střední Evropě se dovršil teprve  po první světové válce. Přitom, již  dříve dosáhlo  pozoruhodných výsledků  právně-pozitivistické propracování  procesních  pravidel  a  záruk, posilujících právní jistotu občanů a  stabilitu práva. Právně-pozitivistická tradice, jež se přenesla i do poválečných ústav (včetně naší ústavy z roku 1920),  odhalila však  v pozdějším  vývoji vícekrát  své slabiny. Ústavy konstruované na těchto základech jsou hodnotově neutrální: tvoří  institucionální   a  procesní  rámec,   naplnitelný  velmi odlišným  politickým  obsahem,  protože  kritériem  ústavnosti se stává  dodržení   kompetenčního  a  procesního   rámce  ústavních institucí a  postupů, tudíž kritérií  formálně-racionální povahy. V důsledku      toho     bylo      v     Německu      akceptováno nacionálně-socialistické panství jako legální, přestože vyhlodalo obsah  a  posléze  zničilo  samu  podstatu  Výmarské  demokracie. Legalistické  pojetí  politické  legitimace  usnadňovalo po válce Klementu Gottwaldovi  "naplňovat staré měchy  novým vínem" a  pak "legitimovat" únorový puč roku 1948 formálním dodržením ústavních procedur. Princip "zákon je zákon"  se projevil proti bezpráví ve formě zákona jako bezmocný. Vědomí, že nespravedlnost musí zůstat nespravedlností, i když se halí do pláště zákona se promítlo i do ústavy poválečného Německa a v současné  době i  do Ústavy  České republiky.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Naše nová ústava není  založena na hodnotové neutralitě, není jen pouhým  vymezením institucí a procesů,  ale včleňuje do svého textu   i   určité   regulativní   ideje,   vyjadřující  základní nedotknutelné  hodnoty  demokratické  společnosti.  Česká  ústava akceptuje  a  respektuje  princip  legality  jako součást celkové koncepce  právního  státu,  neváže  však  pozitivní  právo jen na formální legalitu, ale výklad  a použití právních norem podřizuje jejich    obsahově-materiálnímu     smyslu,    podmiňuje    právo respektováním  základních   konstitutivních  hodnot  demokratické společnosti a těmito hodnotami také užití právních norem měří. To znamená   i  při   kontinuitě  se   "starým  právem"   hodnotovou diskontinuitu se  "starým režimem".</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Toto  pojetí  ústavního   státu  odmítá  formálně-racionální legitimitu režimu  a formální právní  stát. Ať jsou  zákony státu jakékoli,  ve   státě,  který  se  označuje   za  demokratický  a proklamuje  princip  svrchovanosti  lidu,  nemůže  být žádný jiný režim  legitimní,  než   režim  demokratický.  Jakýkoli  mocenský monopol   vylučuje   ze   sebe   sama  demokratickou  legitimitu. Východiskem   naší   ústavy   je   materiálně-racionální   pojetí legitimity a  právního státu. V  systému demokratického ústavního státu a fungující demokracie  ztělesňuje legalita nepochybně svým způsobem i  legitimitu režimu, není však  s ní zcela zaměnitelná. Tím  méně  pak  lze  redukovat  legitimitu  na  formální legalitu normativně-právní  úpravy v  takovém režimu,  v němž  jen málokdo nevěděl,  že  volby  nejsou   volbami,  strany  nejsou  stranami, demokracie není demokracií a právo  není </w:t>
      </w:r>
      <w:r w:rsidRPr="00DE3FC8">
        <w:rPr>
          <w:sz w:val="20"/>
          <w:szCs w:val="20"/>
        </w:rPr>
        <w:lastRenderedPageBreak/>
        <w:t>právem - přinejmenším ve smyslu  právního  státu,  protože  aplikace  práva byla politicky schizofrenní,  rozštěpená   všude  tam,  kde   vstupoval  do  hry politický zájem vládnoucích.</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Politický  režim  je   legitimní,  je-li  vcelku  schvalován většinou  občanů.  Politické  režimy,  kterým  chybí demokratická substance se vyhýbají empiricky ověřitelné legitimaci ve prospěch ideologických  argumentů  a  hlavně  hledisek formálně-racionální legality.  To jim  usnadňuje skutečnost,  že konsolidovaná státní moc  není  jen  mocensko-politickým  faktem,  ale současně právně organizovanou mocí. Avšak právě v takovýchto režimech se politika s právem  a legalita  s legitimitou  rozchází nejvíce.  Proto ani kontinuita  práva  neznamená   uznání  legitimity  komunistického režimu. Nelze  tvrdit, že legitimní je  každé jednání či chování, pokud  nepřekročí rámec  daný  zákonem,  protože legalita  se tím stává utilitární náhražkou za chybějící legitimitu.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Legitimita  politického  režimu  se   nemůže  opírat  jen  o formálně-právní aspekty, protože hodnoty a principy,   o které se režim opírá  nejsou jen právní,  ale především politické  povahy. Takové   principy  naší   ústavy,  jako   je  svrchovanost  lidu, reprezentativní demokracie,  právní stát, jsou principy politické organizace  společnosti,   jež  nejsou  normativně   beze  zbytku definovatelné.  Pozitivně-právní  úprava  z  nich  vychází, avšak obsah těchto principů není  normativní úpravou vyčerpán - zůstává stále něčím víc.</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Z   těchto  důvodů,   založených  na  materiálně-racionálním východisku   naší   ústavy,    je   třeba   odmítnout   představu navrhovatelů, že  politický  režim  v  letech  1948  až 1989  byl legitimní.  Formulace   §  2  odst.   1  napadeného    zákona   o nelegitimní povaze zmíněného politického režimu nelze pokládat za "neústavní".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Východiskem  formálně-legalistické  argumentace navrhovatelů je  úvodní tvrzení  (bod 2.1),   že "české  právo je  založeno na svrchovanosti zákona". Tím pomíjejí vyšší princip, totiž princip svrchovanosti  lidu,  který  je  nositelem  nadstátní  moci, moci konstitutivní, zatímco  zákon je produktem moci  uvnitř státu již konstituované  a  institucionalizované.  V  rámci ústavního státu nejsou  již svrchovanosti,  tam  jsou  již jen  kompetence. České právo není  založeno na svrchovanosti  zákona. Nadřazenost zákonů nižším  právním  normám   neznamená  ještě  jejich  svrchovanost. Dokonce  ani ve  smyslu  rozsahu  zákonodárné kompetence  v rámci ústavního státu  nelze hovořit o  svrchovanosti zákona. V  pojetí ústavního státu,  na kterém je  založena Česká ústava  není právo a spravedlnost  předmětem volné  dispozice zákonodárce  a tím ani zákona,   protože  zákonodárce   je  vázán   určitými  základními hodnotami, jež  Ústava prohlašuje za  nedotknutelné. Česká ústava např. v čl. 9 odst.  2 stanoví, že "změna podstatných náležitostí demokratického   právního   státu   je   nepřípustná".  Tím  jsou konstitutivní  principy  demokratické  společnosti  v  rámci této ústavy postaveny nad zákonodárnou  kompetenci a tím "ultra vires" Parlamentu.  S  těmito  principy   stojí  a  padá  ústavní  stát. Odstraněním některého z těchto principů, provedené jakýmkoli, byť i většinovým anebo  zcela jednomyslným rozhodnutím  parlamentu by nemohlo  být  interpretováno  jinak,  než  jako odstranění tohoto ústavního státu jako takového.</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B.</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Námitky vůči § 5 zákona č. 198/1993 Sb.</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Hlavním  předmětem své  kritiky  činí  skupina poslanců  § 5 zákona č. 198/1993 Sb., podle  něhož "do promlčecí doby trestných činů se nezapočítává doba od 25. února 1948 do 29. prosince 1989, pokud z politických důvodů  neslučitelných se základními zásadami právního  řádu   demokratického  státu  nedošlo   k  pravomocnému odsouzení nebo zproštění obžaloby".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Podle   názoru   navrhovatelů   "…   skutečnost,   že   už neexistující  a dříve  příslušné  státní  orgány byly  z nějakého důvodu  nečinné  nebo  neúspěšné  a  způsobily  zánik  trestnosti některých činů  uplynutím promlčecí doby, nebyla  a není součástí subjektivní  stránky trestného  činu, nastala  nezávisle na  vůli pachatele, a proto mu nesmí být na újmu."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Ústavní soud se proto zabýval předně otázkou z jakých důvodů byly  "dříve  příslušné  státní  orgány  nečinné  nebo neúspěšné" a dále otázkou, zda důvody,  proč nedocházelo k trestnímu stíhání politicky  chráněných  deliktů,  svým  významem,  rozsahem  svého uplatnění a společenskými důsledky opravňují opatření § 5 zák. č. 198/1993 Sb.</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Ústavní soud vychází přitom  ze zjištění, že ústavní zákonné texty  komunistického režimu  vesměs formulovaly  generelní a pro všechny stejně platný princip  legality (resp. tzv. socialistické zákonnosti).  Již Ústava  9.  května  (č. 150/1948  Sb.) ukládala každému  občanovi bez  ohledu na  funkci nebo  služební postavení povinnost zachovávat Ústavu a zákony  (§ 30). Ještě výrazněji pak Ústava z roku 1960 (č. 100/1960 Sb. ve znění </w:t>
      </w:r>
      <w:r w:rsidRPr="00DE3FC8">
        <w:rPr>
          <w:sz w:val="20"/>
          <w:szCs w:val="20"/>
        </w:rPr>
        <w:lastRenderedPageBreak/>
        <w:t>pozdějších předpisů) v čl. 17 odst. 1 uložila  dodržování zákonnosti občanům i státním a společenským organizacím,  v čl. 34  stanovila, že občané  jsou povinni  zachovávat Ústavu  a ostatní  zákony, v  čl. 104 uložila orgánům  prokuratury dozor  nad dodržováním  zákonů a  v čl. 106a požadovala předkládání zpráv o stavu socialistické zákonnosti.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Tyto právní  normy se však  staly fiktivními a  bezobsažnými všude tam,  kde to politický  zájem vládnoucích uznal  za účelné. Základem   této   skutečnosti   byla  monopolní   a  byrokraticky centralizovaná  organizace politické  a státní  moci, vycházející nikoli z dělby, ale koncentrace  moci a z propojení politických a státních aparátů, jakož i  z nedostatku základních demokratických vazeb společnosti. Zakotvení vedoucí úlohy Komunistické strany ve společnosti i státě  (čl. 4 Ústavy z roku  1960) nebylo příčinou, ale  následným projevem  skutečností, které  provázely již mnohem dříve upevňování mocenského monopolu.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Podle  komentáře  k  Československé  Ústavě  publikovaného v Praze  v  roce  1988  (pod   hlavní  redakcí  St.  Zdobinského ), Komunistická  strana  Československa  uskutečňovala  svou vedoucí úlohu   vedle   přímého    politického   působení   zejména   též "prostřednictvím státních orgánů,  především zákonodárných sborů, národních  výborů,  orgánů  státní  správy,  soudů a prokuratury" (str. 68). Orgány ochrany zákonnosti  se tak dostaly do postavení transmisí monopolních center moci.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Režim nestíhaných  nezákonností dosáhl v letech  1948 - 1989 značného rozsahu:  počínaje čistkami v roce  1948, přes nezákonné metody   kolektivizace   zemědělství,  převod  77 500  pracovníků administrativního  aparátu do  výroby v  roce 1951, k zatýkání  a popravám v rámci tzv. boje proti agentům imperializmu, k přípravě invaze   armád    Varšavské   smlouvy   a    nezákonnostemtzv. normalizačního   procesu  a   masovému   propouštění   a  stíhání politických disidentů.</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Dokumenty  z  té  doby  dokládají  nejen  množství  případů, v nichž   politické  a   státní  orgány   a  jejich  vykonavatelé porušovali hrubým způsobem tehdy  platné zákony, ale také některé způsoby,  jimiž se  tak dálo.  Šlo o  systém faktického podřízení všech  institucí  a  organizací  ve  státě  politickým direktivám aparátu  vládnoucí strany  a rozhodnutím  mocensky vlivných osob. Povahu a úpravu takových  rozhodnutí neupravovala ani Ústava, ani jiné právní  normy: tato rozhodnutí  byla přijímána za  ústavními a politickými   kulisami  často   jen  jako   ústní  pokyn   nebo telefonicky sdělené přání.</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Někdejší  pracovník aparátu  ÚV KSČ,  historik Karel Kaplan, který byl členem stranické vyšetřovací komise ve věci politických procesů padesátých  let, cituje ve  svém otevřeném dopise  Vasilu Bilakovi v roce 1976 výpověď  Ladislava Kopřivy, který byl v roce 1950 - 1951 ministrem státní bezpečnosti. Když se v komisi začalo hovořit  o odpovědnosti  Kopřivy  za  masová zatýkání  a ilegální odsouzení, píše Karel Kaplan,  bránil se Kopřiva slovy :"Prováděl jsem pouze  rozhodnutí strany. Je  přece naprosto jasné,  že jsem nemohl zatknout ministry a generálního tajemníka strany z vlastní iniciativy.  Kdybych  však  toto  rozhodnutí  neprovedl, byl bych odsouzen  spolu  s  ostatními."  (dopis  publikován  v:Hans-Peter Riese,Bürgerinitiative   für   die   Menschenrechte,  Europäische Verlagsanstalt 1977, str. 105).</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Vycházeje z těchto skutečností navázal zákon č. 198/1993 Sb. na zákon č. 480/1991 o době  nesvobody, v němž je vyjádřen trvalý a hromadný způsob porušování zákonnosti komunistickým režimem v § 1 slovy  : "V  letech 1948  až 1989  komunistický režim porušoval lidská práva i své vlastní zákony."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Návrh  skupiny poslanců  na zrušení  zákona o protiprávnosti komunistického   režimu  a   odporu  proti   němu  nepopírá  sice generelně, že  se v uvedené době  dály nezákonnosti, které nebyly státem stíhány, ačkoli mu byly známy, ze způsobu argumentace však vyplývá,  že těmto  případům nepřikládá  co do  rozsahu a  dosahu význam,  hodný  zvláštní  pozornosti  a  zvláštního  řešení. Svou argumentaci   zakládá  skupina   poslanců  spíše   na  juristicky formulovaných výhradách,  které lze shrnout  do těchto základních bodů:</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1.  Paragrafem  pátým  se  vytváří  nová  zákonná   překážka promlčecí doby  ve  smyslu § 67 odst. 2  trestního zákona.Tím, že se vyčleňuje doba  od 25. února 1948 do 29.  prosince 1989 z běhu promlčecích  lhůt,  dochází  k  podstatnému prodloužení promlčecí doby a destabilizaci práva a porušení právní jistoty občanů.</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2. Paragrafem  pátým se porušuje  zásada právního státu,  že trestnost, která  zanikla promlčením, nelze  obnovit a zavádí  se zpětná  účinnost  (retroaktivita)  zákona,  přípustná  jinak  jen v případech, kdy je pozdější zákon pro pachatele příznivější. Tím dochází podle  navrhovatelů k porušení  čl. 40  odst.  6  Listiny základních  práv a  svobod, jakož  i mezinárodně-právních závazků České republiky.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lastRenderedPageBreak/>
        <w:t>3.  K předchozí  námitce protiústavnosti  retroaktivity řadí návrh i rozpor s čl. 1 Listiny  o rovnosti všech lidí v právech a čl. 40  odst. 6 Listiny,  podle něhož se  trestnost činu posuzuje podle zákona účinného v době, kdy byl čin spáchán.</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Ad B/1</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Zavedení  nové zákonné  překážky promlčení  trestně-právního stíhání není samo o sobě  ničím protiústavním, což znamená, že by se Ústavní soud touto záležitostí nemusel vůbec zabývat. Jde však o otázku,  od níž  odvisí posouzení  dále uvedených  námitek vůči ústavnosti  §  5  zákona  č.  198/1993  Sb.  ,  a  proto ji nelze pominout.</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Samotná   úprava  právního   institutu  promlčení  trestního stíhání se  zákonem č. 198/1993  Sb. nemění. Podle  § 67 odst.  2 trestního zákona č. 140/1961 Sb.  ve znění pozdějších předpisů se do promlčení nezapočítává doba,  po kterou nebylo možno pachatele postavit před soud  pro zákonnou překážku, ani doba, po kterou se zdržoval  v cizině.  Také délka  promlčecí doby  stanovená v § 67 odst. 1  trestního zákona se nemění:  činí 20 let tam,  kde tento zákon  umožňuje uložení  výjimečného trestu,  deset let,  činí-li horní hranice  trestní sazby rovněž  deset let, pět  let, činí-li nejméně tři roky a tři roky u ostatních trestných činů.</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Paragrafem pátým  zákona č. 198/1993  Sb. se neupravují  ani sazby  promlčecích  lhůt  ani  se  nevytváří  žádná  další (nová) zákonná překážka promlčení k těm  překážkám, které již na základě § 67 odst.  2 trestního zákona  existují (procesní exempce  podle trestního  řádu,  zejména  vynětí  z  pravomoci  orgánů činných v trestním řízení dle § 10 trestního řádu).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Smyslem  §  5  zákona  č.  198/1993  Sb.  není  zřídit novou překážku, ale prohlásit, po kterou dobu promlčecí lhůty trestných činů, nestíhaných tehdejším režimem z politických důvodů, nemohly běžet, ačkoli  běžet měly. Při  posouzení § 5  zákona č. 198/1993 Sb. nejde tudíž ani obecně  o institut promlčení jako takový, ani o zavedení nové zákonné překážky  běhu promlčecích lhůt,ale o to, zda  institut  promlčení  pokládat  za  reálný  anebo za fiktivní tam,kde porušování zákonnosti v  celé velké sféře právního života se   stalo  součástí   politicky  i   státně  chráněného   režimu nezákonností.  Paragraf pátý  zákona č.  198/1993 Sb.není  normou konstitutivní,   ale  deklaratorní.   Jeho  předmětem   je  pouze zjištění,  že v  určitém časovém  úseku pro  určitý druh  trestné činnosti promlčecí  doba nemohla probíhat  a z jakých  příčin. Je známo, že  vedle těch oblastí  života společnosti a  jednotlivce, v nichž právní  řád v letech  1948-1989 si podržel  určitý reálný význam  a zakládal  se na  zákonnosti, byly  i sféry  politického zájmu vládnoucí vrstvy, v  nichž existoval stav právní nejistoty, udržovaný  jako prostředek  preventivní ochrany  režimu a nástroj manipulace společnosti.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Součástí   tohoto  zvláštního   režimu  byla   i  politickým a státním vedením  inspirovaná anebo tolerovaná  kriminalita osob v politických a státních funkcích tam,  kde s ohledem na skutečné anebo domnělé zájmy vládnoucí vrstvy bylo účelné jednat v rozporu i s vlastními zákony. Argumentace skupiny poslanců, že v tehdejší době  běžely  promlčecí  lhůty   i  pro  tuto  kategorii  vládní, politické  a vůbec  státem prováděné  kriminality není věrohodná. Politická moc založená  na násilí se v principu  střeží toho, aby se sama  zbavovala vykonavatelů vlastního násilí.  Stát se stával mnohem   spíše   garantem   jejich   beztrestnosti   a   faktické trestně-právní imunity. Překážka jejich trestního stíhání nemohla být  přirozeně  formulována  veřejně  a  pozitivně  zákonem. Byla výsledkem  negativního  stavu  zákonnosti  v  zemi,  později  též i povýšení vedoucí úlohy KSČ ve společnosti i ve státě na ústavní princip,  ale  především  přímým  produktem  nelegálních  praktik mocenských  skupin, jež  a  priori  garantovaly, že  pachatel byl v míře určené jejich zájmem "legibus absolutus".</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Nezbytnou součástí pojmu  promlčení trestně-právního stíhání je  vůle, snaha  a ochota  státu trestný  čin stíhat.  Bez tohoto předpokladu  nemůže být  naplněn  ani  obsah pojmu  promlčení ani smysl  tohoto  právního  institutu.  Teprve  dlouhodobé  vzájemné působení  dvou prvků:  vůle a  snahy státu  pachatele potrestat a trvalého rizika  pachatele, že může být  potrestán, zakládá smysl promlčení.  Pokud stát  určité  trestné  činy a  určité pachatele stíhat  nechce, je  promlčení  zbytečné:  v  těchto případech běh promlčecí lhůty ve skutečnosti neexistuje a promlčení samo o sobě je fiktivní.  Psané právo je  zbaveno možností své  aplikace. Aby promlčení trestného  činu mohlo nastat, musel  by probíhat proces jeho  promlčování,  tj. doba,  během  níž  stát usiluje o trestní stíhání. Promlčení je dovršeno teprve tehdy, jestliže kontinuální úsilí státu  o postižení trestného činu  na konci promlčecí lhůty zůstane marným. Tento  předpoklad v letech 1948 až  1989 ve sféře politicky chráněných deliktů nemohl být splněn. Stav hromadných a státem chráněných nezákonností nebyl ani výsledkem individuelních omylů, přehmatů, nedbalostí a  poklesků jednotlivců, jež by mohly skýtat  ještě  jakousi  šanci  případného  trestního stíhání, ale výsledkem cílevědomého a kolektivního chování aparátu politické a státní  moci   jako  celku,  které   trestní  stíhání  a   priori vylučovalo. Ochrana pachatelů se  tím stávala tak všestranná, jak všestranný byl mocenský systém.</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lastRenderedPageBreak/>
        <w:t>Proto nelze souhlasit se stanoviskem navrhovatelů, že vědomí apriorní   nestíhatelnosti  určitých   deliktů  nebylo   součástí subjektivní  stránky  těchto  trestných  činů  a  že  toto "kvazi - promlčení"  probíhalo  mimo  vůli  pachatele.  U  pachatelů pod politickou ochranou  státu je tomu jinak.  Jejich trestný čin byl de facto "promlčen" ještě dříve, než byl spáchán. Tato skutečnost působila  často  právě  inspirativně  k  další  trestné činnosti. Chápat dobu, která plynula od spáchání jejich trestných činů jako plynutí  "promlčecích lhůt",  jež plynout  nesměly, by  znamenalo zcela  protismyslnou  interpretaci  právního  státu.  Bylo  by to potvrzením  toho druhu  "právní jistoty",  kterou pachatelé  této trestné činnosti měli již od počátku své činnosti a jež spočívala ve státem chráněné beztrestnosti.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Tato  "právní  jistota"  pachatelů  je  však  zdrojem právní nejistoty občanů (a naopak). V  soutěži těchto dvou typů jistoty, dává Ústavní  soud přednost právní  jistotě občanské společnosti, jež odpovídá  myšlence právního státu.  Jiné řešení by  znamenalo vydat režimu  totalitní diktatury osvědčení právního  státu a tím nebezpečný  signál do  budoucna: důkaz,  že zločin  se může  stát beztrestným, je-li prováděn hromadně, organizovaně, po delší dobu a pod ochranou organizace, jež se zmocnila státu. To by znamenalo ztrátu věrohodnosti současného právního  státu a bylo by současně porušením  čl. 9  odst. 3  Ústavy České  republiky, protože  "… výkladem právních  norem nelze oprávnit  odstranění nebo ohrožení základů demokratického státu".      Ani  ze subjektivního  hlediska pachatelů  nelze pokládat za přiměřené  činit si  nárok na  jistotu tohoto  druhu. Náležitostí právního  státu je  udržování stavu  důvěry v  trvanlivost právní úpravy. Pachatelé  tohoto druhu trestné činnosti  nemají na mysli kontinuitu  psaného   práva,  ale  nepsaných   praktik.  Bylo  by porušením kontinuity  psaného práva, kdyby  ani nyní nemohli  být trestně stíháni za porušování zákonů, jehož se pod ochranou státu dopouštěli.</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Všechna tato jednotlivá hlediska  nabývají významu, který je přímo  úměrný značnému  rozsahu, v  jakém byl  tento druh  státem chráněné  resp.  tolerované  politické  kriminality páchán. Pouze v táborech  nucené práce  a tzv.  pomocných technických praporech bylo v  té době drženo přes  200 000 osob. Jak  známo, na základě zákona o soudní rehabilitaci  bylo již rehabilitováno téměř čtvrt milionu osob.</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I  když  uvážíme,  že  v  některých  případech mohlo jít jen o nepřiměřené  tvrdosti   tehdejších  trestně-právních  předpisů, o "přísný  zákon",  v  mnoha  těchto  případech rehabilitace bylo významným, ne-li prvořadým faktorem porušování vlastní zákonnosti mocenským aparátem.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Ad B 2</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Jednou  z hlavních  námitek proti  ustanovení §  5 zákona č. 198/1993 Sb.  o protiprávnosti komunistického  režimu a o  odporu proti  němu je  poukaz na  jeho rozpor  s čl.  40 odst. 6 Listiny základních práv  a svobod. Navrhovatelé  vycházejí z předpokladu, že trestné  činy, o nichž jedná  § 5 zákona č.  198/1993 Sb. jsou valnou  měrou promlčeny.  Tím ztrácejí  - z  pohledu navrhovatelů - povahu  stíhatelného  činu,  avšak  přesto  se  mají se zpětnou účinností stát  znovu předmětem potenciálního  trestního stíhání. To podle jejich názoru odporuje zákazu  retroaktivity   trestního práva,  vyslovenému  v  čl.  40  odst.  6 Listiny základních práv a svobod. Namítají, že trestnost, která zanikla promlčením, nelze obnovit  a  že  pozdějším   zákonem  lze  zpětně  provádět  pouze dekriminalizaci,   depenalizaci,  jakož   i  zkracování,   nikoli prodlužování  promlčecích  lhůt.  Dále  uvádějí,  že zavádět nové skutkové podstaty  trestných činů a stanovit  vyšší trestné sazby a přísnější     podmínky      trestnosti,     včetně     zavedení nepromlčitelnosti  některých  trestných  činů  a nových zákonných překážek  běhu  promlčecí  doby,   je  přípustné  jen  směrem  do budoucna.</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K  závěru  o  zpětné  působnosti  (retroaktivitě)  zákona  v případě  ustanovení  §  5  zákona  č.  198/1993  Sb. navrhovatelé docházejí   na  základě   materiálně-právního  chápání  institutu promlčení  trestně-právního stíhání, i když  ani v trestně-právní dogmatice  není spor  mezi zastánci  materiálně-právní a zastánci procesně-právní povahy institutu promlčení trvale vyřešen.</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Proto je třeba posoudit do jaké míry ustanovení čl. 40 odst. 6 Listiny základních  práv a svobod,  resp. čl. 15  Mezinárodního paktu  o  občanských  a  politických  právech  (č.  120/1976 Sb.) znemožňují   pozdější  procesně-právní   úpravu,  spočívající   v dodatečném  umožnění  běhu  promlčecích  lhůt  v  těch zvláštních případech, kdy to minulý politický režim znemožňoval.</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Podle článku 40 odst. 6 Listiny se trestnost činu posuzuje a trest  se  ukládá  podle  zákona  účinného  v  době,  kdy byl čin spáchán.  Pozdějšího  zákona  se  použije,  jestliže  je  to  pro pachatele  příznivější. Čl. 15  Paktu  je  formulován obsahově ve stejném smyslu a navíc v odst. 2 umožňuje trestat podle "obecných právních zásad uznávaných společenstvím národů".</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lastRenderedPageBreak/>
        <w:t>Článek 40 odst. 6 Listiny  základních práv a svobod vymezuje a omezuje předmět zákazu zpětné účinnosti zákona ve dvou směrech, a to:</w:t>
      </w:r>
    </w:p>
    <w:p w:rsidR="00DE3FC8" w:rsidRPr="00DE3FC8" w:rsidRDefault="00DE3FC8" w:rsidP="00F73269">
      <w:pPr>
        <w:jc w:val="both"/>
        <w:rPr>
          <w:sz w:val="20"/>
          <w:szCs w:val="20"/>
        </w:rPr>
      </w:pPr>
      <w:r w:rsidRPr="00DE3FC8">
        <w:rPr>
          <w:sz w:val="20"/>
          <w:szCs w:val="20"/>
        </w:rPr>
        <w:t xml:space="preserve">     a) pokud jde o "trestnost činu", a</w:t>
      </w:r>
    </w:p>
    <w:p w:rsidR="00DE3FC8" w:rsidRPr="00DE3FC8" w:rsidRDefault="00DE3FC8" w:rsidP="00F73269">
      <w:pPr>
        <w:jc w:val="both"/>
        <w:rPr>
          <w:sz w:val="20"/>
          <w:szCs w:val="20"/>
        </w:rPr>
      </w:pPr>
      <w:r w:rsidRPr="00DE3FC8">
        <w:rPr>
          <w:sz w:val="20"/>
          <w:szCs w:val="20"/>
        </w:rPr>
        <w:t xml:space="preserve">     b) pokud jde o "ukládání trestu".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Trestností činu  se podle české  trestně-právní nauky rozumí možnost  být pro  trestný čin  stíhán, uznán  viným a  potrestán. Základem trestní odpovědnosti je  trestný čin, který je definován přesným popisem  jeho znaků a též  tzv. materiálním znakem, totiž nebezpečností činu  pro  společnost.  Jde  o  vyjádření principu: "nullum crimen sine lege", resp. "sine culpa".</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Pokud jde o "ukládání trestu" vychází čl. 40 odst. 6 Listiny z terminologie trestního práva, obsažené  v trestním zákoně z 29. 11. 1961 č. 140 Sb. ve znění pozdějších předpisů zejména v oddílu druhém:  "Obecné  zásady  pro  ukládání  trestů"  (§  31  a násl. trestního  zákona). Ukládáním  trestu se  rozumí stanovení  druhu trestu  jakož i  výměra trestu  u těch  druhů trestu,  které jsou odstupňovány.  Tím  je  vyjádřena  trestně-právní  zásada: "nulla poena  sine  lege".  Článek  40  odst.  6  Listiny  tím  zřetelně nepřipouští retroaktivitu zákona pokud  jde o vymezení trestnosti a výše trestu.      Listina   základních   práv  a  svobod není normou trestního práva, ale vyjímá z různých právních oblastí určité zásady, které pokládá  za  základní, a  proto  hodné  zvýšené právní ochrany. V článku  40 odst.  6 nemá  proto na  mysli nic  více, než co říká, totiž,   že  vymezení  jednotlivých  trestných   činů  a   jejich trestnosti,  jež  se  podle   trestního  zákona  provádí  určením charakteristických  znaků  a   stupně  společenské  nebezpečnosti jednotlivých  činů,  nemůže   být  "ex  post",  po  spáchání činu následně měněno v neprospěch pachatele. Stejný požadavek vznáší i pro  vymezení a  stanovení výše  trestu. Pouze  v tomto  smyslu a tomto rozsahu  formuluje věta druhá  odst. 6 zákaz  retroaktivity zákona (srov. text:"pozdějšího zákona se použije…).</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Otázka procesních předpokladů trestní stíhatelnosti vůbec a tím spíše otázka promlčení nepatří v České republice ani v jiných demokratických státech  do oblasti těch základních  práv a svobod principielní  povahy, jež  jsou  podle  článku 3  Ústavy součástí ústavního  řádu resp.  ústavního  pořádku  České republiky  a tím nahrazují v jiných ústavách obvyklou kapitolu ústavy o základních právech a svobodách.</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Argument,   že  je   promlčení  institutem   hmotného  práva trestního není  pro posouzení věci  podstatný nejen proto,  že je trvalým  předmětem sporu  trestně-právní dogmatiky  a v některých jiných   demokratických   státech   je   chápán   převážně   jako procesně-právní  institut,  ale  především  proto,  že Ústava ani Listina základních  (a ne jiných)  práv a svobod  neřeší detailní otázky  trestního  práva,  nýbrž   stanoví  nesporné  a  základní konstitutivní  principy státu  a práva  vůbec. Listina základních práv a svobod v čl. 40 odst.  6 se zabývá tím, které trestné činy lze  principielně stíhat  (totiž  ty,  jež byly  vymezeny zákonem v době, kdy byl čin spáchán)  a neupravuje otázku, jak dlouho lze tyto činy stíhat.</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V důsledku  toho předpisy o promlčení a promlčecích lhůtách, zejména ustanovení po jakou dobu může být čin, který je prohlášen za trestný stíhán nelze chápat jako předmět úpravy čl. 40 odst. 6 Listiny. Ani článek 39  Listiny nemluví ve prospěch navrhovatelů. Pouze zákonem lze podle čl. 39 Listiny stanovit "které jednání je trestným činem" a "jaký trest, jakož  i jaké jiné újmy na právech nebo majetku, lze za  jeho spáchání uložit". Procesní předpoklady stíhatelnosti nejsou předmětem této výhrady.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Z evropské judikatury je možno poukázat na shodné stanovisko Spolkového  ústavního  soudu  SRN,  který  v  roce  1969 vyloučil promlčení  z  ústavního  zákazu  retroaktivity  zákona: pod tento zákaz  spadá  následné  stanovení  trestnosti  a zostření trestu, nikoli  promlčení,  upravující  po   jakou  dobu  může  být  čin, prohlášený  za  trestný,  stíhán  a  ponechávající trestnost činu nedotčenu (svazek  25 str. 269n  Sbírky rozhodnutí). x 1)</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Ad B/3</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Skupina  poslanců  spatřuje  v  §  5  zákona č. 198/1993 Sb. rovněž porušení čl. 1 Listiny základních práv a svobod o rovnosti všech lidí  v právech, protože -  jak uvádí - jde  o diskriminaci jedné části občanů, neboť ti,  kteří nebyli postaveni před soud z nepolitických  důvodů, budou  nadále požívat  práva nebýt stíhání zatímco, těm,  kteří z politických důvodů  nebyli odsouzení anebo byli zproštěni obžaloby, se toto právo odmítá.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Otázku  rovnosti  před  zákonem  je  třeba  posuzovat vždy v souvislosti s  povahou sporné věci.  Zákonodárce musí usilovat  o to,  aby  při  posuzování  věcí  zdánlivě,  anebo  jen v určitých formálních  aspektech shodných,  uplatnění rovnosti  neodporovalo myšlence  spravedlnosti  a  přiměřenosti,  jež  patří  k pojmovým náležitostem   právního  státu,   základního  principu  ústavního zřízení České republiky(čl. 1  Ústavy České republiky). V případě § 5 zákona č. 198/1993 Sb.  se jeví jako přiměřené a spravedlivé, aby  také  u  těch  trestných  činů,  </w:t>
      </w:r>
      <w:r w:rsidRPr="00DE3FC8">
        <w:rPr>
          <w:sz w:val="20"/>
          <w:szCs w:val="20"/>
        </w:rPr>
        <w:lastRenderedPageBreak/>
        <w:t>které  byly  dříve  z  vůle politického  a  státního  vedení   vyňaty  z  možnosti  trestního stíhání, tato  možnost alespoň dodatečně  nastala. Tak se  naopak vyrovnává nerovnost  s těmi, kteří již  dříve mohli být postaveni před soud, protože nejen nebyli pod zvláštní politickou ochranou, ale  vůlí a  zájmem státu  bylo ty  trestné činy,  které spáchali stíhat.</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Rovnost  občanů před  zákonem vyžadovala  i podle tehdejšího práva   všestranné  prošetření  trestných  činů   a  jednotné   a spravedlivé užití trestního práva bez ohledu na osoby.</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Se zřetelem na princip rovnosti občanů před zákonem § 5 zák. č. 198/1993 Sb. nezakládá  žádný zvláštní nebo mimořádný trestně- právní režim: v případě § 5 je nepřípustná zásada kolektivní viny a kolektivní odpovědnosti, nemění se ani zásada presumpce neviny, ani zákaz retroaktivity zákona, což znamená že trestní stíhání je možné  pouze  za  činy,  jež  byly  trestnými  činy v době jejich spáchání,  a  jen  na  základě  zákona  tehdy  platného,  není-li pozdější zákon  pro pachatele příznivější.  § 5 zák.  č. 198/1993 Sb.  mění pouze  dobu, ve  které může  k trestnímu  stíhání dojít a vymezuje jen určitý  okruh trestních činů, u nichž  se tak může stát,  totiž těch,  kde to  princip rovnosti  občanů před zákonem činí pro věrohodnost právního státu nutným.</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Z vymezení trestních  činů v § 5 zák.  č. 198/1993 plyne, že trestní stíhání na základě tohoto ustanovení je vyloučeno:</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1.  u  trestných  činů, jejichž  promlčecí  lhůta od počátku promlčecí doby tj. od 30. 12. 1989 již uplynula.</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2. u těch trestných činů, u kterých tehdejší režim vyjímečně pokládal  za  účelné  projevit  snahu  porušení  zákonnosti svými vykonavateli   potrestat   Pro   tyto   vyjímečné  případy  platí mezinárodně-právně  uznávaná  zásada  "ne  bis  in  idem", i když pravomocné rozsudky tehdejšího režimu byly mimořádně mírné.</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3. u těch  trestných činů, u kterých  nedošlo k pravomocnému odsouzení   nebo   zproštění   obžaloby   z   politických  důvodů neslučitelných    se    základními    zásadami    právního   řádu demokratického  státu,  ale  z  důvodů  jiných, než  právě těchto politických.      Srovnatelnost  z hlediska  rovnosti občanů  před zákonem  je zachována i v  tom, že stejně jako u  jiných - dříve stíhatelných - trestných činů,  i u této kategorie  dřívějších trestných činů, u nichž se  teprve dodatečně umožňuje  běh promlčecích lhůt,  lze předpokládat, že zdaleka ne všechny trestné činy budou vypátrány, zjištěny a prokázány, takže půjde  zřejmě jen o malou část tohoto druhu kriminality. Ve skutečnosti není tato kategorie kriminality vůbec  diskriminována,  ale  fakticky  zvýhodněna  tím, že časový bonus, dlouhá  doba, která uplynula  od spáchání trestného  činu, jakož i zájem na včasném odstranění důkazů a obtíže dokazování po dlouhém časovém odstupu znesnadňují potrestání spáchaných činů.</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Je  třeba rovněž  zvážit, že  i z  hlediska práva platného v době, kdy byl páchán tento druh kriminality, odporovalo nestíhání těchto  trestných  činů  i  tehdy  v  ústavě  zanesenému principu rovnosti, dále formulovaným  principům tehdejšího trestního práva a v  neposlední   řadě  tehdejší  ústavní   povinnosti  "přísného dodržování socialistické zákonnosti". Z tohoto hlediska vyrovnává § 5  zákona č.  198/1993 Sb.  jen tehdejší  deficit ústavnosti  a zákonnosti a manko rovnosti občanů.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C</w:t>
      </w:r>
    </w:p>
    <w:p w:rsidR="00DE3FC8" w:rsidRPr="00DE3FC8" w:rsidRDefault="00DE3FC8" w:rsidP="00F73269">
      <w:pPr>
        <w:jc w:val="both"/>
        <w:rPr>
          <w:sz w:val="20"/>
          <w:szCs w:val="20"/>
        </w:rPr>
      </w:pPr>
      <w:r w:rsidRPr="00DE3FC8">
        <w:rPr>
          <w:sz w:val="20"/>
          <w:szCs w:val="20"/>
        </w:rPr>
        <w:t>Námitky vůči §§ 6 a 8 zákona č. 198/1993 Sb.</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1.  Podle §  6 zákona  č. 198/1993  Sb. se upravuje zvláštní režim  pro  nové  posouzení  trestných  činů,  u  nichž  došlo  k odsouzení a na  něž se nevztahuje zákon č.  119/1990 Sb. o soudní rehabilitaci. Prokáže-li se během  řízení, že jednání odsouzeného směřovalo  k  ochraně  základních  lidských  a  občanských práv a svobod a to nikoli nepřiměřenými  prostředky, soud na návrh zruší či zmírní dříve uložený trest.</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Skupina poslanců  namítá v odůvodnění svého  návrhu, že tato úprava je diskriminační  a  odporuje  ústavnímu principu rovnosti všech  lidí  před  zákonem,  jakož  i  čl.  40  odst.  6  Listiny základních práv a svobod, podle  něhož se trestnost činu posuzuje a trest  se ukládá  podle zákona  účinného v  době, kdy  byl čin spáchán</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Důvody,  které  vedly  zákonodárce  k  této  zákonné  úpravě spočívají  zřejmě ve  skutečnosti, že  ty trestné  činy , u nichž byla prokazatelná motivace, směřující k ochraně základních práv a svobod člověka a občana, byly  v dřívějším režimu posuzovány také jako  politické delikty  a byl  jim přisuzován  neobyčejně vysoký stupeň  společenské  nebezpečnosti.  Protože  byly interpretovány víceméně jako akty nepřátelské  politickému režimu jako takovému, byly  spojovány  i  s  neúměrně  vysokými  tresty. Přehodnocování těchto  trestů, k  němuž může  podle §  6 zákona  č. 198/1993 Sb. docházet není  proto zaměřeno na porušení,  ale následné obnovení principu  občanské   rovnosti  přiměřeným  zmírněním,   event.  i zrušením trestu.</w:t>
      </w:r>
    </w:p>
    <w:p w:rsidR="00DE3FC8" w:rsidRPr="00DE3FC8" w:rsidRDefault="00DE3FC8" w:rsidP="00F73269">
      <w:pPr>
        <w:jc w:val="both"/>
        <w:rPr>
          <w:sz w:val="20"/>
          <w:szCs w:val="20"/>
        </w:rPr>
      </w:pPr>
      <w:r w:rsidRPr="00DE3FC8">
        <w:rPr>
          <w:sz w:val="20"/>
          <w:szCs w:val="20"/>
        </w:rPr>
        <w:lastRenderedPageBreak/>
        <w:t xml:space="preserve">     </w:t>
      </w:r>
    </w:p>
    <w:p w:rsidR="00DE3FC8" w:rsidRPr="00DE3FC8" w:rsidRDefault="00DE3FC8" w:rsidP="00F73269">
      <w:pPr>
        <w:jc w:val="both"/>
        <w:rPr>
          <w:sz w:val="20"/>
          <w:szCs w:val="20"/>
        </w:rPr>
      </w:pPr>
      <w:r w:rsidRPr="00DE3FC8">
        <w:rPr>
          <w:sz w:val="20"/>
          <w:szCs w:val="20"/>
        </w:rPr>
        <w:t>Zbývá zjistit,  zda tato dodatečná,  následná zákonná úprava neodporuje čl. 40 odst. 6 Listiny základních práv a svobod, podle něhož se trestnost činu posuzuje  a trest se ukládá podle zákona, účinného v době, kdy byl  čin spáchán. Ani zákaz zpětné účinnosti zákona podle věty první odst. 6 článku  40 Listiny se však na § 6 napadeného zákona  nevztahuje, protože věta druhá  odst. 6 článku 40 Listiny připouští retroaktivita zákona, je-li to pro pachatele příznivější.  Vzhledem  k  formulaci   §  6  zákona  č.  198/1993 Sb.:"Soud  na  návrh  zruší  či  zmírní  trest"  je tato podmínka splněna.</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2. Poslední z námitek skupiny  poslanců napadá § 8 zákona č. 198/1993  Sb.  a  uvádí,   že  zmocnění  parlamentu  vládě,  "aby napravila  některé  křivdy  spáchané  na odpůrcích komunistického režimu  a na  osobách, které  byly postiženy  jeho perzekucemi, v oblasti  sociální,  zdravotní  a  finanční"  je  příliš  široké a neurčité. Namítá se, že v  daném případě chybí definice křivd, na které se  nevztahují rehabilitační zákony, dále  vymezení druhu a rozsahu  nároků   oprávněných  osob,  stanovení   způsobu  jejich uplatňování   a určení orgánů,  které mají o nárocích rozhodnovat a jejich plnění realizovat. Tím -jak se uvádí v návrhu - odporuje § 8 zákona č.  198/1993 Sb. článku 78 a článku  2 odst. 3. Ústavy České  republiky, podle  něhož i  pro vydávání  vládních nařízení údajně  platí  ustanovení,  že  státní  moc  lze uplatňovat jen v případech,  v mezích  a způsoby,  které stanoví  zákon. Ze  znění článků  90 a  95 navrhovatelé  pak dovozují,  že při  poskytování ochrany právům a při rozhodování  o nich jsou soudy vázány jedině zákonem.</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Porovnání  těchto námitek  s textem  článků 90  a 95  ústavy neopravňuje  úsudek, že  by soudy  při ochraně  práv podle čl. 90 byly vázány jedině zákonem. Čl. 90 určuje jen, že soudy poskytují ochranu právům  zákonem stanoveným způsobem.  Jde tudíž o  metody a prostředky, pomocí nichž soudy poskytují ochranu právům, nikoli o udělení absolutoria  pro soudy pokud  jde o jiné  právní normy. Vedle  zákonů existují  i další  druhy právních  norem, jež  jsou obecně závazné a tím závazné i pro soudy.  Soud podzákonnou normu použije ledaže by dospěl k závěru,  že není v souladu se zákonem. To  podporuje již  text čl.  95 odst.  1 Ústavy  České republiky, podle něhož  soudce je oprávněn  posoudit soulad jiného  právního předpisu se zákonem.</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Podle  názoru navrhovatelů  vlády může  na základě zákonného zmocnění  pouze  provést úkoly obsažené  ve zmocňovacím zákoně  a nesmí překročit jeho meze.</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Normotvorná  kompetence prostřednictvím  vládních nařízení v parlamentních  systémech v  současnosti  přesahuje  svým rozsahem zákonodárnou aktivitu  parlamentu. Jedná se  předně o samostatnou nařizovací pravomoc  přímo na základě  ústavy (v České  republice čl. 78 Ústavy.). Vláda je v takovýchto případech oprávněna vydávat nařízení k provedení  zákona a v jeho mezích.  K tomu nepotřebuje žádné zvláštní zmocnění parlamentu.</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 V některých  demokratických státech je  ústavou upraveno též odvozené nařizovací právo vlády  na základě delegace parlamentem. V takových případech platí ústavní podmínka, že rámcové upřesnění takového  zmocnění  musí  být  přímo  v  zákoně,  a to věcně nebo i časově  a   že  jen  neurčité  globální   zmocnění  vlády  není přípustné.  Přitom úkol  určit  přiměřený  a účelný  věcný rozsah zmocnění a  střežit, aby vláda  nepřekračovala zákonný rámec,  je věcí především parlamentu samého.</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r w:rsidRPr="00DE3FC8">
        <w:rPr>
          <w:sz w:val="20"/>
          <w:szCs w:val="20"/>
        </w:rPr>
        <w:t xml:space="preserve">Ústava České republiky zná jen jediný typ vládního nařízení. Je to  jedině ustanovení čl.  78, který stanoví  toliko dvě věcné </w:t>
      </w:r>
    </w:p>
    <w:p w:rsidR="00DE3FC8" w:rsidRPr="00DE3FC8" w:rsidRDefault="00DE3FC8" w:rsidP="00F73269">
      <w:pPr>
        <w:jc w:val="both"/>
        <w:rPr>
          <w:sz w:val="20"/>
          <w:szCs w:val="20"/>
        </w:rPr>
      </w:pPr>
      <w:r w:rsidRPr="00DE3FC8">
        <w:rPr>
          <w:sz w:val="20"/>
          <w:szCs w:val="20"/>
        </w:rPr>
        <w:t>podmínky:  vládní  nařízení  může  vláda  vydat  (i  bez zmocnění parlamentem) pouze  k provedení určitého zákona  a v jeho mezích. Žádná další ustanovení neurčují, jakým způsobem a v jakém rozsahu se  tyto meze  stanoví. To  znamená, že  vyplývají přímo  z textu zákona, který  je vládním nařízením prováděn.  Protože podle § 78 Ústavy České  republiky je třeba  posuzovat i vládní  nařízení na základě zmocnění § 8 zákona č. 198/1993 Sb., je i takové zmocnění vlády  byť  ve  velmi  rámcovém  rozsahu  z hlediska Ústavy ještě přípustné.</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Poučení:   Na  základě § 54  zákona č. 182/1993  Sb. proti rozhodnutí Ústavního soudu se nelze odvolat.</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Brně dne 21. prosince 1993</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JUDr. Zdeněk Kessler</w:t>
      </w:r>
    </w:p>
    <w:p w:rsidR="004B32B5" w:rsidRDefault="00DE3FC8" w:rsidP="00F73269">
      <w:pPr>
        <w:jc w:val="both"/>
        <w:rPr>
          <w:sz w:val="20"/>
          <w:szCs w:val="20"/>
        </w:rPr>
      </w:pPr>
      <w:r w:rsidRPr="00DE3FC8">
        <w:rPr>
          <w:sz w:val="20"/>
          <w:szCs w:val="20"/>
        </w:rPr>
        <w:t>předseda Ústavního soudu ČR</w:t>
      </w:r>
    </w:p>
    <w:sectPr w:rsidR="004B32B5"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563" w:rsidRDefault="00F37563">
      <w:r>
        <w:separator/>
      </w:r>
    </w:p>
  </w:endnote>
  <w:endnote w:type="continuationSeparator" w:id="0">
    <w:p w:rsidR="00F37563" w:rsidRDefault="00F3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563" w:rsidRDefault="00F37563">
      <w:r>
        <w:separator/>
      </w:r>
    </w:p>
  </w:footnote>
  <w:footnote w:type="continuationSeparator" w:id="0">
    <w:p w:rsidR="00F37563" w:rsidRDefault="00F3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4533"/>
    </w:tblGrid>
    <w:tr w:rsidR="009665F8">
      <w:tc>
        <w:tcPr>
          <w:tcW w:w="4606" w:type="dxa"/>
        </w:tcPr>
        <w:p w:rsidR="009665F8" w:rsidRPr="00B9003B" w:rsidRDefault="009665F8" w:rsidP="00BA312C">
          <w:pPr>
            <w:pStyle w:val="Zhlav"/>
            <w:jc w:val="both"/>
            <w:rPr>
              <w:i/>
              <w:iCs/>
              <w:sz w:val="20"/>
              <w:szCs w:val="20"/>
            </w:rPr>
          </w:pPr>
          <w:r w:rsidRPr="00B9003B">
            <w:rPr>
              <w:i/>
              <w:iCs/>
              <w:sz w:val="20"/>
              <w:szCs w:val="20"/>
            </w:rPr>
            <w:t>Pl.ÚS 19/93 ze dne 21. 12. 1993</w:t>
          </w:r>
        </w:p>
      </w:tc>
      <w:tc>
        <w:tcPr>
          <w:tcW w:w="4606" w:type="dxa"/>
        </w:tcPr>
        <w:p w:rsidR="009665F8" w:rsidRPr="00B9003B" w:rsidRDefault="009665F8" w:rsidP="00BA312C">
          <w:pPr>
            <w:pStyle w:val="Zhlav"/>
            <w:jc w:val="right"/>
            <w:rPr>
              <w:i/>
              <w:iCs/>
              <w:sz w:val="20"/>
              <w:szCs w:val="20"/>
            </w:rPr>
          </w:pPr>
          <w:r w:rsidRPr="00B9003B">
            <w:rPr>
              <w:rStyle w:val="slostrnky"/>
              <w:i/>
              <w:iCs/>
              <w:sz w:val="20"/>
              <w:szCs w:val="20"/>
            </w:rPr>
            <w:t xml:space="preserve">str. </w:t>
          </w:r>
          <w:r>
            <w:rPr>
              <w:rStyle w:val="slostrnky"/>
              <w:i/>
              <w:iCs/>
              <w:sz w:val="20"/>
              <w:szCs w:val="20"/>
            </w:rPr>
            <w:fldChar w:fldCharType="begin"/>
          </w:r>
          <w:r>
            <w:rPr>
              <w:rStyle w:val="slostrnky"/>
              <w:i/>
              <w:iCs/>
              <w:sz w:val="20"/>
              <w:szCs w:val="20"/>
            </w:rPr>
            <w:instrText xml:space="preserve"> PAGE  \* Arabic  \* MERGEFORMAT </w:instrText>
          </w:r>
          <w:r>
            <w:rPr>
              <w:rStyle w:val="slostrnky"/>
              <w:i/>
              <w:iCs/>
              <w:sz w:val="20"/>
              <w:szCs w:val="20"/>
            </w:rPr>
            <w:fldChar w:fldCharType="separate"/>
          </w:r>
          <w:r>
            <w:rPr>
              <w:rStyle w:val="slostrnky"/>
              <w:i/>
              <w:iCs/>
              <w:noProof/>
              <w:sz w:val="20"/>
              <w:szCs w:val="20"/>
            </w:rPr>
            <w:t>2</w:t>
          </w:r>
          <w:r>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C8"/>
    <w:rsid w:val="00020469"/>
    <w:rsid w:val="00121C71"/>
    <w:rsid w:val="00194198"/>
    <w:rsid w:val="003B15E1"/>
    <w:rsid w:val="00497719"/>
    <w:rsid w:val="004B32B5"/>
    <w:rsid w:val="004E385E"/>
    <w:rsid w:val="006520C8"/>
    <w:rsid w:val="006D77F9"/>
    <w:rsid w:val="007673A2"/>
    <w:rsid w:val="009665F8"/>
    <w:rsid w:val="00AE2EF2"/>
    <w:rsid w:val="00B9003B"/>
    <w:rsid w:val="00BA312C"/>
    <w:rsid w:val="00C4171A"/>
    <w:rsid w:val="00CA29FB"/>
    <w:rsid w:val="00D660D7"/>
    <w:rsid w:val="00D777A8"/>
    <w:rsid w:val="00DE3FC8"/>
    <w:rsid w:val="00F37563"/>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D976F-C8F6-4F29-BDF9-F5CD409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character" w:styleId="slostrnky">
    <w:name w:val="page number"/>
    <w:basedOn w:val="Standardnpsmoodstavce"/>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99"/>
    <w:rsid w:val="00AE2EF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7846</Words>
  <Characters>46292</Characters>
  <Application>Microsoft Office Word</Application>
  <DocSecurity>0</DocSecurity>
  <Lines>385</Lines>
  <Paragraphs>108</Paragraphs>
  <ScaleCrop>false</ScaleCrop>
  <Company>AutoCont</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Pl.ÚS 19/93 ze dne 21. 12. 1993</dc:title>
  <dc:subject/>
  <dc:creator>Kovář Zdeněk</dc:creator>
  <cp:keywords/>
  <dc:description/>
  <cp:lastModifiedBy>Uživatel</cp:lastModifiedBy>
  <cp:revision>2</cp:revision>
  <dcterms:created xsi:type="dcterms:W3CDTF">2020-03-19T16:21:00Z</dcterms:created>
  <dcterms:modified xsi:type="dcterms:W3CDTF">2020-03-19T16:21:00Z</dcterms:modified>
</cp:coreProperties>
</file>