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912BC" w14:textId="6A26042E" w:rsidR="002E66DA" w:rsidRPr="00E06D67" w:rsidRDefault="00E06D67">
      <w:pPr>
        <w:rPr>
          <w:b/>
        </w:rPr>
      </w:pPr>
      <w:r w:rsidRPr="00E06D67">
        <w:rPr>
          <w:b/>
        </w:rPr>
        <w:t>Finanční management</w:t>
      </w:r>
      <w:r w:rsidR="00B917E1">
        <w:rPr>
          <w:b/>
        </w:rPr>
        <w:t xml:space="preserve"> </w:t>
      </w:r>
      <w:r w:rsidR="00C55896">
        <w:rPr>
          <w:b/>
        </w:rPr>
        <w:t>–</w:t>
      </w:r>
      <w:r w:rsidR="00B917E1">
        <w:rPr>
          <w:b/>
        </w:rPr>
        <w:t xml:space="preserve"> struktura</w:t>
      </w:r>
      <w:r w:rsidR="00C55896">
        <w:rPr>
          <w:b/>
        </w:rPr>
        <w:t xml:space="preserve"> přednášky</w:t>
      </w:r>
      <w:bookmarkStart w:id="0" w:name="_GoBack"/>
      <w:bookmarkEnd w:id="0"/>
    </w:p>
    <w:p w14:paraId="431A61E4" w14:textId="45A44F1B" w:rsidR="00E06D67" w:rsidRDefault="00E06D67"/>
    <w:p w14:paraId="4B7B97D3" w14:textId="73BB358F" w:rsidR="00B917E1" w:rsidRDefault="00B917E1">
      <w:r>
        <w:t>Obecně</w:t>
      </w:r>
    </w:p>
    <w:p w14:paraId="2034B21D" w14:textId="4777CB14" w:rsidR="004C401F" w:rsidRDefault="00E06D67" w:rsidP="004C401F">
      <w:pPr>
        <w:pStyle w:val="Odstavecseseznamem"/>
        <w:numPr>
          <w:ilvl w:val="0"/>
          <w:numId w:val="4"/>
        </w:numPr>
      </w:pPr>
      <w:r>
        <w:t>Peníze plynou státu (daně</w:t>
      </w:r>
      <w:r w:rsidR="00B917E1">
        <w:t>, fiskální politika státu</w:t>
      </w:r>
      <w:r w:rsidR="004C401F">
        <w:t>)</w:t>
      </w:r>
    </w:p>
    <w:p w14:paraId="232CF8C7" w14:textId="59B6AAB0" w:rsidR="00E06D67" w:rsidRDefault="00E06D67" w:rsidP="00B917E1">
      <w:pPr>
        <w:pStyle w:val="Odstavecseseznamem"/>
        <w:numPr>
          <w:ilvl w:val="0"/>
          <w:numId w:val="4"/>
        </w:numPr>
      </w:pPr>
      <w:r>
        <w:t>Stát plánuje, jak bude hospodařit (rozpočet)</w:t>
      </w:r>
    </w:p>
    <w:p w14:paraId="4FBEF568" w14:textId="2AD0E589" w:rsidR="004C401F" w:rsidRDefault="004C401F" w:rsidP="004C401F">
      <w:pPr>
        <w:pStyle w:val="Odstavecseseznamem"/>
        <w:numPr>
          <w:ilvl w:val="0"/>
          <w:numId w:val="7"/>
        </w:numPr>
      </w:pPr>
      <w:r>
        <w:t>srov.: Státní rozpočet v kostce (</w:t>
      </w:r>
      <w:hyperlink r:id="rId5" w:history="1">
        <w:r>
          <w:rPr>
            <w:rStyle w:val="Hypertextovodkaz"/>
          </w:rPr>
          <w:t>Státní rozpočet v kostce - 2021 | Státní rozpočet v kostce | Ministerstvo financí ČR (mfcr.cz)</w:t>
        </w:r>
      </w:hyperlink>
      <w:r>
        <w:t>)</w:t>
      </w:r>
    </w:p>
    <w:p w14:paraId="788043B3" w14:textId="57793A6F" w:rsidR="00B917E1" w:rsidRDefault="00B917E1" w:rsidP="00B917E1">
      <w:pPr>
        <w:pStyle w:val="Odstavecseseznamem"/>
        <w:numPr>
          <w:ilvl w:val="0"/>
          <w:numId w:val="4"/>
        </w:numPr>
      </w:pPr>
      <w:r>
        <w:t>Stát hospodaří</w:t>
      </w:r>
    </w:p>
    <w:p w14:paraId="55E939D6" w14:textId="34943931" w:rsidR="00B917E1" w:rsidRDefault="00B917E1" w:rsidP="00B917E1">
      <w:pPr>
        <w:pStyle w:val="Odstavecseseznamem"/>
        <w:numPr>
          <w:ilvl w:val="0"/>
          <w:numId w:val="3"/>
        </w:numPr>
      </w:pPr>
      <w:r>
        <w:t>Náklady na vlastní aparát (administrativa)</w:t>
      </w:r>
    </w:p>
    <w:p w14:paraId="3898BFC0" w14:textId="69E08E41" w:rsidR="00B917E1" w:rsidRDefault="00B917E1" w:rsidP="00B917E1">
      <w:pPr>
        <w:pStyle w:val="Odstavecseseznamem"/>
        <w:numPr>
          <w:ilvl w:val="0"/>
          <w:numId w:val="3"/>
        </w:numPr>
      </w:pPr>
      <w:r>
        <w:t>Zajišťování specifických služeb (obrana, bezpečnost)</w:t>
      </w:r>
    </w:p>
    <w:p w14:paraId="2B542B56" w14:textId="77777777" w:rsidR="004C401F" w:rsidRDefault="004C401F" w:rsidP="004C401F">
      <w:pPr>
        <w:pStyle w:val="Odstavecseseznamem"/>
        <w:numPr>
          <w:ilvl w:val="0"/>
          <w:numId w:val="3"/>
        </w:numPr>
      </w:pPr>
      <w:r>
        <w:t>Nákupy služeb a zboží od soukromého sektoru</w:t>
      </w:r>
    </w:p>
    <w:p w14:paraId="66BE3385" w14:textId="6917D054" w:rsidR="004C401F" w:rsidRDefault="004C401F" w:rsidP="00B917E1">
      <w:pPr>
        <w:pStyle w:val="Odstavecseseznamem"/>
        <w:numPr>
          <w:ilvl w:val="0"/>
          <w:numId w:val="3"/>
        </w:numPr>
      </w:pPr>
      <w:r>
        <w:t>srov. Metodika veřejného nakupování z 2016, MF ČR (</w:t>
      </w:r>
      <w:hyperlink r:id="rId6" w:history="1">
        <w:r>
          <w:rPr>
            <w:rStyle w:val="Hypertextovodkaz"/>
          </w:rPr>
          <w:t>Metodický pokyn CHJ č. 3 – Metodika veřejného nakupování | 2016 | Ministerstvo financí ČR (mfcr.cz)</w:t>
        </w:r>
      </w:hyperlink>
      <w:r>
        <w:t>)</w:t>
      </w:r>
    </w:p>
    <w:p w14:paraId="51A01389" w14:textId="3C593630" w:rsidR="004C401F" w:rsidRDefault="00C55896" w:rsidP="00B917E1">
      <w:pPr>
        <w:pStyle w:val="Odstavecseseznamem"/>
        <w:numPr>
          <w:ilvl w:val="0"/>
          <w:numId w:val="3"/>
        </w:numPr>
      </w:pPr>
      <w:hyperlink r:id="rId7" w:history="1">
        <w:r w:rsidR="004C401F">
          <w:rPr>
            <w:rStyle w:val="Hypertextovodkaz"/>
          </w:rPr>
          <w:t>Usnesení vlády ČR č. 620/2016 | 2016 | Ministerstvo financí ČR (mfcr.cz)</w:t>
        </w:r>
      </w:hyperlink>
    </w:p>
    <w:p w14:paraId="3E56A35C" w14:textId="570F582F" w:rsidR="00B917E1" w:rsidRDefault="00B917E1" w:rsidP="00B917E1">
      <w:pPr>
        <w:pStyle w:val="Odstavecseseznamem"/>
        <w:numPr>
          <w:ilvl w:val="0"/>
          <w:numId w:val="3"/>
        </w:numPr>
      </w:pPr>
      <w:r>
        <w:t>Role centrální banky (měnová politika)</w:t>
      </w:r>
    </w:p>
    <w:p w14:paraId="02B6EA08" w14:textId="74F1535B" w:rsidR="004C401F" w:rsidRDefault="004C401F" w:rsidP="004C401F">
      <w:pPr>
        <w:pStyle w:val="Odstavecseseznamem"/>
        <w:numPr>
          <w:ilvl w:val="0"/>
          <w:numId w:val="3"/>
        </w:numPr>
      </w:pPr>
      <w:r>
        <w:t xml:space="preserve">srov. kapitola č. 1.1.2 v </w:t>
      </w:r>
      <w:hyperlink r:id="rId8" w:history="1">
        <w:r>
          <w:rPr>
            <w:rStyle w:val="Hypertextovodkaz"/>
          </w:rPr>
          <w:t>Blazek_Devizove_intervence.pdf (muni.cz)</w:t>
        </w:r>
      </w:hyperlink>
    </w:p>
    <w:p w14:paraId="645EE811" w14:textId="1D7450C7" w:rsidR="00B917E1" w:rsidRDefault="00B917E1" w:rsidP="00B917E1">
      <w:pPr>
        <w:pStyle w:val="Odstavecseseznamem"/>
        <w:numPr>
          <w:ilvl w:val="0"/>
          <w:numId w:val="4"/>
        </w:numPr>
      </w:pPr>
      <w:r>
        <w:t>Kontrola hospodaření</w:t>
      </w:r>
    </w:p>
    <w:p w14:paraId="04CE5B88" w14:textId="0A47617B" w:rsidR="00B917E1" w:rsidRDefault="00B917E1" w:rsidP="00B917E1">
      <w:pPr>
        <w:pStyle w:val="Odstavecseseznamem"/>
        <w:numPr>
          <w:ilvl w:val="0"/>
          <w:numId w:val="1"/>
        </w:numPr>
      </w:pPr>
      <w:r>
        <w:t>Technická, plnění rozpočtu</w:t>
      </w:r>
    </w:p>
    <w:p w14:paraId="6F735AF6" w14:textId="674D632A" w:rsidR="00B917E1" w:rsidRDefault="00B917E1" w:rsidP="00B917E1">
      <w:pPr>
        <w:pStyle w:val="Odstavecseseznamem"/>
        <w:numPr>
          <w:ilvl w:val="0"/>
          <w:numId w:val="1"/>
        </w:numPr>
      </w:pPr>
      <w:r>
        <w:t>Faktická, prosperita</w:t>
      </w:r>
    </w:p>
    <w:p w14:paraId="410E453F" w14:textId="03FCCC9B" w:rsidR="00B917E1" w:rsidRDefault="00B917E1"/>
    <w:p w14:paraId="30CFCAE2" w14:textId="7AC3ADC8" w:rsidR="00B917E1" w:rsidRDefault="00B917E1">
      <w:r>
        <w:t>Financování státního dluhu</w:t>
      </w:r>
    </w:p>
    <w:p w14:paraId="3FEEDCA6" w14:textId="69850B14" w:rsidR="00B917E1" w:rsidRDefault="00B917E1" w:rsidP="00B917E1">
      <w:pPr>
        <w:pStyle w:val="Odstavecseseznamem"/>
        <w:numPr>
          <w:ilvl w:val="0"/>
          <w:numId w:val="1"/>
        </w:numPr>
      </w:pPr>
      <w:r>
        <w:t>emise dluhopi</w:t>
      </w:r>
      <w:r w:rsidR="008A6E43">
        <w:t>sů</w:t>
      </w:r>
    </w:p>
    <w:p w14:paraId="78AFAED0" w14:textId="3E0A3D20" w:rsidR="00FA0A73" w:rsidRDefault="00C55896" w:rsidP="00B917E1">
      <w:pPr>
        <w:pStyle w:val="Odstavecseseznamem"/>
        <w:numPr>
          <w:ilvl w:val="0"/>
          <w:numId w:val="1"/>
        </w:numPr>
      </w:pPr>
      <w:hyperlink r:id="rId9" w:history="1">
        <w:r w:rsidR="00130477">
          <w:rPr>
            <w:rStyle w:val="Hypertextovodkaz"/>
          </w:rPr>
          <w:t>Státní dluhopisy podle typu instrumentu za rok 2021 | 2021 | Ministerstvo financí ČR (mfcr.cz)</w:t>
        </w:r>
      </w:hyperlink>
    </w:p>
    <w:p w14:paraId="29D7BF68" w14:textId="646697E6" w:rsidR="00130477" w:rsidRDefault="00C55896" w:rsidP="00B917E1">
      <w:pPr>
        <w:pStyle w:val="Odstavecseseznamem"/>
        <w:numPr>
          <w:ilvl w:val="0"/>
          <w:numId w:val="1"/>
        </w:numPr>
      </w:pPr>
      <w:hyperlink r:id="rId10" w:history="1">
        <w:r w:rsidR="00130477">
          <w:rPr>
            <w:rStyle w:val="Hypertextovodkaz"/>
          </w:rPr>
          <w:t>Státní dluhopisy podle typu držitele za únor 2021 | 2021 | Ministerstvo financí ČR (mfcr.cz)</w:t>
        </w:r>
      </w:hyperlink>
    </w:p>
    <w:p w14:paraId="4EDE4139" w14:textId="1C3B539D" w:rsidR="00130477" w:rsidRDefault="00C55896" w:rsidP="00B917E1">
      <w:pPr>
        <w:pStyle w:val="Odstavecseseznamem"/>
        <w:numPr>
          <w:ilvl w:val="0"/>
          <w:numId w:val="1"/>
        </w:numPr>
      </w:pPr>
      <w:hyperlink r:id="rId11" w:history="1">
        <w:r w:rsidR="00130477">
          <w:rPr>
            <w:rStyle w:val="Hypertextovodkaz"/>
          </w:rPr>
          <w:t>Státní dluhopisy podle doby splatnosti za únor 2021 | 2021 | Ministerstvo financí ČR (mfcr.cz)</w:t>
        </w:r>
      </w:hyperlink>
    </w:p>
    <w:p w14:paraId="2B03700C" w14:textId="479E824C" w:rsidR="00130477" w:rsidRDefault="00130477" w:rsidP="00B917E1">
      <w:pPr>
        <w:pStyle w:val="Odstavecseseznamem"/>
        <w:numPr>
          <w:ilvl w:val="0"/>
          <w:numId w:val="1"/>
        </w:numPr>
      </w:pPr>
      <w:r>
        <w:t>Eurozóna a rozpočtová omezení</w:t>
      </w:r>
    </w:p>
    <w:p w14:paraId="26F965B1" w14:textId="53B244AA" w:rsidR="00130477" w:rsidRDefault="00C55896" w:rsidP="00B917E1">
      <w:pPr>
        <w:pStyle w:val="Odstavecseseznamem"/>
        <w:numPr>
          <w:ilvl w:val="0"/>
          <w:numId w:val="1"/>
        </w:numPr>
      </w:pPr>
      <w:hyperlink r:id="rId12" w:history="1">
        <w:r w:rsidR="00130477">
          <w:rPr>
            <w:rStyle w:val="Hypertextovodkaz"/>
          </w:rPr>
          <w:t>EUR-Lex - 12008M/PRO/12 - CS (europa.eu)</w:t>
        </w:r>
      </w:hyperlink>
    </w:p>
    <w:p w14:paraId="79011B73" w14:textId="77777777" w:rsidR="00130477" w:rsidRDefault="00130477" w:rsidP="00130477">
      <w:pPr>
        <w:pStyle w:val="Odstavecseseznamem"/>
        <w:ind w:left="1068"/>
      </w:pPr>
    </w:p>
    <w:p w14:paraId="657EF316" w14:textId="77777777" w:rsidR="00B917E1" w:rsidRDefault="00B917E1"/>
    <w:sectPr w:rsidR="00B91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64A7"/>
    <w:multiLevelType w:val="hybridMultilevel"/>
    <w:tmpl w:val="233AAFBC"/>
    <w:lvl w:ilvl="0" w:tplc="090C709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8A2A98"/>
    <w:multiLevelType w:val="hybridMultilevel"/>
    <w:tmpl w:val="B9AC7ED8"/>
    <w:lvl w:ilvl="0" w:tplc="2C228FA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5724ED"/>
    <w:multiLevelType w:val="hybridMultilevel"/>
    <w:tmpl w:val="BA307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1751D"/>
    <w:multiLevelType w:val="hybridMultilevel"/>
    <w:tmpl w:val="93221FA8"/>
    <w:lvl w:ilvl="0" w:tplc="73D8B50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F471E3"/>
    <w:multiLevelType w:val="hybridMultilevel"/>
    <w:tmpl w:val="DEF27F48"/>
    <w:lvl w:ilvl="0" w:tplc="AB20722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7592DB8"/>
    <w:multiLevelType w:val="hybridMultilevel"/>
    <w:tmpl w:val="0D84DF86"/>
    <w:lvl w:ilvl="0" w:tplc="016A9AB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FEB4151"/>
    <w:multiLevelType w:val="hybridMultilevel"/>
    <w:tmpl w:val="C652D4DA"/>
    <w:lvl w:ilvl="0" w:tplc="76562D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05"/>
    <w:rsid w:val="00130477"/>
    <w:rsid w:val="002E66DA"/>
    <w:rsid w:val="004C401F"/>
    <w:rsid w:val="00800505"/>
    <w:rsid w:val="008A6E43"/>
    <w:rsid w:val="00B917E1"/>
    <w:rsid w:val="00C55896"/>
    <w:rsid w:val="00E06D67"/>
    <w:rsid w:val="00FA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4D7C"/>
  <w15:chartTrackingRefBased/>
  <w15:docId w15:val="{2332EF62-CE42-46B1-A26E-BE4F0E30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17E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C40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.law.muni.cz/knihy/monografie/Blazek_Devizove_intervence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fcr.cz/cs/legislativa/legislativni-dokumenty/2016/usneseni-vlady-cr-c-620-2016-25581" TargetMode="External"/><Relationship Id="rId12" Type="http://schemas.openxmlformats.org/officeDocument/2006/relationships/hyperlink" Target="https://eur-lex.europa.eu/legal-content/cs/TXT/HTML/?uri=CELEX:12008M/PRO/12&amp;rid=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fcr.cz/cs/legislativa/metodiky/2016/metodicky-pokyn-chj-c-3--metodika-verejn-25582" TargetMode="External"/><Relationship Id="rId11" Type="http://schemas.openxmlformats.org/officeDocument/2006/relationships/hyperlink" Target="https://www.mfcr.cz/cs/verejny-sektor/rizeni-statniho-dluhu/statistiky/podle-doby-splatnosti/2021/statni-dluhopisy-podle-doby-splatnosti-z-41353" TargetMode="External"/><Relationship Id="rId5" Type="http://schemas.openxmlformats.org/officeDocument/2006/relationships/hyperlink" Target="https://www.mfcr.cz/cs/o-ministerstvu/vzdelavani/rozpocet-v-kostce/statni-rozpocet-v-kostce-2021-41404" TargetMode="External"/><Relationship Id="rId10" Type="http://schemas.openxmlformats.org/officeDocument/2006/relationships/hyperlink" Target="https://www.mfcr.cz/cs/verejny-sektor/rizeni-statniho-dluhu/statistiky/podle-typu-drzitele/2021/statni-dluhopisy-podle-typu-drzitele-za-413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fcr.cz/cs/verejny-sektor/rizeni-statniho-dluhu/statistiky/podle-typu-instrumentu/2021/statni-dluhopisy-podle-typu-instrumentu-410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Schweigl</dc:creator>
  <cp:keywords/>
  <dc:description/>
  <cp:lastModifiedBy>Johan Schweigl</cp:lastModifiedBy>
  <cp:revision>5</cp:revision>
  <dcterms:created xsi:type="dcterms:W3CDTF">2021-04-29T19:36:00Z</dcterms:created>
  <dcterms:modified xsi:type="dcterms:W3CDTF">2021-04-30T06:02:00Z</dcterms:modified>
</cp:coreProperties>
</file>