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E19" w:rsidRDefault="002D1A25" w:rsidP="002D1A25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2D1A25">
        <w:rPr>
          <w:rFonts w:ascii="Times New Roman" w:hAnsi="Times New Roman" w:cs="Times New Roman"/>
          <w:b/>
          <w:sz w:val="36"/>
          <w:szCs w:val="28"/>
        </w:rPr>
        <w:t xml:space="preserve">Teorie práva II – žaloba </w:t>
      </w:r>
      <w:r>
        <w:rPr>
          <w:rFonts w:ascii="Times New Roman" w:hAnsi="Times New Roman" w:cs="Times New Roman"/>
          <w:b/>
          <w:sz w:val="36"/>
          <w:szCs w:val="28"/>
        </w:rPr>
        <w:t>–</w:t>
      </w:r>
      <w:r w:rsidRPr="002D1A25">
        <w:rPr>
          <w:rFonts w:ascii="Times New Roman" w:hAnsi="Times New Roman" w:cs="Times New Roman"/>
          <w:b/>
          <w:sz w:val="36"/>
          <w:szCs w:val="28"/>
        </w:rPr>
        <w:t xml:space="preserve"> předloha</w:t>
      </w:r>
    </w:p>
    <w:p w:rsidR="002D1A25" w:rsidRDefault="002D1A25" w:rsidP="002D1A25">
      <w:pPr>
        <w:rPr>
          <w:rFonts w:ascii="Times New Roman" w:hAnsi="Times New Roman" w:cs="Times New Roman"/>
          <w:b/>
          <w:sz w:val="36"/>
          <w:szCs w:val="28"/>
        </w:rPr>
      </w:pPr>
    </w:p>
    <w:p w:rsidR="002D1A25" w:rsidRPr="00E177CC" w:rsidRDefault="008616FE" w:rsidP="008616FE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E177CC">
        <w:rPr>
          <w:rFonts w:ascii="Times New Roman" w:hAnsi="Times New Roman" w:cs="Times New Roman"/>
          <w:b/>
          <w:sz w:val="24"/>
          <w:szCs w:val="24"/>
        </w:rPr>
        <w:t>Úvodní slovo:</w:t>
      </w:r>
    </w:p>
    <w:p w:rsidR="008616FE" w:rsidRDefault="008616FE" w:rsidP="00A119E2">
      <w:pPr>
        <w:spacing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Předně je třeba vycházet z toho, že žaloba je procesní podání adresované soudu, které musí mí</w:t>
      </w:r>
      <w:r w:rsidR="009106F2">
        <w:rPr>
          <w:rFonts w:ascii="Times New Roman" w:hAnsi="Times New Roman" w:cs="Times New Roman"/>
          <w:sz w:val="24"/>
          <w:szCs w:val="24"/>
        </w:rPr>
        <w:t>t zákonem stanovené náležitosti</w:t>
      </w:r>
      <w:r>
        <w:rPr>
          <w:rFonts w:ascii="Times New Roman" w:hAnsi="Times New Roman" w:cs="Times New Roman"/>
          <w:sz w:val="24"/>
          <w:szCs w:val="24"/>
        </w:rPr>
        <w:t xml:space="preserve">. V praxi se tedy nejedná o akademický text či závěrečnou práci, ve vztahu ke které jsou prostřednictvím fakultních směrnic a dalších pravidel stanoveny poměrně podrobné požadavky na strukturu, řádkování, velikost či styl písma, citování pramenů apod. </w:t>
      </w:r>
      <w:r w:rsidR="00E177CC">
        <w:rPr>
          <w:rFonts w:ascii="Times New Roman" w:hAnsi="Times New Roman" w:cs="Times New Roman"/>
          <w:sz w:val="24"/>
          <w:szCs w:val="24"/>
        </w:rPr>
        <w:t>Pro účely sepsání</w:t>
      </w:r>
      <w:r>
        <w:rPr>
          <w:rFonts w:ascii="Times New Roman" w:hAnsi="Times New Roman" w:cs="Times New Roman"/>
          <w:sz w:val="24"/>
          <w:szCs w:val="24"/>
        </w:rPr>
        <w:t> </w:t>
      </w:r>
      <w:r w:rsidR="00E177CC">
        <w:rPr>
          <w:rFonts w:ascii="Times New Roman" w:hAnsi="Times New Roman" w:cs="Times New Roman"/>
          <w:sz w:val="24"/>
          <w:szCs w:val="24"/>
        </w:rPr>
        <w:t>žaloby</w:t>
      </w:r>
      <w:r>
        <w:rPr>
          <w:rFonts w:ascii="Times New Roman" w:hAnsi="Times New Roman" w:cs="Times New Roman"/>
          <w:sz w:val="24"/>
          <w:szCs w:val="24"/>
        </w:rPr>
        <w:t xml:space="preserve"> či </w:t>
      </w:r>
      <w:r w:rsidR="00E177CC">
        <w:rPr>
          <w:rFonts w:ascii="Times New Roman" w:hAnsi="Times New Roman" w:cs="Times New Roman"/>
          <w:sz w:val="24"/>
          <w:szCs w:val="24"/>
        </w:rPr>
        <w:t>obecně návrhu na zahájení soudního</w:t>
      </w:r>
      <w:r>
        <w:rPr>
          <w:rFonts w:ascii="Times New Roman" w:hAnsi="Times New Roman" w:cs="Times New Roman"/>
          <w:sz w:val="24"/>
          <w:szCs w:val="24"/>
        </w:rPr>
        <w:t xml:space="preserve"> řízení </w:t>
      </w:r>
      <w:r w:rsidR="00E177CC">
        <w:rPr>
          <w:rFonts w:ascii="Times New Roman" w:hAnsi="Times New Roman" w:cs="Times New Roman"/>
          <w:sz w:val="24"/>
          <w:szCs w:val="24"/>
        </w:rPr>
        <w:t xml:space="preserve">nejsou oficiálně </w:t>
      </w:r>
      <w:r>
        <w:rPr>
          <w:rFonts w:ascii="Times New Roman" w:hAnsi="Times New Roman" w:cs="Times New Roman"/>
          <w:sz w:val="24"/>
          <w:szCs w:val="24"/>
        </w:rPr>
        <w:t xml:space="preserve">stanoveny žádné přesné </w:t>
      </w:r>
      <w:r w:rsidR="00732392">
        <w:rPr>
          <w:rFonts w:ascii="Times New Roman" w:hAnsi="Times New Roman" w:cs="Times New Roman"/>
          <w:sz w:val="24"/>
          <w:szCs w:val="24"/>
        </w:rPr>
        <w:t xml:space="preserve">(stylistické) </w:t>
      </w:r>
      <w:r>
        <w:rPr>
          <w:rFonts w:ascii="Times New Roman" w:hAnsi="Times New Roman" w:cs="Times New Roman"/>
          <w:sz w:val="24"/>
          <w:szCs w:val="24"/>
        </w:rPr>
        <w:t>požadavky.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="00E177CC">
        <w:rPr>
          <w:rFonts w:ascii="Times New Roman" w:hAnsi="Times New Roman" w:cs="Times New Roman"/>
          <w:sz w:val="24"/>
          <w:szCs w:val="24"/>
        </w:rPr>
        <w:t xml:space="preserve"> Je tedy více či méně na uvážení samotného žalobce či typicky jeho právního zástupce, jak bude dané podání koncipovat, pakliže bude srozumitelným způsobem obsahovat všechny zákonné náležitosti. </w:t>
      </w:r>
      <w:r>
        <w:rPr>
          <w:rFonts w:ascii="Times New Roman" w:hAnsi="Times New Roman" w:cs="Times New Roman"/>
          <w:sz w:val="24"/>
          <w:szCs w:val="24"/>
        </w:rPr>
        <w:t>Na druhou stranu nelze opomenout, že kvalitu soud</w:t>
      </w:r>
      <w:r w:rsidR="00732392">
        <w:rPr>
          <w:rFonts w:ascii="Times New Roman" w:hAnsi="Times New Roman" w:cs="Times New Roman"/>
          <w:sz w:val="24"/>
          <w:szCs w:val="24"/>
        </w:rPr>
        <w:t>ního rozhodnutí do značné míry předurčuje</w:t>
      </w:r>
      <w:r w:rsidR="00E177CC">
        <w:rPr>
          <w:rFonts w:ascii="Times New Roman" w:hAnsi="Times New Roman" w:cs="Times New Roman"/>
          <w:sz w:val="24"/>
          <w:szCs w:val="24"/>
        </w:rPr>
        <w:t xml:space="preserve"> kvalita samotné žaloby, pročež je zejména u právních profesionálů žádoucí, aby jejich podání k soudu mělo nejen obsahovou, ale také formální úroveň. Přehlednost</w:t>
      </w:r>
      <w:r w:rsidR="00732392">
        <w:rPr>
          <w:rFonts w:ascii="Times New Roman" w:hAnsi="Times New Roman" w:cs="Times New Roman"/>
          <w:sz w:val="24"/>
          <w:szCs w:val="24"/>
        </w:rPr>
        <w:t>, jednoznačnost a celková podoba</w:t>
      </w:r>
      <w:r w:rsidR="00E177CC">
        <w:rPr>
          <w:rFonts w:ascii="Times New Roman" w:hAnsi="Times New Roman" w:cs="Times New Roman"/>
          <w:sz w:val="24"/>
          <w:szCs w:val="24"/>
        </w:rPr>
        <w:t xml:space="preserve"> žaloby je navíc určitou vizitkou dot</w:t>
      </w:r>
      <w:r w:rsidR="00AF0929">
        <w:rPr>
          <w:rFonts w:ascii="Times New Roman" w:hAnsi="Times New Roman" w:cs="Times New Roman"/>
          <w:sz w:val="24"/>
          <w:szCs w:val="24"/>
        </w:rPr>
        <w:t>yčného právního zástupce</w:t>
      </w:r>
      <w:r w:rsidR="00E177CC">
        <w:rPr>
          <w:rFonts w:ascii="Times New Roman" w:hAnsi="Times New Roman" w:cs="Times New Roman"/>
          <w:sz w:val="24"/>
          <w:szCs w:val="24"/>
        </w:rPr>
        <w:t xml:space="preserve"> a to nejen ve vztahu k soudu, ale také jeho klientovi. </w:t>
      </w:r>
    </w:p>
    <w:p w:rsidR="00E177CC" w:rsidRDefault="00B2081E" w:rsidP="008616FE">
      <w:p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E177CC" w:rsidRPr="00E177CC">
        <w:rPr>
          <w:rFonts w:ascii="Times New Roman" w:hAnsi="Times New Roman" w:cs="Times New Roman"/>
          <w:b/>
          <w:sz w:val="24"/>
          <w:szCs w:val="24"/>
        </w:rPr>
        <w:t>áležitosti</w:t>
      </w:r>
      <w:r>
        <w:rPr>
          <w:rFonts w:ascii="Times New Roman" w:hAnsi="Times New Roman" w:cs="Times New Roman"/>
          <w:b/>
          <w:sz w:val="24"/>
          <w:szCs w:val="24"/>
        </w:rPr>
        <w:t xml:space="preserve"> podání (žaloby)</w:t>
      </w:r>
      <w:r w:rsidR="00E177CC" w:rsidRPr="00E177CC">
        <w:rPr>
          <w:rFonts w:ascii="Times New Roman" w:hAnsi="Times New Roman" w:cs="Times New Roman"/>
          <w:b/>
          <w:sz w:val="24"/>
          <w:szCs w:val="24"/>
        </w:rPr>
        <w:t>:</w:t>
      </w:r>
    </w:p>
    <w:p w:rsidR="00BF4743" w:rsidRDefault="00A119E2" w:rsidP="00A119E2">
      <w:pPr>
        <w:spacing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Ačkoliv lze samozřejmě rozlišovat různé druhy soudního ř</w:t>
      </w:r>
      <w:r w:rsidR="0028429E">
        <w:rPr>
          <w:rFonts w:ascii="Times New Roman" w:hAnsi="Times New Roman" w:cs="Times New Roman"/>
          <w:sz w:val="24"/>
          <w:szCs w:val="24"/>
        </w:rPr>
        <w:t>ízení, která mají svá specifika rovněž ve vztahu k náležito</w:t>
      </w:r>
      <w:r w:rsidR="00AF0929">
        <w:rPr>
          <w:rFonts w:ascii="Times New Roman" w:hAnsi="Times New Roman" w:cs="Times New Roman"/>
          <w:sz w:val="24"/>
          <w:szCs w:val="24"/>
        </w:rPr>
        <w:t>stem návrhu na jejich zahájení</w:t>
      </w:r>
      <w:r w:rsidR="0028429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je obecným procesním předpisem zákon č. </w:t>
      </w:r>
      <w:r w:rsidRPr="00A119E2">
        <w:rPr>
          <w:rFonts w:ascii="Times New Roman" w:hAnsi="Times New Roman" w:cs="Times New Roman"/>
          <w:sz w:val="24"/>
          <w:szCs w:val="24"/>
        </w:rPr>
        <w:t>99/1963 Sb.</w:t>
      </w:r>
      <w:r>
        <w:rPr>
          <w:rFonts w:ascii="Times New Roman" w:hAnsi="Times New Roman" w:cs="Times New Roman"/>
          <w:sz w:val="24"/>
          <w:szCs w:val="24"/>
        </w:rPr>
        <w:t>, občanský soudní řád, ve znění pozdějších předpisů (dále jen „o. s. ř.“</w:t>
      </w:r>
      <w:r w:rsidR="0028429E">
        <w:rPr>
          <w:rFonts w:ascii="Times New Roman" w:hAnsi="Times New Roman" w:cs="Times New Roman"/>
          <w:sz w:val="24"/>
          <w:szCs w:val="24"/>
        </w:rPr>
        <w:t>), ze kterého budeme primárně vycházet.</w:t>
      </w:r>
    </w:p>
    <w:p w:rsidR="00A119E2" w:rsidRDefault="00A119E2" w:rsidP="008616FE">
      <w:pPr>
        <w:spacing w:after="24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Podle ust. </w:t>
      </w:r>
      <w:r w:rsidRPr="00A119E2">
        <w:rPr>
          <w:rFonts w:ascii="Times New Roman" w:hAnsi="Times New Roman" w:cs="Times New Roman"/>
          <w:sz w:val="24"/>
          <w:szCs w:val="24"/>
        </w:rPr>
        <w:t>§ 42</w:t>
      </w:r>
      <w:r>
        <w:rPr>
          <w:rFonts w:ascii="Times New Roman" w:hAnsi="Times New Roman" w:cs="Times New Roman"/>
          <w:sz w:val="24"/>
          <w:szCs w:val="24"/>
        </w:rPr>
        <w:t xml:space="preserve"> odst. 4 o. s. ř. platí, že: </w:t>
      </w:r>
      <w:r w:rsidRPr="002078C8">
        <w:rPr>
          <w:rFonts w:ascii="Times New Roman" w:hAnsi="Times New Roman" w:cs="Times New Roman"/>
          <w:i/>
          <w:sz w:val="24"/>
          <w:szCs w:val="24"/>
        </w:rPr>
        <w:t xml:space="preserve">„Pokud zákon pro podání určitého druhu nevyžaduje další náležitosti, </w:t>
      </w:r>
      <w:r w:rsidRPr="00FB190D">
        <w:rPr>
          <w:rFonts w:ascii="Times New Roman" w:hAnsi="Times New Roman" w:cs="Times New Roman"/>
          <w:b/>
          <w:i/>
          <w:sz w:val="24"/>
          <w:szCs w:val="24"/>
          <w:u w:val="single"/>
        </w:rPr>
        <w:t>musí být z podání patrno, kterému soudu je určeno, kdo je činí, které věci se týká a co sleduje, a musí být podepsáno a datováno</w:t>
      </w:r>
      <w:r w:rsidRPr="002078C8">
        <w:rPr>
          <w:rFonts w:ascii="Times New Roman" w:hAnsi="Times New Roman" w:cs="Times New Roman"/>
          <w:i/>
          <w:sz w:val="24"/>
          <w:szCs w:val="24"/>
        </w:rPr>
        <w:t>. Povinnost podpisu a datování se nevztahuje na podání v elektronické podobě podle zvláštního právního předpisu</w:t>
      </w:r>
      <w:r w:rsidRPr="002078C8">
        <w:rPr>
          <w:rFonts w:ascii="Times New Roman" w:hAnsi="Times New Roman" w:cs="Times New Roman"/>
          <w:i/>
          <w:sz w:val="24"/>
          <w:szCs w:val="24"/>
          <w:vertAlign w:val="superscript"/>
        </w:rPr>
        <w:t>58a)</w:t>
      </w:r>
      <w:r w:rsidRPr="002078C8">
        <w:rPr>
          <w:rFonts w:ascii="Times New Roman" w:hAnsi="Times New Roman" w:cs="Times New Roman"/>
          <w:i/>
          <w:sz w:val="24"/>
          <w:szCs w:val="24"/>
        </w:rPr>
        <w:t xml:space="preserve">. Je-li účastník zastoupen advokátem, může být podpis advokáta nahrazen otiskem podpisového razítka, jehož vzor byl uložen u soudu, kterému je podání určeno. </w:t>
      </w:r>
      <w:r w:rsidRPr="00AF0929">
        <w:rPr>
          <w:rFonts w:ascii="Times New Roman" w:hAnsi="Times New Roman" w:cs="Times New Roman"/>
          <w:b/>
          <w:i/>
          <w:sz w:val="24"/>
          <w:szCs w:val="24"/>
          <w:u w:val="single"/>
        </w:rPr>
        <w:t>Podání v listinné podobě je třeba předložit s potřebným počtem stejnopisů a s přílohami ta</w:t>
      </w:r>
      <w:r w:rsidR="002078C8" w:rsidRPr="00AF092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k, aby jeden stejnopis zůstal </w:t>
      </w:r>
      <w:r w:rsidR="002078C8" w:rsidRPr="00AF0929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u </w:t>
      </w:r>
      <w:r w:rsidRPr="00AF0929">
        <w:rPr>
          <w:rFonts w:ascii="Times New Roman" w:hAnsi="Times New Roman" w:cs="Times New Roman"/>
          <w:b/>
          <w:i/>
          <w:sz w:val="24"/>
          <w:szCs w:val="24"/>
          <w:u w:val="single"/>
        </w:rPr>
        <w:t>soudu a aby každý účastník dostal jeden stejnopis, jestliže je to třeba</w:t>
      </w:r>
      <w:r w:rsidRPr="002078C8">
        <w:rPr>
          <w:rFonts w:ascii="Times New Roman" w:hAnsi="Times New Roman" w:cs="Times New Roman"/>
          <w:i/>
          <w:sz w:val="24"/>
          <w:szCs w:val="24"/>
        </w:rPr>
        <w:t>. Podání v jiných formách se činí pouze jedním stejnopisem. K podání učiněnému elektronicky lze připojit také všechny jeho přílohy v elektronické podobě.</w:t>
      </w:r>
      <w:r w:rsidR="002078C8">
        <w:rPr>
          <w:rFonts w:ascii="Times New Roman" w:hAnsi="Times New Roman" w:cs="Times New Roman"/>
          <w:i/>
          <w:sz w:val="24"/>
          <w:szCs w:val="24"/>
        </w:rPr>
        <w:t>“</w:t>
      </w:r>
    </w:p>
    <w:p w:rsidR="0028429E" w:rsidRDefault="0028429E" w:rsidP="008616FE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FB190D">
        <w:rPr>
          <w:rFonts w:ascii="Times New Roman" w:hAnsi="Times New Roman" w:cs="Times New Roman"/>
          <w:sz w:val="24"/>
          <w:szCs w:val="24"/>
        </w:rPr>
        <w:t>Podle ust. § 79 odst. 1 o. s. ř. dále platí:</w:t>
      </w:r>
      <w:r w:rsidR="00FB190D" w:rsidRPr="00FB19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190D">
        <w:rPr>
          <w:rFonts w:ascii="Times New Roman" w:hAnsi="Times New Roman" w:cs="Times New Roman"/>
          <w:i/>
          <w:sz w:val="24"/>
          <w:szCs w:val="24"/>
        </w:rPr>
        <w:t>„</w:t>
      </w:r>
      <w:r w:rsidR="00FB190D" w:rsidRPr="00FB190D">
        <w:rPr>
          <w:rFonts w:ascii="Times New Roman" w:hAnsi="Times New Roman" w:cs="Times New Roman"/>
          <w:i/>
          <w:sz w:val="24"/>
          <w:szCs w:val="24"/>
        </w:rPr>
        <w:t xml:space="preserve">Řízení se zahajuje na návrh. </w:t>
      </w:r>
      <w:r w:rsidR="00FB190D" w:rsidRPr="00FB190D">
        <w:rPr>
          <w:rFonts w:ascii="Times New Roman" w:hAnsi="Times New Roman" w:cs="Times New Roman"/>
          <w:b/>
          <w:i/>
          <w:sz w:val="24"/>
          <w:szCs w:val="24"/>
          <w:u w:val="single"/>
        </w:rPr>
        <w:t>Návrh musí kromě obecných náležitostí (§ 42 odst. 4) obsahovat jméno, příjmení, bydliště účastníků, popřípadě rodná čísla nebo identifikační čísla účastníků (obchodní firmu nebo název a sídlo právnické osoby, identifikační číslo, označení státu a příslušné organizační složky státu, která za stát před soudem vystupuje), popřípadě též jejich zástupců, vylíčení rozhodujících skutečností, označení důkazů, jichž se navrhovatel dovolává, a musí být z něj patrno, čeho se navrhovatel domáhá</w:t>
      </w:r>
      <w:r w:rsidR="00FB190D" w:rsidRPr="00FB190D">
        <w:rPr>
          <w:rFonts w:ascii="Times New Roman" w:hAnsi="Times New Roman" w:cs="Times New Roman"/>
          <w:i/>
          <w:sz w:val="24"/>
          <w:szCs w:val="24"/>
        </w:rPr>
        <w:t>. Ve věcech, v nichž je účastníkem řízení svěřenský správce, musí návrh dále obsahovat i označení, že se jedná o svěřenského správce, a označení svěřenského fondu. Tento návrh, týká-li se dvoustranných právních poměrů mezi žalobcem a žalovaným (§ 90), se nazývá žalobou.</w:t>
      </w:r>
      <w:r w:rsidR="00FB190D">
        <w:rPr>
          <w:rFonts w:ascii="Times New Roman" w:hAnsi="Times New Roman" w:cs="Times New Roman"/>
          <w:i/>
          <w:sz w:val="24"/>
          <w:szCs w:val="24"/>
        </w:rPr>
        <w:t xml:space="preserve">“ </w:t>
      </w:r>
      <w:r w:rsidR="00FB190D">
        <w:rPr>
          <w:rFonts w:ascii="Times New Roman" w:hAnsi="Times New Roman" w:cs="Times New Roman"/>
          <w:sz w:val="24"/>
          <w:szCs w:val="24"/>
        </w:rPr>
        <w:t xml:space="preserve">Ve druhém odstavci téhož ustanovení zákona je poté stanoveno, že: </w:t>
      </w:r>
      <w:r w:rsidR="00FB190D" w:rsidRPr="00FB190D">
        <w:rPr>
          <w:rFonts w:ascii="Times New Roman" w:hAnsi="Times New Roman" w:cs="Times New Roman"/>
          <w:b/>
          <w:i/>
          <w:sz w:val="24"/>
          <w:szCs w:val="24"/>
          <w:u w:val="single"/>
        </w:rPr>
        <w:t>„Žalobce je povinen k návrhu připojit písemné důkazy, jichž se dovolává, a to</w:t>
      </w:r>
      <w:r w:rsidR="00FB190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v listinné nebo v </w:t>
      </w:r>
      <w:r w:rsidR="00FB190D" w:rsidRPr="00FB190D">
        <w:rPr>
          <w:rFonts w:ascii="Times New Roman" w:hAnsi="Times New Roman" w:cs="Times New Roman"/>
          <w:b/>
          <w:i/>
          <w:sz w:val="24"/>
          <w:szCs w:val="24"/>
          <w:u w:val="single"/>
        </w:rPr>
        <w:t>elektronické podobě.“</w:t>
      </w:r>
    </w:p>
    <w:p w:rsidR="00B66B9F" w:rsidRPr="00B66B9F" w:rsidRDefault="001717F7" w:rsidP="008616FE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následujících stránkách</w:t>
      </w:r>
      <w:r w:rsidR="00B66B9F">
        <w:rPr>
          <w:rFonts w:ascii="Times New Roman" w:hAnsi="Times New Roman" w:cs="Times New Roman"/>
          <w:sz w:val="24"/>
          <w:szCs w:val="24"/>
        </w:rPr>
        <w:t xml:space="preserve"> naleznete vzorovou podobu </w:t>
      </w:r>
      <w:r w:rsidR="00AF0929">
        <w:rPr>
          <w:rFonts w:ascii="Times New Roman" w:hAnsi="Times New Roman" w:cs="Times New Roman"/>
          <w:sz w:val="24"/>
          <w:szCs w:val="24"/>
        </w:rPr>
        <w:t>žaloby. Jak již bylo řeč</w:t>
      </w:r>
      <w:r>
        <w:rPr>
          <w:rFonts w:ascii="Times New Roman" w:hAnsi="Times New Roman" w:cs="Times New Roman"/>
          <w:sz w:val="24"/>
          <w:szCs w:val="24"/>
        </w:rPr>
        <w:t>eno, tím</w:t>
      </w:r>
      <w:r w:rsidR="00B66B9F">
        <w:rPr>
          <w:rFonts w:ascii="Times New Roman" w:hAnsi="Times New Roman" w:cs="Times New Roman"/>
          <w:sz w:val="24"/>
          <w:szCs w:val="24"/>
        </w:rPr>
        <w:t xml:space="preserve"> samozřejmě není vyloučeno její koncipování odlišným způsobem za předpokladu, že bude přehledným a srozumitelným způsobem obsahovat všechny zák</w:t>
      </w:r>
      <w:r>
        <w:rPr>
          <w:rFonts w:ascii="Times New Roman" w:hAnsi="Times New Roman" w:cs="Times New Roman"/>
          <w:sz w:val="24"/>
          <w:szCs w:val="24"/>
        </w:rPr>
        <w:t>onem stanovené náležitosti (viz </w:t>
      </w:r>
      <w:r w:rsidR="00B66B9F">
        <w:rPr>
          <w:rFonts w:ascii="Times New Roman" w:hAnsi="Times New Roman" w:cs="Times New Roman"/>
          <w:sz w:val="24"/>
          <w:szCs w:val="24"/>
        </w:rPr>
        <w:t xml:space="preserve">výše). </w:t>
      </w:r>
    </w:p>
    <w:p w:rsidR="00B66B9F" w:rsidRDefault="00B66B9F" w:rsidP="00B66B9F">
      <w:pPr>
        <w:spacing w:after="0" w:line="360" w:lineRule="auto"/>
        <w:ind w:left="566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6B9F" w:rsidRDefault="00B66B9F" w:rsidP="00B66B9F">
      <w:pPr>
        <w:spacing w:after="0" w:line="360" w:lineRule="auto"/>
        <w:ind w:left="566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6B9F" w:rsidRDefault="00B66B9F" w:rsidP="00B66B9F">
      <w:pPr>
        <w:spacing w:after="0" w:line="360" w:lineRule="auto"/>
        <w:ind w:left="566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6B9F" w:rsidRDefault="00B66B9F" w:rsidP="00B66B9F">
      <w:pPr>
        <w:spacing w:after="0" w:line="360" w:lineRule="auto"/>
        <w:ind w:left="566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6B9F" w:rsidRDefault="00B66B9F" w:rsidP="00B66B9F">
      <w:pPr>
        <w:spacing w:after="0" w:line="360" w:lineRule="auto"/>
        <w:ind w:left="566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6B9F" w:rsidRDefault="00B66B9F" w:rsidP="00B66B9F">
      <w:pPr>
        <w:spacing w:after="0" w:line="360" w:lineRule="auto"/>
        <w:ind w:left="566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6B9F" w:rsidRDefault="00B66B9F" w:rsidP="00B66B9F">
      <w:pPr>
        <w:spacing w:after="0" w:line="360" w:lineRule="auto"/>
        <w:ind w:left="566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6B9F" w:rsidRDefault="00B66B9F" w:rsidP="00B66B9F">
      <w:pPr>
        <w:spacing w:after="0" w:line="360" w:lineRule="auto"/>
        <w:ind w:left="566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6B9F" w:rsidRDefault="00B66B9F" w:rsidP="00B66B9F">
      <w:pPr>
        <w:spacing w:after="0" w:line="360" w:lineRule="auto"/>
        <w:ind w:left="566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6B9F" w:rsidRDefault="00B66B9F" w:rsidP="00B66B9F">
      <w:pPr>
        <w:spacing w:after="0" w:line="360" w:lineRule="auto"/>
        <w:ind w:left="566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6B9F" w:rsidRDefault="00B66B9F" w:rsidP="00B66B9F">
      <w:pPr>
        <w:spacing w:after="0" w:line="360" w:lineRule="auto"/>
        <w:ind w:left="566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6B9F" w:rsidRDefault="00B66B9F" w:rsidP="00453B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B9F" w:rsidRDefault="00B66B9F" w:rsidP="00B66B9F">
      <w:pPr>
        <w:spacing w:after="0" w:line="360" w:lineRule="auto"/>
        <w:ind w:left="566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6B9F" w:rsidRPr="00B66B9F" w:rsidRDefault="00B66B9F" w:rsidP="00B66B9F">
      <w:pPr>
        <w:spacing w:after="0" w:line="360" w:lineRule="auto"/>
        <w:ind w:left="566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B9F">
        <w:rPr>
          <w:rFonts w:ascii="Times New Roman" w:hAnsi="Times New Roman" w:cs="Times New Roman"/>
          <w:sz w:val="24"/>
          <w:szCs w:val="24"/>
        </w:rPr>
        <w:lastRenderedPageBreak/>
        <w:t>Městský soud v Brně</w:t>
      </w:r>
    </w:p>
    <w:p w:rsidR="00340F29" w:rsidRDefault="00340F29" w:rsidP="00340F29">
      <w:pPr>
        <w:spacing w:after="0" w:line="360" w:lineRule="auto"/>
        <w:ind w:left="63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Polní 39</w:t>
      </w:r>
    </w:p>
    <w:p w:rsidR="00CC7D06" w:rsidRPr="00B66B9F" w:rsidRDefault="00B66B9F" w:rsidP="00CC7D06">
      <w:pPr>
        <w:spacing w:after="720" w:line="360" w:lineRule="auto"/>
        <w:ind w:left="63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639 00 Brno</w:t>
      </w:r>
    </w:p>
    <w:p w:rsidR="00642F3C" w:rsidRDefault="006E3CD4" w:rsidP="00B66B9F">
      <w:pPr>
        <w:spacing w:after="24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Brně dne XXX</w:t>
      </w:r>
    </w:p>
    <w:p w:rsidR="00B66B9F" w:rsidRDefault="00B66B9F" w:rsidP="00B66B9F">
      <w:pPr>
        <w:spacing w:after="24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6B9F" w:rsidRDefault="00B66B9F" w:rsidP="00B66B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66B9F">
        <w:rPr>
          <w:rFonts w:ascii="Times New Roman" w:hAnsi="Times New Roman" w:cs="Times New Roman"/>
          <w:b/>
          <w:sz w:val="24"/>
          <w:szCs w:val="24"/>
        </w:rPr>
        <w:t>Žalobce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66B9F" w:rsidRDefault="00B66B9F" w:rsidP="00B66B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Titul, jméno, příjmení, nar. XXX</w:t>
      </w:r>
    </w:p>
    <w:p w:rsidR="00B66B9F" w:rsidRDefault="00B66B9F" w:rsidP="00B66B9F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bytem XXX (ulice, číslo popisné, směrovací číslo, obec)</w:t>
      </w:r>
    </w:p>
    <w:p w:rsidR="00E57996" w:rsidRDefault="00453BC9" w:rsidP="00E57996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právně zastoupen</w:t>
      </w:r>
      <w:r w:rsidR="00D50B14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BC9" w:rsidRDefault="00453BC9" w:rsidP="00E579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JUDr. XXX, advokátem, ev. č. ČAK XXX</w:t>
      </w:r>
    </w:p>
    <w:p w:rsidR="00453BC9" w:rsidRDefault="00453BC9" w:rsidP="00B66B9F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sídlem XXX (ulice, číslo popisné, směrovací číslo, obec)</w:t>
      </w:r>
    </w:p>
    <w:p w:rsidR="00B66B9F" w:rsidRDefault="006A4A32" w:rsidP="00B66B9F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A4A32">
        <w:rPr>
          <w:rFonts w:ascii="Times New Roman" w:hAnsi="Times New Roman" w:cs="Times New Roman"/>
          <w:b/>
          <w:sz w:val="24"/>
          <w:szCs w:val="24"/>
        </w:rPr>
        <w:t>Žalovaný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A4A32" w:rsidRDefault="006A4A32" w:rsidP="006A4A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Titul, jméno, příjmení, nar. XXX</w:t>
      </w:r>
    </w:p>
    <w:p w:rsidR="006A4A32" w:rsidRPr="00340F29" w:rsidRDefault="006A4A32" w:rsidP="00340F29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bytem XXX (ulice, číslo popisné, směrovací číslo, obec)</w:t>
      </w:r>
    </w:p>
    <w:p w:rsidR="00CC7D06" w:rsidRDefault="00CC7D06" w:rsidP="00B66B9F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A4A32" w:rsidRDefault="006A4A32" w:rsidP="006A4A3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A4A32">
        <w:rPr>
          <w:rFonts w:ascii="Times New Roman" w:hAnsi="Times New Roman" w:cs="Times New Roman"/>
          <w:b/>
          <w:sz w:val="36"/>
          <w:szCs w:val="36"/>
        </w:rPr>
        <w:t>ŽALOBA</w:t>
      </w:r>
    </w:p>
    <w:p w:rsidR="006A4A32" w:rsidRPr="006A4A32" w:rsidRDefault="006A4A32" w:rsidP="006A4A32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A32">
        <w:rPr>
          <w:rFonts w:ascii="Times New Roman" w:hAnsi="Times New Roman" w:cs="Times New Roman"/>
          <w:b/>
          <w:sz w:val="24"/>
          <w:szCs w:val="24"/>
        </w:rPr>
        <w:t>na</w:t>
      </w:r>
      <w:r w:rsidR="00D9102D">
        <w:rPr>
          <w:rFonts w:ascii="Times New Roman" w:hAnsi="Times New Roman" w:cs="Times New Roman"/>
          <w:b/>
          <w:sz w:val="24"/>
          <w:szCs w:val="24"/>
        </w:rPr>
        <w:t xml:space="preserve"> zaplacení </w:t>
      </w:r>
      <w:r w:rsidR="00F801CC">
        <w:rPr>
          <w:rFonts w:ascii="Times New Roman" w:hAnsi="Times New Roman" w:cs="Times New Roman"/>
          <w:b/>
          <w:sz w:val="24"/>
          <w:szCs w:val="24"/>
        </w:rPr>
        <w:t>XXX</w:t>
      </w:r>
      <w:r w:rsidRPr="006A4A32">
        <w:rPr>
          <w:rFonts w:ascii="Times New Roman" w:hAnsi="Times New Roman" w:cs="Times New Roman"/>
          <w:b/>
          <w:sz w:val="24"/>
          <w:szCs w:val="24"/>
        </w:rPr>
        <w:t xml:space="preserve"> Kč s příslušenstvím</w:t>
      </w:r>
      <w:r w:rsidR="00625013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3"/>
      </w:r>
    </w:p>
    <w:p w:rsidR="00B66B9F" w:rsidRDefault="00B66B9F" w:rsidP="00B66B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B66B9F" w:rsidRDefault="00B66B9F" w:rsidP="00B66B9F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CC7D06" w:rsidRDefault="00CC7D06" w:rsidP="00B66B9F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340F29" w:rsidRDefault="00340F29" w:rsidP="00B66B9F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6A4A32" w:rsidRPr="006A4A32" w:rsidRDefault="006A4A32" w:rsidP="006A4A32">
      <w:pPr>
        <w:tabs>
          <w:tab w:val="left" w:pos="630"/>
        </w:tabs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A4A32">
        <w:rPr>
          <w:rFonts w:ascii="Times New Roman" w:hAnsi="Times New Roman" w:cs="Times New Roman"/>
          <w:b/>
          <w:i/>
          <w:sz w:val="24"/>
          <w:szCs w:val="24"/>
        </w:rPr>
        <w:t>D v o j m o</w:t>
      </w:r>
    </w:p>
    <w:p w:rsidR="00340F29" w:rsidRPr="003359C6" w:rsidRDefault="006A4A32" w:rsidP="003359C6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A32">
        <w:rPr>
          <w:rFonts w:ascii="Times New Roman" w:hAnsi="Times New Roman" w:cs="Times New Roman"/>
          <w:sz w:val="24"/>
          <w:szCs w:val="24"/>
          <w:u w:val="single"/>
        </w:rPr>
        <w:t>Přílohy</w:t>
      </w:r>
      <w:r w:rsidRPr="006A4A32">
        <w:rPr>
          <w:rFonts w:ascii="Times New Roman" w:hAnsi="Times New Roman" w:cs="Times New Roman"/>
          <w:sz w:val="24"/>
          <w:szCs w:val="24"/>
        </w:rPr>
        <w:t>: plná moc + důkazy dle textu</w:t>
      </w:r>
    </w:p>
    <w:p w:rsidR="003359C6" w:rsidRPr="00CF00EB" w:rsidRDefault="00212B4A" w:rsidP="00CF00EB">
      <w:pPr>
        <w:tabs>
          <w:tab w:val="left" w:pos="630"/>
        </w:tabs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B4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I. </w:t>
      </w:r>
    </w:p>
    <w:p w:rsidR="00D32067" w:rsidRPr="00F9169D" w:rsidRDefault="00D32067" w:rsidP="00F9169D">
      <w:pPr>
        <w:pStyle w:val="Odstavecseseznamem"/>
        <w:numPr>
          <w:ilvl w:val="0"/>
          <w:numId w:val="5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69D">
        <w:rPr>
          <w:rFonts w:ascii="Times New Roman" w:hAnsi="Times New Roman" w:cs="Times New Roman"/>
          <w:sz w:val="24"/>
          <w:szCs w:val="24"/>
        </w:rPr>
        <w:t>V této části je vhodné stručně vymezit rozhodné (skutkové) okolnosti případu. Opravdu se zaměřte pouze na to, co je ve vztahu k Vámi uplatňovanému nároku vůči žalovanému relevantní. V tomto případě obecně neplatí, že čím je žaloba delší, tím je kvalitnější, popř. má vyšší šanci na úspěch.</w:t>
      </w:r>
      <w:r w:rsidR="00CF00EB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  <w:r w:rsidRPr="00F9169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32067" w:rsidRPr="00745A0D" w:rsidRDefault="00D32067" w:rsidP="00F9169D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169D">
        <w:rPr>
          <w:rFonts w:ascii="Times New Roman" w:hAnsi="Times New Roman" w:cs="Times New Roman"/>
          <w:i/>
          <w:sz w:val="24"/>
          <w:szCs w:val="24"/>
          <w:u w:val="single"/>
        </w:rPr>
        <w:t>Důkaz</w:t>
      </w:r>
      <w:r w:rsidR="00CF00EB" w:rsidRPr="00F9169D">
        <w:rPr>
          <w:rFonts w:ascii="Times New Roman" w:hAnsi="Times New Roman" w:cs="Times New Roman"/>
          <w:i/>
          <w:sz w:val="24"/>
          <w:szCs w:val="24"/>
          <w:u w:val="single"/>
        </w:rPr>
        <w:t>y</w:t>
      </w:r>
      <w:r w:rsidRPr="00F9169D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CF00EB" w:rsidRPr="00CF00EB">
        <w:rPr>
          <w:rStyle w:val="Znakapoznpodarou"/>
          <w:rFonts w:ascii="Times New Roman" w:hAnsi="Times New Roman" w:cs="Times New Roman"/>
          <w:i/>
          <w:sz w:val="24"/>
          <w:szCs w:val="24"/>
        </w:rPr>
        <w:footnoteReference w:id="5"/>
      </w:r>
      <w:r w:rsidRPr="00745A0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32067" w:rsidRPr="00F9169D" w:rsidRDefault="00CF00EB" w:rsidP="00F9169D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169D">
        <w:rPr>
          <w:rFonts w:ascii="Times New Roman" w:hAnsi="Times New Roman" w:cs="Times New Roman"/>
          <w:i/>
          <w:sz w:val="24"/>
          <w:szCs w:val="24"/>
        </w:rPr>
        <w:t>Objednávka ze dne XXX</w:t>
      </w:r>
    </w:p>
    <w:p w:rsidR="00CF00EB" w:rsidRPr="00F9169D" w:rsidRDefault="00CF00EB" w:rsidP="00F9169D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169D">
        <w:rPr>
          <w:rFonts w:ascii="Times New Roman" w:hAnsi="Times New Roman" w:cs="Times New Roman"/>
          <w:i/>
          <w:sz w:val="24"/>
          <w:szCs w:val="24"/>
        </w:rPr>
        <w:t>Potvrzení o převzetí zboží ze dne XXX</w:t>
      </w:r>
    </w:p>
    <w:p w:rsidR="006C5F40" w:rsidRPr="00F9169D" w:rsidRDefault="00CF00EB" w:rsidP="00F9169D">
      <w:pPr>
        <w:pStyle w:val="Odstavecseseznamem"/>
        <w:numPr>
          <w:ilvl w:val="0"/>
          <w:numId w:val="6"/>
        </w:numPr>
        <w:spacing w:after="24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169D">
        <w:rPr>
          <w:rFonts w:ascii="Times New Roman" w:hAnsi="Times New Roman" w:cs="Times New Roman"/>
          <w:i/>
          <w:sz w:val="24"/>
          <w:szCs w:val="24"/>
        </w:rPr>
        <w:t>Předžalobní výzva k zaplacení dlužné částky ze dne XXX (včetně doručenky)</w:t>
      </w:r>
    </w:p>
    <w:p w:rsidR="00CF00EB" w:rsidRPr="00DA2ADB" w:rsidRDefault="006C5F40" w:rsidP="00DA2ADB">
      <w:pPr>
        <w:tabs>
          <w:tab w:val="left" w:pos="630"/>
        </w:tabs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B4A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D0605" w:rsidRPr="00F95BB4" w:rsidRDefault="00C42F99" w:rsidP="00F95BB4">
      <w:pPr>
        <w:pStyle w:val="Odstavecseseznamem"/>
        <w:numPr>
          <w:ilvl w:val="0"/>
          <w:numId w:val="5"/>
        </w:numPr>
        <w:tabs>
          <w:tab w:val="left" w:pos="630"/>
        </w:tabs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BB4">
        <w:rPr>
          <w:rFonts w:ascii="Times New Roman" w:hAnsi="Times New Roman" w:cs="Times New Roman"/>
          <w:sz w:val="24"/>
          <w:szCs w:val="24"/>
        </w:rPr>
        <w:t>Následně</w:t>
      </w:r>
      <w:r w:rsidR="00DA2ADB" w:rsidRPr="00F95BB4">
        <w:rPr>
          <w:rFonts w:ascii="Times New Roman" w:hAnsi="Times New Roman" w:cs="Times New Roman"/>
          <w:sz w:val="24"/>
          <w:szCs w:val="24"/>
        </w:rPr>
        <w:t xml:space="preserve"> je žádoucí uvést právní kvalifikaci případu. </w:t>
      </w:r>
      <w:r w:rsidR="00EA217D" w:rsidRPr="00F95BB4">
        <w:rPr>
          <w:rFonts w:ascii="Times New Roman" w:hAnsi="Times New Roman" w:cs="Times New Roman"/>
          <w:sz w:val="24"/>
          <w:szCs w:val="24"/>
        </w:rPr>
        <w:t>Prakticky se tedy j</w:t>
      </w:r>
      <w:r w:rsidR="00DA2ADB" w:rsidRPr="00F95BB4">
        <w:rPr>
          <w:rFonts w:ascii="Times New Roman" w:hAnsi="Times New Roman" w:cs="Times New Roman"/>
          <w:sz w:val="24"/>
          <w:szCs w:val="24"/>
        </w:rPr>
        <w:t>ed</w:t>
      </w:r>
      <w:r w:rsidR="00EA217D" w:rsidRPr="00F95BB4">
        <w:rPr>
          <w:rFonts w:ascii="Times New Roman" w:hAnsi="Times New Roman" w:cs="Times New Roman"/>
          <w:sz w:val="24"/>
          <w:szCs w:val="24"/>
        </w:rPr>
        <w:t>ná</w:t>
      </w:r>
      <w:r w:rsidR="00DA2ADB" w:rsidRPr="00F95BB4">
        <w:rPr>
          <w:rFonts w:ascii="Times New Roman" w:hAnsi="Times New Roman" w:cs="Times New Roman"/>
          <w:sz w:val="24"/>
          <w:szCs w:val="24"/>
        </w:rPr>
        <w:t xml:space="preserve"> o </w:t>
      </w:r>
      <w:r w:rsidR="00EA217D" w:rsidRPr="00F95BB4">
        <w:rPr>
          <w:rFonts w:ascii="Times New Roman" w:hAnsi="Times New Roman" w:cs="Times New Roman"/>
          <w:sz w:val="24"/>
          <w:szCs w:val="24"/>
        </w:rPr>
        <w:t xml:space="preserve">předestření </w:t>
      </w:r>
      <w:r w:rsidR="00DA2ADB" w:rsidRPr="00F95BB4">
        <w:rPr>
          <w:rFonts w:ascii="Times New Roman" w:hAnsi="Times New Roman" w:cs="Times New Roman"/>
          <w:sz w:val="24"/>
          <w:szCs w:val="24"/>
        </w:rPr>
        <w:t>právní</w:t>
      </w:r>
      <w:r w:rsidR="00EA217D" w:rsidRPr="00F95BB4">
        <w:rPr>
          <w:rFonts w:ascii="Times New Roman" w:hAnsi="Times New Roman" w:cs="Times New Roman"/>
          <w:sz w:val="24"/>
          <w:szCs w:val="24"/>
        </w:rPr>
        <w:t xml:space="preserve"> argumentace</w:t>
      </w:r>
      <w:r w:rsidR="00867E49" w:rsidRPr="00F95BB4">
        <w:rPr>
          <w:rFonts w:ascii="Times New Roman" w:hAnsi="Times New Roman" w:cs="Times New Roman"/>
          <w:sz w:val="24"/>
          <w:szCs w:val="24"/>
        </w:rPr>
        <w:t xml:space="preserve">, na základě které lze dospět k závěru o oprávněnosti Vámi uplatňovaného nároku. </w:t>
      </w:r>
      <w:r w:rsidR="00EA217D" w:rsidRPr="00F95BB4">
        <w:rPr>
          <w:rFonts w:ascii="Times New Roman" w:hAnsi="Times New Roman" w:cs="Times New Roman"/>
          <w:sz w:val="24"/>
          <w:szCs w:val="24"/>
        </w:rPr>
        <w:t xml:space="preserve">Součástí takového postupu typicky bude </w:t>
      </w:r>
      <w:r w:rsidR="00180692">
        <w:rPr>
          <w:rFonts w:ascii="Times New Roman" w:hAnsi="Times New Roman" w:cs="Times New Roman"/>
          <w:sz w:val="24"/>
          <w:szCs w:val="24"/>
        </w:rPr>
        <w:t>vymezení</w:t>
      </w:r>
      <w:r w:rsidR="00EA217D" w:rsidRPr="00F95BB4">
        <w:rPr>
          <w:rFonts w:ascii="Times New Roman" w:hAnsi="Times New Roman" w:cs="Times New Roman"/>
          <w:sz w:val="24"/>
          <w:szCs w:val="24"/>
        </w:rPr>
        <w:t xml:space="preserve"> dotčené právní úpravy, včetně </w:t>
      </w:r>
      <w:r w:rsidR="00867E49" w:rsidRPr="00F95BB4">
        <w:rPr>
          <w:rFonts w:ascii="Times New Roman" w:hAnsi="Times New Roman" w:cs="Times New Roman"/>
          <w:sz w:val="24"/>
          <w:szCs w:val="24"/>
        </w:rPr>
        <w:t xml:space="preserve"> její </w:t>
      </w:r>
      <w:r w:rsidR="00EA217D" w:rsidRPr="00F95BB4">
        <w:rPr>
          <w:rFonts w:ascii="Times New Roman" w:hAnsi="Times New Roman" w:cs="Times New Roman"/>
          <w:sz w:val="24"/>
          <w:szCs w:val="24"/>
        </w:rPr>
        <w:t xml:space="preserve">interpretace a </w:t>
      </w:r>
      <w:r w:rsidR="00867E49" w:rsidRPr="00F95BB4">
        <w:rPr>
          <w:rFonts w:ascii="Times New Roman" w:hAnsi="Times New Roman" w:cs="Times New Roman"/>
          <w:sz w:val="24"/>
          <w:szCs w:val="24"/>
        </w:rPr>
        <w:t xml:space="preserve">aplikace na podmínky řešeného případu. </w:t>
      </w:r>
      <w:r w:rsidR="00EA217D" w:rsidRPr="00F95BB4">
        <w:rPr>
          <w:rFonts w:ascii="Times New Roman" w:hAnsi="Times New Roman" w:cs="Times New Roman"/>
          <w:sz w:val="24"/>
          <w:szCs w:val="24"/>
        </w:rPr>
        <w:t>V tomto ohledu lze samozřejmě odkazovat na doktrinální publikace či judikaturu, pakliže je to žádoucí.</w:t>
      </w:r>
      <w:r w:rsidR="00867E49"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</w:p>
    <w:p w:rsidR="001D0605" w:rsidRDefault="001D0605" w:rsidP="00745A0D">
      <w:pPr>
        <w:tabs>
          <w:tab w:val="left" w:pos="6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745A0D">
        <w:rPr>
          <w:rFonts w:ascii="Times New Roman" w:hAnsi="Times New Roman" w:cs="Times New Roman"/>
          <w:b/>
          <w:sz w:val="24"/>
          <w:szCs w:val="24"/>
        </w:rPr>
        <w:t>II.</w:t>
      </w:r>
    </w:p>
    <w:p w:rsidR="00745A0D" w:rsidRDefault="00745A0D" w:rsidP="00745A0D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09C0" w:rsidRPr="00F95BB4" w:rsidRDefault="00C42F99" w:rsidP="00F95BB4">
      <w:pPr>
        <w:pStyle w:val="Odstavecseseznamem"/>
        <w:numPr>
          <w:ilvl w:val="0"/>
          <w:numId w:val="5"/>
        </w:numPr>
        <w:tabs>
          <w:tab w:val="left" w:pos="630"/>
        </w:tabs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BB4">
        <w:rPr>
          <w:rFonts w:ascii="Times New Roman" w:hAnsi="Times New Roman" w:cs="Times New Roman"/>
          <w:sz w:val="24"/>
          <w:szCs w:val="24"/>
        </w:rPr>
        <w:t>Pokud to považujete z hlediska přehlednosti za vhodné, lze na konec žaloby umístit stručnou rekapitulaci skutkové a právní roviny případu.</w:t>
      </w:r>
    </w:p>
    <w:p w:rsidR="001D0605" w:rsidRDefault="003009C0" w:rsidP="00BE6704">
      <w:pPr>
        <w:tabs>
          <w:tab w:val="left" w:pos="630"/>
        </w:tabs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9C0">
        <w:rPr>
          <w:rFonts w:ascii="Times New Roman" w:hAnsi="Times New Roman" w:cs="Times New Roman"/>
          <w:b/>
          <w:sz w:val="24"/>
          <w:szCs w:val="24"/>
        </w:rPr>
        <w:t>IV.</w:t>
      </w:r>
    </w:p>
    <w:p w:rsidR="001D0605" w:rsidRPr="00F95BB4" w:rsidRDefault="001D0605" w:rsidP="00F95BB4">
      <w:pPr>
        <w:pStyle w:val="Odstavecseseznamem"/>
        <w:numPr>
          <w:ilvl w:val="0"/>
          <w:numId w:val="5"/>
        </w:num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 w:rsidRPr="00F95BB4">
        <w:rPr>
          <w:rFonts w:ascii="Times New Roman" w:hAnsi="Times New Roman" w:cs="Times New Roman"/>
          <w:sz w:val="24"/>
          <w:szCs w:val="24"/>
        </w:rPr>
        <w:t>S ohledem na výše uvedené žalobce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7"/>
      </w:r>
      <w:r w:rsidRPr="00F95BB4">
        <w:rPr>
          <w:rFonts w:ascii="Times New Roman" w:hAnsi="Times New Roman" w:cs="Times New Roman"/>
          <w:sz w:val="24"/>
          <w:szCs w:val="24"/>
        </w:rPr>
        <w:t xml:space="preserve"> navrhuje, aby </w:t>
      </w:r>
      <w:r w:rsidR="002657D7" w:rsidRPr="00F95BB4">
        <w:rPr>
          <w:rFonts w:ascii="Times New Roman" w:hAnsi="Times New Roman" w:cs="Times New Roman"/>
          <w:sz w:val="24"/>
          <w:szCs w:val="24"/>
        </w:rPr>
        <w:t xml:space="preserve">soud </w:t>
      </w:r>
      <w:r w:rsidRPr="00F95BB4">
        <w:rPr>
          <w:rFonts w:ascii="Times New Roman" w:hAnsi="Times New Roman" w:cs="Times New Roman"/>
          <w:sz w:val="24"/>
          <w:szCs w:val="24"/>
        </w:rPr>
        <w:t>vydal tento</w:t>
      </w:r>
    </w:p>
    <w:p w:rsidR="00BE6704" w:rsidRPr="003E0F0C" w:rsidRDefault="00BE6704" w:rsidP="003E0F0C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</w:p>
    <w:p w:rsidR="003E0F0C" w:rsidRPr="003E0F0C" w:rsidRDefault="001D0605" w:rsidP="003E0F0C">
      <w:pPr>
        <w:pStyle w:val="Odstavecseseznamem"/>
        <w:spacing w:after="360"/>
        <w:ind w:left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0A0">
        <w:rPr>
          <w:rFonts w:ascii="Times New Roman" w:hAnsi="Times New Roman" w:cs="Times New Roman"/>
          <w:b/>
          <w:sz w:val="24"/>
          <w:szCs w:val="24"/>
        </w:rPr>
        <w:lastRenderedPageBreak/>
        <w:t>R O Z S U D E K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E0F0C" w:rsidRPr="00F95BB4" w:rsidRDefault="003E0F0C" w:rsidP="00FA0A1B">
      <w:pPr>
        <w:pStyle w:val="Odstavecseseznamem"/>
        <w:numPr>
          <w:ilvl w:val="0"/>
          <w:numId w:val="1"/>
        </w:numPr>
        <w:spacing w:after="240" w:line="36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BB4">
        <w:rPr>
          <w:rFonts w:ascii="Times New Roman" w:hAnsi="Times New Roman" w:cs="Times New Roman"/>
          <w:b/>
          <w:sz w:val="24"/>
          <w:szCs w:val="24"/>
        </w:rPr>
        <w:t xml:space="preserve">Žalovaný je </w:t>
      </w:r>
      <w:r w:rsidR="00F801CC" w:rsidRPr="00F95BB4">
        <w:rPr>
          <w:rFonts w:ascii="Times New Roman" w:hAnsi="Times New Roman" w:cs="Times New Roman"/>
          <w:b/>
          <w:sz w:val="24"/>
          <w:szCs w:val="24"/>
        </w:rPr>
        <w:t>povinen zaplatit žalobci XXX</w:t>
      </w:r>
      <w:r w:rsidRPr="00F95BB4">
        <w:rPr>
          <w:rFonts w:ascii="Times New Roman" w:hAnsi="Times New Roman" w:cs="Times New Roman"/>
          <w:b/>
          <w:sz w:val="24"/>
          <w:szCs w:val="24"/>
        </w:rPr>
        <w:t xml:space="preserve"> Kč s</w:t>
      </w:r>
      <w:r w:rsidR="00FA0A1B" w:rsidRPr="00F95BB4">
        <w:rPr>
          <w:b/>
        </w:rPr>
        <w:t xml:space="preserve"> </w:t>
      </w:r>
      <w:r w:rsidR="00FA0A1B" w:rsidRPr="00F95BB4">
        <w:rPr>
          <w:rFonts w:ascii="Times New Roman" w:hAnsi="Times New Roman" w:cs="Times New Roman"/>
          <w:b/>
          <w:sz w:val="24"/>
          <w:szCs w:val="24"/>
        </w:rPr>
        <w:t>úrokem z prodlení ve výši 8, 05 % ročně od XXX do zaplacení</w:t>
      </w:r>
      <w:r w:rsidRPr="00F95BB4">
        <w:rPr>
          <w:rFonts w:ascii="Times New Roman" w:hAnsi="Times New Roman" w:cs="Times New Roman"/>
          <w:b/>
          <w:sz w:val="24"/>
          <w:szCs w:val="24"/>
        </w:rPr>
        <w:t>, a to do tří dnů od právní moci rozsudku.</w:t>
      </w:r>
      <w:r w:rsidR="00596AB3" w:rsidRPr="00F95BB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8"/>
      </w:r>
      <w:r w:rsidRPr="00F95B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0F0C" w:rsidRPr="003E0F0C" w:rsidRDefault="003E0F0C" w:rsidP="000314D2">
      <w:pPr>
        <w:pStyle w:val="Odstavecseseznamem"/>
        <w:numPr>
          <w:ilvl w:val="0"/>
          <w:numId w:val="1"/>
        </w:numPr>
        <w:spacing w:after="3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95BB4">
        <w:rPr>
          <w:rFonts w:ascii="Times New Roman" w:hAnsi="Times New Roman" w:cs="Times New Roman"/>
          <w:b/>
          <w:sz w:val="24"/>
          <w:szCs w:val="24"/>
        </w:rPr>
        <w:t xml:space="preserve">Žalovaný je povinen </w:t>
      </w:r>
      <w:r w:rsidR="00C85C79">
        <w:rPr>
          <w:rFonts w:ascii="Times New Roman" w:hAnsi="Times New Roman" w:cs="Times New Roman"/>
          <w:b/>
          <w:sz w:val="24"/>
          <w:szCs w:val="24"/>
        </w:rPr>
        <w:t>nahradit</w:t>
      </w:r>
      <w:r w:rsidRPr="00F95BB4">
        <w:rPr>
          <w:rFonts w:ascii="Times New Roman" w:hAnsi="Times New Roman" w:cs="Times New Roman"/>
          <w:b/>
          <w:sz w:val="24"/>
          <w:szCs w:val="24"/>
        </w:rPr>
        <w:t xml:space="preserve"> žalobci</w:t>
      </w:r>
      <w:r w:rsidR="00C85C79">
        <w:rPr>
          <w:rFonts w:ascii="Times New Roman" w:hAnsi="Times New Roman" w:cs="Times New Roman"/>
          <w:b/>
          <w:sz w:val="24"/>
          <w:szCs w:val="24"/>
        </w:rPr>
        <w:t xml:space="preserve"> náklady</w:t>
      </w:r>
      <w:r w:rsidR="000314D2" w:rsidRPr="00F95BB4">
        <w:rPr>
          <w:rFonts w:ascii="Times New Roman" w:hAnsi="Times New Roman" w:cs="Times New Roman"/>
          <w:b/>
          <w:sz w:val="24"/>
          <w:szCs w:val="24"/>
        </w:rPr>
        <w:t xml:space="preserve"> so</w:t>
      </w:r>
      <w:r w:rsidR="00C85C79">
        <w:rPr>
          <w:rFonts w:ascii="Times New Roman" w:hAnsi="Times New Roman" w:cs="Times New Roman"/>
          <w:b/>
          <w:sz w:val="24"/>
          <w:szCs w:val="24"/>
        </w:rPr>
        <w:t>udního řízení</w:t>
      </w:r>
      <w:r w:rsidR="000314D2" w:rsidRPr="00F95BB4">
        <w:rPr>
          <w:rFonts w:ascii="Times New Roman" w:hAnsi="Times New Roman" w:cs="Times New Roman"/>
          <w:b/>
          <w:sz w:val="24"/>
          <w:szCs w:val="24"/>
        </w:rPr>
        <w:t>, a to tří dnů od právní moci rozsudku k rukám právního zástupce žalobce</w:t>
      </w:r>
      <w:r w:rsidR="00C85C79">
        <w:rPr>
          <w:rFonts w:ascii="Times New Roman" w:hAnsi="Times New Roman" w:cs="Times New Roman"/>
          <w:b/>
          <w:sz w:val="24"/>
          <w:szCs w:val="24"/>
        </w:rPr>
        <w:t>.</w:t>
      </w:r>
      <w:r w:rsidR="000314D2" w:rsidRPr="00F95BB4">
        <w:rPr>
          <w:rStyle w:val="Znakapoznpodarou"/>
          <w:rFonts w:ascii="Times New Roman" w:hAnsi="Times New Roman" w:cs="Times New Roman"/>
          <w:b/>
          <w:sz w:val="24"/>
          <w:szCs w:val="24"/>
        </w:rPr>
        <w:t xml:space="preserve"> </w:t>
      </w:r>
      <w:r w:rsidR="00596AB3">
        <w:rPr>
          <w:rStyle w:val="Znakapoznpodarou"/>
          <w:rFonts w:ascii="Times New Roman" w:hAnsi="Times New Roman" w:cs="Times New Roman"/>
          <w:sz w:val="24"/>
          <w:szCs w:val="24"/>
        </w:rPr>
        <w:footnoteReference w:id="9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605" w:rsidRDefault="001D0605" w:rsidP="001D0605">
      <w:pPr>
        <w:tabs>
          <w:tab w:val="left" w:pos="6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F40" w:rsidRDefault="006C5F40" w:rsidP="006C5F40">
      <w:pPr>
        <w:tabs>
          <w:tab w:val="left" w:pos="6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F40" w:rsidRDefault="006C5F40" w:rsidP="00066C35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6C35" w:rsidRDefault="00066C35" w:rsidP="00066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C35">
        <w:rPr>
          <w:rFonts w:ascii="Times New Roman" w:hAnsi="Times New Roman" w:cs="Times New Roman"/>
          <w:sz w:val="24"/>
          <w:szCs w:val="24"/>
        </w:rPr>
        <w:t>Titul, jméno a příjmení žalobce</w:t>
      </w:r>
    </w:p>
    <w:p w:rsidR="00066C35" w:rsidRDefault="00066C35" w:rsidP="00066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C35" w:rsidRPr="00066C35" w:rsidRDefault="00066C35" w:rsidP="00066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C35" w:rsidRPr="00066C35" w:rsidRDefault="00066C35" w:rsidP="00066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C35" w:rsidRPr="00066C35" w:rsidRDefault="00066C35" w:rsidP="00066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C35">
        <w:rPr>
          <w:rFonts w:ascii="Times New Roman" w:hAnsi="Times New Roman" w:cs="Times New Roman"/>
          <w:sz w:val="24"/>
          <w:szCs w:val="24"/>
        </w:rPr>
        <w:t>JUDr.</w:t>
      </w:r>
      <w:r>
        <w:rPr>
          <w:rFonts w:ascii="Times New Roman" w:hAnsi="Times New Roman" w:cs="Times New Roman"/>
          <w:sz w:val="24"/>
          <w:szCs w:val="24"/>
        </w:rPr>
        <w:t xml:space="preserve"> XXX, advokát, ev. č. ČAK</w:t>
      </w:r>
    </w:p>
    <w:p w:rsidR="00066C35" w:rsidRPr="00066C35" w:rsidRDefault="00066C35" w:rsidP="00066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C35">
        <w:rPr>
          <w:rFonts w:ascii="Times New Roman" w:hAnsi="Times New Roman" w:cs="Times New Roman"/>
          <w:sz w:val="24"/>
          <w:szCs w:val="24"/>
        </w:rPr>
        <w:t>na základě plné moci</w:t>
      </w:r>
    </w:p>
    <w:p w:rsidR="00F95BB4" w:rsidRDefault="00F95BB4" w:rsidP="008616FE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8C8" w:rsidRPr="002078C8" w:rsidRDefault="00D35CBE" w:rsidP="00D35CBE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66C35">
        <w:rPr>
          <w:rFonts w:ascii="Times New Roman" w:hAnsi="Times New Roman" w:cs="Times New Roman"/>
          <w:sz w:val="24"/>
          <w:szCs w:val="24"/>
        </w:rPr>
        <w:t>„podpis“</w:t>
      </w:r>
      <w:r w:rsidR="0063065A">
        <w:rPr>
          <w:rStyle w:val="Znakapoznpodarou"/>
          <w:rFonts w:ascii="Times New Roman" w:hAnsi="Times New Roman" w:cs="Times New Roman"/>
          <w:sz w:val="24"/>
          <w:szCs w:val="24"/>
        </w:rPr>
        <w:footnoteReference w:id="10"/>
      </w:r>
    </w:p>
    <w:p w:rsidR="008616FE" w:rsidRPr="002D1A25" w:rsidRDefault="00F95BB4" w:rsidP="002D1A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sectPr w:rsidR="008616FE" w:rsidRPr="002D1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91D" w:rsidRDefault="0045191D" w:rsidP="008616FE">
      <w:pPr>
        <w:spacing w:after="0" w:line="240" w:lineRule="auto"/>
      </w:pPr>
      <w:r>
        <w:separator/>
      </w:r>
    </w:p>
  </w:endnote>
  <w:endnote w:type="continuationSeparator" w:id="0">
    <w:p w:rsidR="0045191D" w:rsidRDefault="0045191D" w:rsidP="00861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91D" w:rsidRDefault="0045191D" w:rsidP="008616FE">
      <w:pPr>
        <w:spacing w:after="0" w:line="240" w:lineRule="auto"/>
      </w:pPr>
      <w:r>
        <w:separator/>
      </w:r>
    </w:p>
  </w:footnote>
  <w:footnote w:type="continuationSeparator" w:id="0">
    <w:p w:rsidR="0045191D" w:rsidRDefault="0045191D" w:rsidP="008616FE">
      <w:pPr>
        <w:spacing w:after="0" w:line="240" w:lineRule="auto"/>
      </w:pPr>
      <w:r>
        <w:continuationSeparator/>
      </w:r>
    </w:p>
  </w:footnote>
  <w:footnote w:id="1">
    <w:p w:rsidR="008616FE" w:rsidRPr="008616FE" w:rsidRDefault="008616FE" w:rsidP="008616FE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8616FE">
        <w:rPr>
          <w:rFonts w:ascii="Times New Roman" w:hAnsi="Times New Roman" w:cs="Times New Roman"/>
        </w:rPr>
        <w:t xml:space="preserve">Jinak tomu bude u soudních rozhodnutí, které jsou z hlediska </w:t>
      </w:r>
      <w:r w:rsidR="0043273B">
        <w:rPr>
          <w:rFonts w:ascii="Times New Roman" w:hAnsi="Times New Roman" w:cs="Times New Roman"/>
        </w:rPr>
        <w:t>formální úpravy textu regulována</w:t>
      </w:r>
      <w:r w:rsidRPr="008616FE">
        <w:rPr>
          <w:rFonts w:ascii="Times New Roman" w:hAnsi="Times New Roman" w:cs="Times New Roman"/>
        </w:rPr>
        <w:t xml:space="preserve"> prostřednictvím příslušné instrukce </w:t>
      </w:r>
      <w:r w:rsidR="0043273B" w:rsidRPr="008616FE">
        <w:rPr>
          <w:rFonts w:ascii="Times New Roman" w:hAnsi="Times New Roman" w:cs="Times New Roman"/>
        </w:rPr>
        <w:t>Ministerstv</w:t>
      </w:r>
      <w:r w:rsidR="0043273B">
        <w:rPr>
          <w:rFonts w:ascii="Times New Roman" w:hAnsi="Times New Roman" w:cs="Times New Roman"/>
        </w:rPr>
        <w:t xml:space="preserve">a </w:t>
      </w:r>
      <w:r w:rsidR="0043273B" w:rsidRPr="008616FE">
        <w:rPr>
          <w:rFonts w:ascii="Times New Roman" w:hAnsi="Times New Roman" w:cs="Times New Roman"/>
        </w:rPr>
        <w:t xml:space="preserve">spravedlnosti </w:t>
      </w:r>
      <w:r>
        <w:rPr>
          <w:rFonts w:ascii="Times New Roman" w:hAnsi="Times New Roman" w:cs="Times New Roman"/>
        </w:rPr>
        <w:t xml:space="preserve">č. 4/2017 </w:t>
      </w:r>
      <w:r w:rsidRPr="008616FE">
        <w:rPr>
          <w:rFonts w:ascii="Times New Roman" w:hAnsi="Times New Roman" w:cs="Times New Roman"/>
        </w:rPr>
        <w:t>ze dne 23. 10. 2017, č. j. 12/2017-OJD-ORG/36,</w:t>
      </w:r>
      <w:r w:rsidR="002078C8">
        <w:rPr>
          <w:rFonts w:ascii="Times New Roman" w:hAnsi="Times New Roman" w:cs="Times New Roman"/>
        </w:rPr>
        <w:t xml:space="preserve"> o </w:t>
      </w:r>
      <w:r>
        <w:rPr>
          <w:rFonts w:ascii="Times New Roman" w:hAnsi="Times New Roman" w:cs="Times New Roman"/>
        </w:rPr>
        <w:t>soudních písemnostech.</w:t>
      </w:r>
    </w:p>
  </w:footnote>
  <w:footnote w:id="2">
    <w:p w:rsidR="00D50B14" w:rsidRDefault="00D50B1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50B14">
        <w:rPr>
          <w:rFonts w:ascii="Times New Roman" w:hAnsi="Times New Roman" w:cs="Times New Roman"/>
        </w:rPr>
        <w:t xml:space="preserve">Pokud je žalobce </w:t>
      </w:r>
      <w:r w:rsidR="00C8571C">
        <w:rPr>
          <w:rFonts w:ascii="Times New Roman" w:hAnsi="Times New Roman" w:cs="Times New Roman"/>
        </w:rPr>
        <w:t xml:space="preserve">právně zastoupen, což </w:t>
      </w:r>
      <w:r w:rsidR="00AF0929">
        <w:rPr>
          <w:rFonts w:ascii="Times New Roman" w:hAnsi="Times New Roman" w:cs="Times New Roman"/>
        </w:rPr>
        <w:t>být</w:t>
      </w:r>
      <w:r w:rsidRPr="00D50B14">
        <w:rPr>
          <w:rFonts w:ascii="Times New Roman" w:hAnsi="Times New Roman" w:cs="Times New Roman"/>
        </w:rPr>
        <w:t xml:space="preserve"> </w:t>
      </w:r>
      <w:r w:rsidR="00C8571C">
        <w:rPr>
          <w:rFonts w:ascii="Times New Roman" w:hAnsi="Times New Roman" w:cs="Times New Roman"/>
        </w:rPr>
        <w:t xml:space="preserve">zásadně </w:t>
      </w:r>
      <w:r w:rsidRPr="00D50B14">
        <w:rPr>
          <w:rFonts w:ascii="Times New Roman" w:hAnsi="Times New Roman" w:cs="Times New Roman"/>
        </w:rPr>
        <w:t>nemusí.</w:t>
      </w:r>
      <w:r w:rsidR="000610AA">
        <w:rPr>
          <w:rFonts w:ascii="Times New Roman" w:hAnsi="Times New Roman" w:cs="Times New Roman"/>
        </w:rPr>
        <w:t xml:space="preserve"> </w:t>
      </w:r>
    </w:p>
  </w:footnote>
  <w:footnote w:id="3">
    <w:p w:rsidR="00625013" w:rsidRDefault="00625013" w:rsidP="00625013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Zde bude samozřejmě záležet na tom</w:t>
      </w:r>
      <w:r w:rsidRPr="00625013">
        <w:rPr>
          <w:rFonts w:ascii="Times New Roman" w:hAnsi="Times New Roman" w:cs="Times New Roman"/>
        </w:rPr>
        <w:t xml:space="preserve">, jaký nárok </w:t>
      </w:r>
      <w:r w:rsidR="005C7422">
        <w:rPr>
          <w:rFonts w:ascii="Times New Roman" w:hAnsi="Times New Roman" w:cs="Times New Roman"/>
        </w:rPr>
        <w:t xml:space="preserve">je </w:t>
      </w:r>
      <w:r w:rsidRPr="00625013">
        <w:rPr>
          <w:rFonts w:ascii="Times New Roman" w:hAnsi="Times New Roman" w:cs="Times New Roman"/>
        </w:rPr>
        <w:t>vůč</w:t>
      </w:r>
      <w:r w:rsidR="00550218">
        <w:rPr>
          <w:rFonts w:ascii="Times New Roman" w:hAnsi="Times New Roman" w:cs="Times New Roman"/>
        </w:rPr>
        <w:t>i žalovanému žalobou uplatňován</w:t>
      </w:r>
      <w:r w:rsidRPr="0062501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</w:footnote>
  <w:footnote w:id="4">
    <w:p w:rsidR="00CF00EB" w:rsidRPr="00CF00EB" w:rsidRDefault="00CF00EB" w:rsidP="00CF00EB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CF00EB">
        <w:rPr>
          <w:rFonts w:ascii="Times New Roman" w:hAnsi="Times New Roman" w:cs="Times New Roman"/>
        </w:rPr>
        <w:t>Za dotčené pasáže textu bezprostředně umístěte odkazy na přiložené důkazy, kterých se dovoláváte, popř. návrhy na jejich provedení (např. svědeckou výpovědí konkrétně označené osoby).</w:t>
      </w:r>
    </w:p>
  </w:footnote>
  <w:footnote w:id="5">
    <w:p w:rsidR="00CF00EB" w:rsidRDefault="00CF00EB" w:rsidP="00CF00EB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CF00EB">
        <w:rPr>
          <w:rFonts w:ascii="Times New Roman" w:hAnsi="Times New Roman" w:cs="Times New Roman"/>
        </w:rPr>
        <w:t>Opět se jedná pouze o příklady různých druhů důkazů, které se budou primárně odvíjet od předmětu či povahy sporu, včetně důkazní situace žalobce. Důležité je, aby bylo zřejmé, k jakým skutkovým tvrzením se jednotlivé důkazy vážou, tedy jaké skutečnosti mají prokazovat.</w:t>
      </w:r>
    </w:p>
  </w:footnote>
  <w:footnote w:id="6">
    <w:p w:rsidR="00867E49" w:rsidRDefault="00867E49" w:rsidP="00867E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867E49">
        <w:rPr>
          <w:rFonts w:ascii="Times New Roman" w:hAnsi="Times New Roman" w:cs="Times New Roman"/>
        </w:rPr>
        <w:t>Míra podrobnosti se bude odvíjet od jednoduchosti/složitosti případu, resp. jeho právní kvalifikace či posouzení.</w:t>
      </w:r>
      <w:r w:rsidR="00EA217D">
        <w:rPr>
          <w:rFonts w:ascii="Times New Roman" w:hAnsi="Times New Roman" w:cs="Times New Roman"/>
        </w:rPr>
        <w:t xml:space="preserve"> Ve vztahu k odkazům na judikaturu je ovšem potřeba vždy důsledně posoudit, zda je tzv. přiléhavá, tedy zda na Vá</w:t>
      </w:r>
      <w:r w:rsidR="00D9105C">
        <w:rPr>
          <w:rFonts w:ascii="Times New Roman" w:hAnsi="Times New Roman" w:cs="Times New Roman"/>
        </w:rPr>
        <w:t>mi řešený případ skutečně dopadá</w:t>
      </w:r>
      <w:r w:rsidR="00EA217D">
        <w:rPr>
          <w:rFonts w:ascii="Times New Roman" w:hAnsi="Times New Roman" w:cs="Times New Roman"/>
        </w:rPr>
        <w:t xml:space="preserve">. </w:t>
      </w:r>
    </w:p>
  </w:footnote>
  <w:footnote w:id="7">
    <w:p w:rsidR="001D0605" w:rsidRDefault="001D0605" w:rsidP="001D0605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1D0605">
        <w:rPr>
          <w:rFonts w:ascii="Times New Roman" w:hAnsi="Times New Roman" w:cs="Times New Roman"/>
        </w:rPr>
        <w:t>Nezapomínejte na to, že právní zástupce není účastníkem řízení. Pokud tedy p</w:t>
      </w:r>
      <w:r w:rsidR="004F7693">
        <w:rPr>
          <w:rFonts w:ascii="Times New Roman" w:hAnsi="Times New Roman" w:cs="Times New Roman"/>
        </w:rPr>
        <w:t>odává žalobu, činí tak jménem a </w:t>
      </w:r>
      <w:r w:rsidRPr="001D0605">
        <w:rPr>
          <w:rFonts w:ascii="Times New Roman" w:hAnsi="Times New Roman" w:cs="Times New Roman"/>
        </w:rPr>
        <w:t>na účet zastoupeného, což je třeba promítnout také do jednotlivých formulací v</w:t>
      </w:r>
      <w:r w:rsidR="004F7693">
        <w:rPr>
          <w:rFonts w:ascii="Times New Roman" w:hAnsi="Times New Roman" w:cs="Times New Roman"/>
        </w:rPr>
        <w:t> textu, včetně návrhu na vydání rozhodnutí (petitu).</w:t>
      </w:r>
      <w:r>
        <w:t xml:space="preserve"> </w:t>
      </w:r>
    </w:p>
  </w:footnote>
  <w:footnote w:id="8">
    <w:p w:rsidR="00596AB3" w:rsidRDefault="00596AB3" w:rsidP="00285575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285575" w:rsidRPr="00285575">
        <w:rPr>
          <w:rFonts w:ascii="Times New Roman" w:hAnsi="Times New Roman" w:cs="Times New Roman"/>
        </w:rPr>
        <w:t>Na konci žaloby musí být vymezen jasný návrh na vydání rozhodnutí (petit – čeho se žalobce domáhá), tedy v podstatě identická podoba výroků, které by soud měl podle Vás vydat. Jejich podoba se bude zajisté odvíjet od povahy a rozsahu Vámi uplatňovaného nároku, včetně dalších okolností případu</w:t>
      </w:r>
      <w:r w:rsidR="00066C35">
        <w:rPr>
          <w:rFonts w:ascii="Times New Roman" w:hAnsi="Times New Roman" w:cs="Times New Roman"/>
        </w:rPr>
        <w:t xml:space="preserve"> (viz dále poznámka k návrhu výroku o nákladech řízení)</w:t>
      </w:r>
      <w:r w:rsidR="00285575" w:rsidRPr="00285575">
        <w:rPr>
          <w:rFonts w:ascii="Times New Roman" w:hAnsi="Times New Roman" w:cs="Times New Roman"/>
        </w:rPr>
        <w:t>.</w:t>
      </w:r>
    </w:p>
  </w:footnote>
  <w:footnote w:id="9">
    <w:p w:rsidR="00596AB3" w:rsidRDefault="00596AB3" w:rsidP="00EF2FAD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FA0A1B" w:rsidRPr="00EF2FAD">
        <w:rPr>
          <w:rFonts w:ascii="Times New Roman" w:hAnsi="Times New Roman" w:cs="Times New Roman"/>
        </w:rPr>
        <w:t>Zde se bude nárok na náhradu nákladů řízení odvíjet od předmětu sporu, včetně skutečnosti, zda je žalobce zastoupen advokátem</w:t>
      </w:r>
      <w:r w:rsidR="00057649">
        <w:rPr>
          <w:rFonts w:ascii="Times New Roman" w:hAnsi="Times New Roman" w:cs="Times New Roman"/>
        </w:rPr>
        <w:t xml:space="preserve"> či nikoliv</w:t>
      </w:r>
      <w:r w:rsidR="00FA0A1B" w:rsidRPr="00EF2FAD">
        <w:rPr>
          <w:rFonts w:ascii="Times New Roman" w:hAnsi="Times New Roman" w:cs="Times New Roman"/>
        </w:rPr>
        <w:t>. Stej</w:t>
      </w:r>
      <w:r w:rsidR="00EF2FAD" w:rsidRPr="00EF2FAD">
        <w:rPr>
          <w:rFonts w:ascii="Times New Roman" w:hAnsi="Times New Roman" w:cs="Times New Roman"/>
        </w:rPr>
        <w:t>ně tak bude rozhodný počet a druh úkonů právní služby, které byly advokátem poskyt</w:t>
      </w:r>
      <w:r w:rsidR="00057649">
        <w:rPr>
          <w:rFonts w:ascii="Times New Roman" w:hAnsi="Times New Roman" w:cs="Times New Roman"/>
        </w:rPr>
        <w:t>nuty. Obecně lze</w:t>
      </w:r>
      <w:r w:rsidR="00EF2FAD" w:rsidRPr="00EF2FAD">
        <w:rPr>
          <w:rFonts w:ascii="Times New Roman" w:hAnsi="Times New Roman" w:cs="Times New Roman"/>
        </w:rPr>
        <w:t xml:space="preserve"> </w:t>
      </w:r>
      <w:r w:rsidR="00057649">
        <w:rPr>
          <w:rFonts w:ascii="Times New Roman" w:hAnsi="Times New Roman" w:cs="Times New Roman"/>
        </w:rPr>
        <w:t>kromě soudního poplatku</w:t>
      </w:r>
      <w:r w:rsidR="007D0236">
        <w:rPr>
          <w:rFonts w:ascii="Times New Roman" w:hAnsi="Times New Roman" w:cs="Times New Roman"/>
        </w:rPr>
        <w:t xml:space="preserve"> či nákladů</w:t>
      </w:r>
      <w:r w:rsidR="00057649">
        <w:rPr>
          <w:rFonts w:ascii="Times New Roman" w:hAnsi="Times New Roman" w:cs="Times New Roman"/>
        </w:rPr>
        <w:t xml:space="preserve"> samotného žalobce nárokovat mimosmluvní odměnu</w:t>
      </w:r>
      <w:r w:rsidR="00EF2FAD" w:rsidRPr="00EF2FAD">
        <w:rPr>
          <w:rFonts w:ascii="Times New Roman" w:hAnsi="Times New Roman" w:cs="Times New Roman"/>
        </w:rPr>
        <w:t xml:space="preserve"> advokáta podle zvláštního právního předpisu. </w:t>
      </w:r>
    </w:p>
  </w:footnote>
  <w:footnote w:id="10">
    <w:p w:rsidR="0063065A" w:rsidRDefault="0063065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Případně</w:t>
      </w:r>
      <w:r w:rsidR="008F147D">
        <w:rPr>
          <w:rFonts w:ascii="Times New Roman" w:hAnsi="Times New Roman" w:cs="Times New Roman"/>
        </w:rPr>
        <w:t xml:space="preserve"> učinění</w:t>
      </w:r>
      <w:r>
        <w:rPr>
          <w:rFonts w:ascii="Times New Roman" w:hAnsi="Times New Roman" w:cs="Times New Roman"/>
        </w:rPr>
        <w:t xml:space="preserve"> podání prostřednictvím</w:t>
      </w:r>
      <w:r w:rsidRPr="0063065A">
        <w:rPr>
          <w:rFonts w:ascii="Times New Roman" w:hAnsi="Times New Roman" w:cs="Times New Roman"/>
        </w:rPr>
        <w:t xml:space="preserve"> datové </w:t>
      </w:r>
      <w:r>
        <w:rPr>
          <w:rFonts w:ascii="Times New Roman" w:hAnsi="Times New Roman" w:cs="Times New Roman"/>
        </w:rPr>
        <w:t>schránky advokáta</w:t>
      </w:r>
      <w:r w:rsidR="00FA14F7">
        <w:rPr>
          <w:rFonts w:ascii="Times New Roman" w:hAnsi="Times New Roman" w:cs="Times New Roman"/>
        </w:rPr>
        <w:t>, tedy bez nutnosti vlastnoručního podpisu.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0686E"/>
    <w:multiLevelType w:val="hybridMultilevel"/>
    <w:tmpl w:val="34261412"/>
    <w:lvl w:ilvl="0" w:tplc="66DEEB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ED31C1"/>
    <w:multiLevelType w:val="hybridMultilevel"/>
    <w:tmpl w:val="BDA4D310"/>
    <w:lvl w:ilvl="0" w:tplc="D19850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558FC"/>
    <w:multiLevelType w:val="hybridMultilevel"/>
    <w:tmpl w:val="2F90281A"/>
    <w:lvl w:ilvl="0" w:tplc="E6D8AF3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7E4FFE"/>
    <w:multiLevelType w:val="hybridMultilevel"/>
    <w:tmpl w:val="1EC854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037F2"/>
    <w:multiLevelType w:val="hybridMultilevel"/>
    <w:tmpl w:val="E2347E02"/>
    <w:lvl w:ilvl="0" w:tplc="992A8C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07183E"/>
    <w:multiLevelType w:val="hybridMultilevel"/>
    <w:tmpl w:val="DB087D14"/>
    <w:lvl w:ilvl="0" w:tplc="F0D22B8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930"/>
    <w:rsid w:val="000314D2"/>
    <w:rsid w:val="00037930"/>
    <w:rsid w:val="00057649"/>
    <w:rsid w:val="000610AA"/>
    <w:rsid w:val="00066C35"/>
    <w:rsid w:val="001600BB"/>
    <w:rsid w:val="001717F7"/>
    <w:rsid w:val="00180692"/>
    <w:rsid w:val="001D0605"/>
    <w:rsid w:val="001E6E72"/>
    <w:rsid w:val="002078C8"/>
    <w:rsid w:val="00212B4A"/>
    <w:rsid w:val="002657D7"/>
    <w:rsid w:val="0028429E"/>
    <w:rsid w:val="00285575"/>
    <w:rsid w:val="002B5AD5"/>
    <w:rsid w:val="002D1A25"/>
    <w:rsid w:val="003009C0"/>
    <w:rsid w:val="003359C6"/>
    <w:rsid w:val="00340F29"/>
    <w:rsid w:val="003664C4"/>
    <w:rsid w:val="00366CBD"/>
    <w:rsid w:val="00392619"/>
    <w:rsid w:val="003E0F0C"/>
    <w:rsid w:val="0043273B"/>
    <w:rsid w:val="0045191D"/>
    <w:rsid w:val="00453BC9"/>
    <w:rsid w:val="004A56AD"/>
    <w:rsid w:val="004F7693"/>
    <w:rsid w:val="00550218"/>
    <w:rsid w:val="00596AB3"/>
    <w:rsid w:val="005C7422"/>
    <w:rsid w:val="0062153E"/>
    <w:rsid w:val="00625013"/>
    <w:rsid w:val="0063065A"/>
    <w:rsid w:val="0063668E"/>
    <w:rsid w:val="006425B2"/>
    <w:rsid w:val="00642F3C"/>
    <w:rsid w:val="006A4A32"/>
    <w:rsid w:val="006C5F40"/>
    <w:rsid w:val="006E0C75"/>
    <w:rsid w:val="006E3CD4"/>
    <w:rsid w:val="00732392"/>
    <w:rsid w:val="00740082"/>
    <w:rsid w:val="00745A0D"/>
    <w:rsid w:val="007D0236"/>
    <w:rsid w:val="007D758A"/>
    <w:rsid w:val="00823904"/>
    <w:rsid w:val="008616FE"/>
    <w:rsid w:val="00863B7A"/>
    <w:rsid w:val="00867E49"/>
    <w:rsid w:val="008763BD"/>
    <w:rsid w:val="008C75CA"/>
    <w:rsid w:val="008D0BB0"/>
    <w:rsid w:val="008F147D"/>
    <w:rsid w:val="009106F2"/>
    <w:rsid w:val="00A119E2"/>
    <w:rsid w:val="00AF0929"/>
    <w:rsid w:val="00B2081E"/>
    <w:rsid w:val="00B66B9F"/>
    <w:rsid w:val="00B96D1E"/>
    <w:rsid w:val="00BE603F"/>
    <w:rsid w:val="00BE6704"/>
    <w:rsid w:val="00BF4743"/>
    <w:rsid w:val="00C42F99"/>
    <w:rsid w:val="00C8571C"/>
    <w:rsid w:val="00C85C79"/>
    <w:rsid w:val="00CB1C6F"/>
    <w:rsid w:val="00CC7D06"/>
    <w:rsid w:val="00CF00EB"/>
    <w:rsid w:val="00D07F51"/>
    <w:rsid w:val="00D32067"/>
    <w:rsid w:val="00D35CBE"/>
    <w:rsid w:val="00D50B14"/>
    <w:rsid w:val="00D9102D"/>
    <w:rsid w:val="00D9105C"/>
    <w:rsid w:val="00DA2ADB"/>
    <w:rsid w:val="00E177CC"/>
    <w:rsid w:val="00E57996"/>
    <w:rsid w:val="00EA217D"/>
    <w:rsid w:val="00EB2D48"/>
    <w:rsid w:val="00EF2FAD"/>
    <w:rsid w:val="00F259B6"/>
    <w:rsid w:val="00F801CC"/>
    <w:rsid w:val="00F9169D"/>
    <w:rsid w:val="00F95BB4"/>
    <w:rsid w:val="00FA0A1B"/>
    <w:rsid w:val="00FA14F7"/>
    <w:rsid w:val="00FB190D"/>
    <w:rsid w:val="00FE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C8F67"/>
  <w15:chartTrackingRefBased/>
  <w15:docId w15:val="{6DAF0CB4-D0D8-4591-AB0B-F8C1803E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616F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616FE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616F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D0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2F813-52F5-4B71-94B5-2C6B2BC04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774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82</cp:revision>
  <dcterms:created xsi:type="dcterms:W3CDTF">2022-01-13T14:34:00Z</dcterms:created>
  <dcterms:modified xsi:type="dcterms:W3CDTF">2022-01-19T17:07:00Z</dcterms:modified>
</cp:coreProperties>
</file>