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E4F3" w14:textId="78268D57" w:rsidR="003D2D99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MPS II – jaro 202</w:t>
      </w:r>
      <w:r w:rsidR="00281ABA">
        <w:rPr>
          <w:rFonts w:ascii="Arial" w:hAnsi="Arial" w:cs="Arial"/>
          <w:b/>
          <w:bCs/>
          <w:color w:val="000000" w:themeColor="text1"/>
        </w:rPr>
        <w:t>1</w:t>
      </w:r>
    </w:p>
    <w:p w14:paraId="262FED44" w14:textId="1FDE017C" w:rsidR="00302A85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příklady pro 4. seminář</w:t>
      </w:r>
    </w:p>
    <w:p w14:paraId="22EBAF0A" w14:textId="2515E2D7" w:rsidR="00302A85" w:rsidRPr="00DE3F4E" w:rsidRDefault="00302A85" w:rsidP="00302A85">
      <w:pPr>
        <w:spacing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14:paraId="3862B383" w14:textId="77777777" w:rsidR="00DE3F4E" w:rsidRDefault="00DE3F4E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AC2786" w14:textId="06990BB4" w:rsidR="00281ABA" w:rsidRDefault="00281ABA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81ABA">
        <w:rPr>
          <w:rFonts w:ascii="Arial" w:hAnsi="Arial" w:cs="Arial"/>
          <w:b/>
          <w:sz w:val="20"/>
          <w:szCs w:val="20"/>
        </w:rPr>
        <w:t>Teoretická příprava</w:t>
      </w:r>
    </w:p>
    <w:p w14:paraId="1515152D" w14:textId="7B7E7C98" w:rsidR="00281ABA" w:rsidRDefault="00281ABA" w:rsidP="00281ABA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uznání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(cizího soudního rozhodnutí)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, jaké významy tento pojem může nabývat?</w:t>
      </w:r>
      <w:r w:rsidR="000D6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Zoufalý</w:t>
      </w:r>
    </w:p>
    <w:p w14:paraId="587B337C" w14:textId="478B5966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výkon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(soudního rozhodnutí/cizího soudního rozhodnutí) a jaké jsou jeho předpoklady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? Jakými normami se řídí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jestliže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je řešen výkon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Zoufalý</w:t>
      </w:r>
    </w:p>
    <w:p w14:paraId="7C18DF89" w14:textId="531EABC7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Jaký je vztah procesu uznání a procesu výkonu v rámci komplexního postupu uznání a výkonu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Zipser</w:t>
      </w:r>
      <w:proofErr w:type="spellEnd"/>
    </w:p>
    <w:p w14:paraId="60513036" w14:textId="6E0B4912" w:rsidR="00C66A60" w:rsidRDefault="00C66A60" w:rsidP="00C66A6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Jaké prameny připadají do úvahy v rámci procesu uznání a výkonu cizího soudního rozhodnutí v ČR?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Zipser</w:t>
      </w:r>
      <w:proofErr w:type="spellEnd"/>
    </w:p>
    <w:p w14:paraId="53575EE0" w14:textId="0C9609F7" w:rsidR="00C66A60" w:rsidRDefault="00C66A60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Jaká cizí rozhodnutí jsou způsobilá exekuce (dle exekučního řádu)?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Vansáč</w:t>
      </w:r>
      <w:proofErr w:type="spellEnd"/>
    </w:p>
    <w:p w14:paraId="56FE0F4B" w14:textId="241BCA9C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V čem spočívá rozdíl mezi procesem „nakládání s cizím soudním rozhodnutím“ dle nařízení Brusel I a nařízení Brusel </w:t>
      </w:r>
      <w:proofErr w:type="spellStart"/>
      <w:r w:rsidRPr="00281ABA">
        <w:rPr>
          <w:rFonts w:ascii="Arial" w:hAnsi="Arial" w:cs="Arial"/>
          <w:color w:val="000000" w:themeColor="text1"/>
          <w:sz w:val="20"/>
          <w:szCs w:val="20"/>
        </w:rPr>
        <w:t>Ia</w:t>
      </w:r>
      <w:proofErr w:type="spellEnd"/>
      <w:r w:rsidRPr="00281ABA">
        <w:rPr>
          <w:rFonts w:ascii="Arial" w:hAnsi="Arial" w:cs="Arial"/>
          <w:color w:val="000000" w:themeColor="text1"/>
          <w:sz w:val="20"/>
          <w:szCs w:val="20"/>
        </w:rPr>
        <w:t>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B2D" w:rsidRP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Šebela</w:t>
      </w:r>
    </w:p>
    <w:p w14:paraId="373E2366" w14:textId="22439503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koho (jaký subjekt/instituci) se může obrátit oprávněný dle cizího majetkového soudního rozhodnutí s požadavkem na výkon tohoto rozhodnutí vůči majetku povinného v Česku? </w:t>
      </w:r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Skřipcová</w:t>
      </w:r>
    </w:p>
    <w:p w14:paraId="71FEFAAE" w14:textId="58C4643C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podklady musí oprávněný předložit?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Reizer</w:t>
      </w:r>
      <w:proofErr w:type="spellEnd"/>
    </w:p>
    <w:p w14:paraId="0A1C1581" w14:textId="72C62719" w:rsidR="00F25757" w:rsidRDefault="00F25757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„obranné prostředky“ má povinný, v jakém okamžiku je může uplatnit, jsou některé z nich zkoumány </w:t>
      </w:r>
      <w:r w:rsidRPr="00F25757">
        <w:rPr>
          <w:rFonts w:ascii="Arial" w:hAnsi="Arial" w:cs="Arial"/>
          <w:i/>
          <w:iCs/>
          <w:color w:val="000000" w:themeColor="text1"/>
          <w:sz w:val="20"/>
          <w:szCs w:val="20"/>
        </w:rPr>
        <w:t>ex offo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Reištetterová</w:t>
      </w:r>
      <w:proofErr w:type="spellEnd"/>
    </w:p>
    <w:p w14:paraId="28AF7EB1" w14:textId="212BBEE0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Co je to nesporný nárok ve smyslu nařízení o EET pro nesporné nároky? Tj. jaké jsou obecné kvalifikační znaky nesporného nároku a jaké české exekuční tituly tyto znaky naplňují? </w:t>
      </w:r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Petrovič</w:t>
      </w:r>
    </w:p>
    <w:p w14:paraId="62E1B7EF" w14:textId="61CAF6DF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Jaké námitky lze uplatnit vůči uznání soudního rozhodnutí ze třetího státu (tj. státu, který není členským státem EU)? Na </w:t>
      </w:r>
      <w:proofErr w:type="gramStart"/>
      <w:r w:rsidRPr="00281ABA">
        <w:rPr>
          <w:rFonts w:ascii="Arial" w:hAnsi="Arial" w:cs="Arial"/>
          <w:color w:val="000000" w:themeColor="text1"/>
          <w:sz w:val="20"/>
          <w:szCs w:val="20"/>
        </w:rPr>
        <w:t>základě</w:t>
      </w:r>
      <w:proofErr w:type="gramEnd"/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čeho jsou tyto námitky zkoumány?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Moravčíková</w:t>
      </w:r>
    </w:p>
    <w:p w14:paraId="5191DF91" w14:textId="77777777" w:rsidR="00281ABA" w:rsidRDefault="00281ABA" w:rsidP="00281ABA"/>
    <w:p w14:paraId="4F3B6D7F" w14:textId="68FCCBE0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1</w:t>
      </w:r>
    </w:p>
    <w:p w14:paraId="35E47223" w14:textId="31241C25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Společnost A (sídlo, ústředí, hlavní provozovna v ČR)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dluží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společnosti B (sídlo, ústředí, hlavní provozovna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 xml:space="preserve"> v Německu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>) část kupní ceny za dodávku zboží. Společnost B je schopna prokázat:</w:t>
      </w:r>
    </w:p>
    <w:p w14:paraId="17FB69C1" w14:textId="01C65342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existenci kupní smlouvy (má emaily s komunikací stran a explicitním souhlasem společnosti B s navrženou smlouvou), </w:t>
      </w:r>
    </w:p>
    <w:p w14:paraId="65CF013B" w14:textId="77777777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dodání zboží (má dodací list s potvrzením, že společnost A zboží převzala od dopravce – dle smlouvy byla společnost B povinna zboží dodat do provozovny společnosti A v Brně),</w:t>
      </w:r>
    </w:p>
    <w:p w14:paraId="7297FA8E" w14:textId="7F727A69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výzvy k zaplacení, které zasílala společnosti A na email stanovený v kupní smlouvě pro vzájemnou komunikaci stran,</w:t>
      </w:r>
    </w:p>
    <w:p w14:paraId="4B740542" w14:textId="57E00066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výzvu k zaplacení, kterou společnosti A zaslal právní zástupce společnosti B.</w:t>
      </w:r>
    </w:p>
    <w:p w14:paraId="3CFA8F91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62784D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B chce nedoplatek kupní ceny vymáhat soudně. Zvaž možnosti jak pro místo vedení soudního řízení, tak zároveň s ohledem na následný výkon soudního rozhodnutí, jestliže by česká společnost povinnost ze soudního rozhodnutí nesplnila dobrovolně:</w:t>
      </w:r>
    </w:p>
    <w:p w14:paraId="23AE1EE1" w14:textId="44E45F2B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12.500 €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Michalica</w:t>
      </w:r>
      <w:proofErr w:type="spellEnd"/>
    </w:p>
    <w:p w14:paraId="69E36FC8" w14:textId="31826B0D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4.500 €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Lisický</w:t>
      </w:r>
      <w:proofErr w:type="spellEnd"/>
    </w:p>
    <w:p w14:paraId="554447E3" w14:textId="26791A9D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ve výši 12.500 € (kupní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Ledr</w:t>
      </w:r>
      <w:proofErr w:type="spellEnd"/>
    </w:p>
    <w:p w14:paraId="3786AF73" w14:textId="291BAB87" w:rsidR="00302A85" w:rsidRPr="00302A85" w:rsidRDefault="00F55F01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nedoplatek ve výši 4.500 € (</w:t>
      </w:r>
      <w:r w:rsidR="00302A85" w:rsidRPr="00302A85">
        <w:rPr>
          <w:rFonts w:ascii="Arial" w:hAnsi="Arial" w:cs="Arial"/>
          <w:color w:val="000000" w:themeColor="text1"/>
          <w:sz w:val="20"/>
          <w:szCs w:val="20"/>
        </w:rPr>
        <w:t>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Krištofová</w:t>
      </w:r>
    </w:p>
    <w:p w14:paraId="45059C67" w14:textId="25258D02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9F5680" w14:textId="444E4A90" w:rsidR="00E521BE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8F5AB8" w14:textId="77777777" w:rsidR="00E521BE" w:rsidRPr="00302A85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4DFC28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2</w:t>
      </w:r>
    </w:p>
    <w:p w14:paraId="61CF2AC0" w14:textId="515883CB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A z příkladu 1 převzala zboží a zaplatila kupní cenu. Převzaté zboží (místo dodání bylo v ČR) zakomponovala do vlastního finálního produktu, který dále prodávala v ČR a na Slovensku. Vzhledem k vadám finálního produktu byla nucena část produkce stáhnout (cca 3-4 měsíce po zahájení prodejů finálního produktu). S tvrzením, že důvodem vad finálního produktu jsou nedostatky dodaného zboží od společnosti B, nárokuje po ní způsobenou škodu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>.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Zároveň při obchodní komunikaci se svými obchodními partnery, aby minimalizovala dopad na svoji dobrou pověst, viní z vad finálního produktu jako subdodavatele právě německou společnost B. Ta s tvrzeními společnosti A nesouhlasí a hodlá se proti pomluvám bránit soudně. Informace potenciálně poškozující společnost B se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v Česku, na Slovensku, v Německu a Rakousku.</w:t>
      </w:r>
    </w:p>
    <w:p w14:paraId="49B16867" w14:textId="60202893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Urči nástroj (opět s ohledem na následný výkon rozhodnutí) a sudiště pro žalobu společnosti A vůči společnosti B na náhradu škody ve výši 10.000 € za nutnost stažení části produkce.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Kovbuz</w:t>
      </w:r>
      <w:proofErr w:type="spellEnd"/>
    </w:p>
    <w:p w14:paraId="3B217F8C" w14:textId="6CC800EE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cílené emailové komunikace vůči vybraným obchodním partnerům v ČR, SR, Německu a Rakousku.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Kachlířová</w:t>
      </w:r>
      <w:proofErr w:type="spellEnd"/>
    </w:p>
    <w:p w14:paraId="0F26F5D4" w14:textId="5219CD04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svého FB profilu, na kterém informace uveřejňuje jak v češtině, tak angličtině.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Jelisejev</w:t>
      </w:r>
      <w:proofErr w:type="spellEnd"/>
    </w:p>
    <w:p w14:paraId="66DBE181" w14:textId="77777777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B182EE" w14:textId="532536EC" w:rsidR="00302A85" w:rsidRPr="00F05B2D" w:rsidRDefault="00302A85" w:rsidP="00302A85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3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05B2D" w:rsidRP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Hájek</w:t>
      </w:r>
    </w:p>
    <w:p w14:paraId="08F8D827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společnost B zahájila řízení pro situaci popsanou v příkladu 2 c) v Německu a získala německé rozhodnutí přikazující české společnosti A zaplatit částku 20.000 € a náklady na právní zastoupení. Toto rozhodnutí se v Německu stalo vykonatelné. Česká společnost A ovšem odmítá zaplatit. Analyzuj kroky společnosti B, které jsou nutné k tomu, aby bylo možné povinnost stanovenou německým rozhodnutím vykonat v ČR, a to:</w:t>
      </w:r>
    </w:p>
    <w:p w14:paraId="4D891507" w14:textId="1009A277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prosince 2014</w:t>
      </w:r>
    </w:p>
    <w:p w14:paraId="1EF8849D" w14:textId="7342D7DE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ledna 2015</w:t>
      </w:r>
    </w:p>
    <w:p w14:paraId="3F04310F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DAE4DE" w14:textId="3E229D7E" w:rsidR="00302A85" w:rsidRPr="00F05B2D" w:rsidRDefault="00302A85" w:rsidP="00302A85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4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Dumbrovský</w:t>
      </w:r>
      <w:proofErr w:type="spellEnd"/>
    </w:p>
    <w:p w14:paraId="4E8AD903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švýcarské společnosti, která řízení zahájila ve Švýcarsku. Analyzuj kroky společnosti B v takovém případě.</w:t>
      </w:r>
    </w:p>
    <w:p w14:paraId="3FB4230E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B19731" w14:textId="674E6EF8" w:rsidR="00302A85" w:rsidRPr="00F05B2D" w:rsidRDefault="00302A85" w:rsidP="00302A85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5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05B2D" w:rsidRPr="00F05B2D">
        <w:rPr>
          <w:rFonts w:ascii="Arial" w:hAnsi="Arial" w:cs="Arial"/>
          <w:i/>
          <w:iCs/>
          <w:color w:val="000000" w:themeColor="text1"/>
          <w:sz w:val="20"/>
          <w:szCs w:val="20"/>
        </w:rPr>
        <w:t>Adameková</w:t>
      </w:r>
      <w:proofErr w:type="spellEnd"/>
    </w:p>
    <w:p w14:paraId="614225B0" w14:textId="44021B1A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turecké společnosti, která řízení zahájila v Turecku. Analyzuj kroky společnosti B v takovém případě.</w:t>
      </w:r>
    </w:p>
    <w:sectPr w:rsidR="00302A85" w:rsidRPr="00302A85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F9E1" w14:textId="77777777" w:rsidR="00B07819" w:rsidRDefault="00B07819">
      <w:r>
        <w:separator/>
      </w:r>
    </w:p>
  </w:endnote>
  <w:endnote w:type="continuationSeparator" w:id="0">
    <w:p w14:paraId="16F87828" w14:textId="77777777" w:rsidR="00B07819" w:rsidRDefault="00B0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BDE" w14:textId="77777777" w:rsidR="00DD543A" w:rsidRDefault="00DD5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7A81D307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F05B2D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4BFD7ABD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05B2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DD543A">
      <w:rPr>
        <w:color w:val="0000DC"/>
      </w:rPr>
      <w:t xml:space="preserve">T: +420 549 49 1211, E: info@law.muni.cz, www.law.muni.cz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AFFA" w14:textId="77777777" w:rsidR="00B07819" w:rsidRDefault="00B07819">
      <w:r>
        <w:separator/>
      </w:r>
    </w:p>
  </w:footnote>
  <w:footnote w:type="continuationSeparator" w:id="0">
    <w:p w14:paraId="0380C25A" w14:textId="77777777" w:rsidR="00B07819" w:rsidRDefault="00B0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AAF9" w14:textId="77777777" w:rsidR="00DD543A" w:rsidRDefault="00DD5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4F99" w14:textId="77777777" w:rsidR="00DD543A" w:rsidRDefault="00DD54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5"/>
    <w:multiLevelType w:val="hybridMultilevel"/>
    <w:tmpl w:val="712AD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258B"/>
    <w:multiLevelType w:val="hybridMultilevel"/>
    <w:tmpl w:val="E3747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218D"/>
    <w:multiLevelType w:val="hybridMultilevel"/>
    <w:tmpl w:val="B7861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452"/>
    <w:multiLevelType w:val="hybridMultilevel"/>
    <w:tmpl w:val="2EF4D6D4"/>
    <w:lvl w:ilvl="0" w:tplc="0C50DA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F6775"/>
    <w:multiLevelType w:val="hybridMultilevel"/>
    <w:tmpl w:val="75526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7CF1"/>
    <w:multiLevelType w:val="hybridMultilevel"/>
    <w:tmpl w:val="0E92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91173"/>
    <w:multiLevelType w:val="hybridMultilevel"/>
    <w:tmpl w:val="87DEF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E73A1"/>
    <w:multiLevelType w:val="hybridMultilevel"/>
    <w:tmpl w:val="69AC4AD2"/>
    <w:lvl w:ilvl="0" w:tplc="87869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19391343">
    <w:abstractNumId w:val="4"/>
  </w:num>
  <w:num w:numId="2" w16cid:durableId="1856771386">
    <w:abstractNumId w:val="1"/>
  </w:num>
  <w:num w:numId="3" w16cid:durableId="4283042">
    <w:abstractNumId w:val="5"/>
  </w:num>
  <w:num w:numId="4" w16cid:durableId="1716663667">
    <w:abstractNumId w:val="0"/>
  </w:num>
  <w:num w:numId="5" w16cid:durableId="23871253">
    <w:abstractNumId w:val="9"/>
  </w:num>
  <w:num w:numId="6" w16cid:durableId="884412612">
    <w:abstractNumId w:val="2"/>
  </w:num>
  <w:num w:numId="7" w16cid:durableId="732851785">
    <w:abstractNumId w:val="3"/>
  </w:num>
  <w:num w:numId="8" w16cid:durableId="1805073546">
    <w:abstractNumId w:val="6"/>
  </w:num>
  <w:num w:numId="9" w16cid:durableId="1804422882">
    <w:abstractNumId w:val="8"/>
  </w:num>
  <w:num w:numId="10" w16cid:durableId="126708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87AAE"/>
    <w:rsid w:val="000A5AD7"/>
    <w:rsid w:val="000C6547"/>
    <w:rsid w:val="000D1FB2"/>
    <w:rsid w:val="000D6975"/>
    <w:rsid w:val="000F6900"/>
    <w:rsid w:val="001300AC"/>
    <w:rsid w:val="0013516D"/>
    <w:rsid w:val="00136356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43E"/>
    <w:rsid w:val="00211F80"/>
    <w:rsid w:val="00221B36"/>
    <w:rsid w:val="00227BC5"/>
    <w:rsid w:val="00231021"/>
    <w:rsid w:val="00247E5F"/>
    <w:rsid w:val="00266668"/>
    <w:rsid w:val="00281ABA"/>
    <w:rsid w:val="002879AE"/>
    <w:rsid w:val="002A469F"/>
    <w:rsid w:val="002A52F4"/>
    <w:rsid w:val="002B6D09"/>
    <w:rsid w:val="002C0A32"/>
    <w:rsid w:val="002C33A9"/>
    <w:rsid w:val="002D69EE"/>
    <w:rsid w:val="002E764E"/>
    <w:rsid w:val="00302A85"/>
    <w:rsid w:val="00304F72"/>
    <w:rsid w:val="00310D63"/>
    <w:rsid w:val="00323952"/>
    <w:rsid w:val="00332338"/>
    <w:rsid w:val="00342316"/>
    <w:rsid w:val="0036682E"/>
    <w:rsid w:val="00371A95"/>
    <w:rsid w:val="00372A1B"/>
    <w:rsid w:val="00380A0F"/>
    <w:rsid w:val="00384C75"/>
    <w:rsid w:val="00386A5A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23A9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D8D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6F29D4"/>
    <w:rsid w:val="00700BDD"/>
    <w:rsid w:val="00702F1D"/>
    <w:rsid w:val="00710003"/>
    <w:rsid w:val="00721AA4"/>
    <w:rsid w:val="007272DA"/>
    <w:rsid w:val="0073428B"/>
    <w:rsid w:val="00742A86"/>
    <w:rsid w:val="007462A5"/>
    <w:rsid w:val="00756259"/>
    <w:rsid w:val="00767E6F"/>
    <w:rsid w:val="00775DB9"/>
    <w:rsid w:val="007814A2"/>
    <w:rsid w:val="0078229B"/>
    <w:rsid w:val="00790002"/>
    <w:rsid w:val="0079758E"/>
    <w:rsid w:val="007C738C"/>
    <w:rsid w:val="007D77E7"/>
    <w:rsid w:val="007E3048"/>
    <w:rsid w:val="00800784"/>
    <w:rsid w:val="00810299"/>
    <w:rsid w:val="0081281C"/>
    <w:rsid w:val="00824279"/>
    <w:rsid w:val="008300B3"/>
    <w:rsid w:val="00832654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66156"/>
    <w:rsid w:val="009929DF"/>
    <w:rsid w:val="00993F65"/>
    <w:rsid w:val="009A05B9"/>
    <w:rsid w:val="009F27E4"/>
    <w:rsid w:val="00A02235"/>
    <w:rsid w:val="00A27490"/>
    <w:rsid w:val="00A63644"/>
    <w:rsid w:val="00A67327"/>
    <w:rsid w:val="00A71A6E"/>
    <w:rsid w:val="00AB451F"/>
    <w:rsid w:val="00AC2D36"/>
    <w:rsid w:val="00AC6B6B"/>
    <w:rsid w:val="00AD4F8E"/>
    <w:rsid w:val="00B07819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2E71"/>
    <w:rsid w:val="00C3745F"/>
    <w:rsid w:val="00C44C72"/>
    <w:rsid w:val="00C66A60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2A3D"/>
    <w:rsid w:val="00D54496"/>
    <w:rsid w:val="00D65140"/>
    <w:rsid w:val="00D80C2F"/>
    <w:rsid w:val="00D84EC1"/>
    <w:rsid w:val="00D87462"/>
    <w:rsid w:val="00DB0117"/>
    <w:rsid w:val="00DB335A"/>
    <w:rsid w:val="00DD543A"/>
    <w:rsid w:val="00DE3F4E"/>
    <w:rsid w:val="00DE590E"/>
    <w:rsid w:val="00E022B1"/>
    <w:rsid w:val="00E02F97"/>
    <w:rsid w:val="00E05F2B"/>
    <w:rsid w:val="00E26CA3"/>
    <w:rsid w:val="00E43F09"/>
    <w:rsid w:val="00E521BE"/>
    <w:rsid w:val="00E7057E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05B2D"/>
    <w:rsid w:val="00F1232B"/>
    <w:rsid w:val="00F15F08"/>
    <w:rsid w:val="00F23341"/>
    <w:rsid w:val="00F25757"/>
    <w:rsid w:val="00F32999"/>
    <w:rsid w:val="00F379E5"/>
    <w:rsid w:val="00F53B0F"/>
    <w:rsid w:val="00F55F01"/>
    <w:rsid w:val="00F65574"/>
    <w:rsid w:val="00F76880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2A3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E71"/>
    <w:rPr>
      <w:color w:val="605E5C"/>
      <w:shd w:val="clear" w:color="auto" w:fill="E1DFDD"/>
    </w:rPr>
  </w:style>
  <w:style w:type="paragraph" w:customStyle="1" w:styleId="Vchoz">
    <w:name w:val="Výchozí"/>
    <w:rsid w:val="0081281C"/>
    <w:pPr>
      <w:tabs>
        <w:tab w:val="left" w:pos="708"/>
      </w:tabs>
      <w:suppressAutoHyphens/>
      <w:spacing w:after="20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FD4B-890E-46C5-8C0E-EB73B74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4</TotalTime>
  <Pages>2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2019-04-23T07:36:00Z</cp:lastPrinted>
  <dcterms:created xsi:type="dcterms:W3CDTF">2022-04-08T09:12:00Z</dcterms:created>
  <dcterms:modified xsi:type="dcterms:W3CDTF">2022-04-08T09:16:00Z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