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E4F3" w14:textId="78268D57" w:rsidR="003D2D99" w:rsidRPr="00302A85" w:rsidRDefault="00302A85" w:rsidP="00302A85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302A85">
        <w:rPr>
          <w:rFonts w:ascii="Arial" w:hAnsi="Arial" w:cs="Arial"/>
          <w:b/>
          <w:bCs/>
          <w:color w:val="000000" w:themeColor="text1"/>
        </w:rPr>
        <w:t>MPS II – jaro 202</w:t>
      </w:r>
      <w:r w:rsidR="00281ABA">
        <w:rPr>
          <w:rFonts w:ascii="Arial" w:hAnsi="Arial" w:cs="Arial"/>
          <w:b/>
          <w:bCs/>
          <w:color w:val="000000" w:themeColor="text1"/>
        </w:rPr>
        <w:t>1</w:t>
      </w:r>
    </w:p>
    <w:p w14:paraId="262FED44" w14:textId="1FDE017C" w:rsidR="00302A85" w:rsidRPr="00302A85" w:rsidRDefault="00302A85" w:rsidP="00302A85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302A85">
        <w:rPr>
          <w:rFonts w:ascii="Arial" w:hAnsi="Arial" w:cs="Arial"/>
          <w:b/>
          <w:bCs/>
          <w:color w:val="000000" w:themeColor="text1"/>
        </w:rPr>
        <w:t>příklady pro 4. seminář</w:t>
      </w:r>
    </w:p>
    <w:p w14:paraId="22EBAF0A" w14:textId="2515E2D7" w:rsidR="00302A85" w:rsidRPr="00DE3F4E" w:rsidRDefault="00302A85" w:rsidP="00302A85">
      <w:pPr>
        <w:spacing w:line="276" w:lineRule="auto"/>
        <w:jc w:val="center"/>
        <w:rPr>
          <w:rFonts w:ascii="Arial" w:hAnsi="Arial" w:cs="Arial"/>
          <w:color w:val="C00000"/>
          <w:sz w:val="20"/>
          <w:szCs w:val="20"/>
        </w:rPr>
      </w:pPr>
    </w:p>
    <w:p w14:paraId="3862B383" w14:textId="77777777" w:rsidR="00DE3F4E" w:rsidRDefault="00DE3F4E" w:rsidP="00281AB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3AC2786" w14:textId="06990BB4" w:rsidR="00281ABA" w:rsidRDefault="00281ABA" w:rsidP="00281AB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81ABA">
        <w:rPr>
          <w:rFonts w:ascii="Arial" w:hAnsi="Arial" w:cs="Arial"/>
          <w:b/>
          <w:sz w:val="20"/>
          <w:szCs w:val="20"/>
        </w:rPr>
        <w:t>Teoretická příprava</w:t>
      </w:r>
    </w:p>
    <w:p w14:paraId="1515152D" w14:textId="76A90C87" w:rsidR="00281ABA" w:rsidRDefault="00281ABA" w:rsidP="00281ABA">
      <w:pPr>
        <w:pStyle w:val="Odstavecseseznamem"/>
        <w:numPr>
          <w:ilvl w:val="0"/>
          <w:numId w:val="1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81ABA">
        <w:rPr>
          <w:rFonts w:ascii="Arial" w:hAnsi="Arial" w:cs="Arial"/>
          <w:color w:val="000000" w:themeColor="text1"/>
          <w:sz w:val="20"/>
          <w:szCs w:val="20"/>
        </w:rPr>
        <w:t>Co je to uznání</w:t>
      </w:r>
      <w:r w:rsidR="00C66A60">
        <w:rPr>
          <w:rFonts w:ascii="Arial" w:hAnsi="Arial" w:cs="Arial"/>
          <w:color w:val="000000" w:themeColor="text1"/>
          <w:sz w:val="20"/>
          <w:szCs w:val="20"/>
        </w:rPr>
        <w:t xml:space="preserve"> (cizího soudního rozhodnutí)</w:t>
      </w:r>
      <w:r w:rsidRPr="00281ABA">
        <w:rPr>
          <w:rFonts w:ascii="Arial" w:hAnsi="Arial" w:cs="Arial"/>
          <w:color w:val="000000" w:themeColor="text1"/>
          <w:sz w:val="20"/>
          <w:szCs w:val="20"/>
        </w:rPr>
        <w:t>, jaké významy tento pojem může nabývat?</w:t>
      </w:r>
      <w:r w:rsidR="000D697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437BE">
        <w:rPr>
          <w:rFonts w:ascii="Arial" w:hAnsi="Arial" w:cs="Arial"/>
          <w:i/>
          <w:iCs/>
          <w:color w:val="000000" w:themeColor="text1"/>
          <w:sz w:val="20"/>
          <w:szCs w:val="20"/>
        </w:rPr>
        <w:t>Tobek</w:t>
      </w:r>
      <w:proofErr w:type="spellEnd"/>
    </w:p>
    <w:p w14:paraId="587B337C" w14:textId="5F7E2A4F" w:rsidR="00281ABA" w:rsidRDefault="00281ABA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ABA">
        <w:rPr>
          <w:rFonts w:ascii="Arial" w:hAnsi="Arial" w:cs="Arial"/>
          <w:color w:val="000000" w:themeColor="text1"/>
          <w:sz w:val="20"/>
          <w:szCs w:val="20"/>
        </w:rPr>
        <w:t>Co je to výkon</w:t>
      </w:r>
      <w:r w:rsidR="00C66A60">
        <w:rPr>
          <w:rFonts w:ascii="Arial" w:hAnsi="Arial" w:cs="Arial"/>
          <w:color w:val="000000" w:themeColor="text1"/>
          <w:sz w:val="20"/>
          <w:szCs w:val="20"/>
        </w:rPr>
        <w:t xml:space="preserve"> (soudního rozhodnutí/cizího soudního rozhodnutí) a jaké jsou jeho předpoklady</w:t>
      </w:r>
      <w:r w:rsidRPr="00281ABA">
        <w:rPr>
          <w:rFonts w:ascii="Arial" w:hAnsi="Arial" w:cs="Arial"/>
          <w:color w:val="000000" w:themeColor="text1"/>
          <w:sz w:val="20"/>
          <w:szCs w:val="20"/>
        </w:rPr>
        <w:t>? Jakými normami se řídí</w:t>
      </w:r>
      <w:r w:rsidR="00C66A60">
        <w:rPr>
          <w:rFonts w:ascii="Arial" w:hAnsi="Arial" w:cs="Arial"/>
          <w:color w:val="000000" w:themeColor="text1"/>
          <w:sz w:val="20"/>
          <w:szCs w:val="20"/>
        </w:rPr>
        <w:t>,</w:t>
      </w:r>
      <w:r w:rsidRPr="00281A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66A60">
        <w:rPr>
          <w:rFonts w:ascii="Arial" w:hAnsi="Arial" w:cs="Arial"/>
          <w:color w:val="000000" w:themeColor="text1"/>
          <w:sz w:val="20"/>
          <w:szCs w:val="20"/>
        </w:rPr>
        <w:t>jestliže</w:t>
      </w:r>
      <w:r w:rsidRPr="00281ABA">
        <w:rPr>
          <w:rFonts w:ascii="Arial" w:hAnsi="Arial" w:cs="Arial"/>
          <w:color w:val="000000" w:themeColor="text1"/>
          <w:sz w:val="20"/>
          <w:szCs w:val="20"/>
        </w:rPr>
        <w:t xml:space="preserve"> je řešen výkon cizího soudního rozhodnutí?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437BE">
        <w:rPr>
          <w:rFonts w:ascii="Arial" w:hAnsi="Arial" w:cs="Arial"/>
          <w:i/>
          <w:iCs/>
          <w:color w:val="000000" w:themeColor="text1"/>
          <w:sz w:val="20"/>
          <w:szCs w:val="20"/>
        </w:rPr>
        <w:t>Tobek</w:t>
      </w:r>
      <w:proofErr w:type="spellEnd"/>
    </w:p>
    <w:p w14:paraId="7C18DF89" w14:textId="18EB75D4" w:rsidR="00281ABA" w:rsidRDefault="00281ABA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ABA">
        <w:rPr>
          <w:rFonts w:ascii="Arial" w:hAnsi="Arial" w:cs="Arial"/>
          <w:color w:val="000000" w:themeColor="text1"/>
          <w:sz w:val="20"/>
          <w:szCs w:val="20"/>
        </w:rPr>
        <w:t>Jaký je vztah procesu uznání a procesu výkonu v rámci komplexního postupu uznání a výkonu cizího soudního rozhodnutí?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437BE">
        <w:rPr>
          <w:rFonts w:ascii="Arial" w:hAnsi="Arial" w:cs="Arial"/>
          <w:i/>
          <w:iCs/>
          <w:color w:val="000000" w:themeColor="text1"/>
          <w:sz w:val="20"/>
          <w:szCs w:val="20"/>
        </w:rPr>
        <w:t>Tichý</w:t>
      </w:r>
    </w:p>
    <w:p w14:paraId="60513036" w14:textId="6A044962" w:rsidR="00C66A60" w:rsidRDefault="00C66A60" w:rsidP="00C66A6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ABA">
        <w:rPr>
          <w:rFonts w:ascii="Arial" w:hAnsi="Arial" w:cs="Arial"/>
          <w:color w:val="000000" w:themeColor="text1"/>
          <w:sz w:val="20"/>
          <w:szCs w:val="20"/>
        </w:rPr>
        <w:t>Jaké prameny připadají do úvahy v rámci procesu uznání a výkonu cizího soudního rozhodnutí v ČR?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437BE">
        <w:rPr>
          <w:rFonts w:ascii="Arial" w:hAnsi="Arial" w:cs="Arial"/>
          <w:i/>
          <w:iCs/>
          <w:color w:val="000000" w:themeColor="text1"/>
          <w:sz w:val="20"/>
          <w:szCs w:val="20"/>
        </w:rPr>
        <w:t>Tichý</w:t>
      </w:r>
    </w:p>
    <w:p w14:paraId="53575EE0" w14:textId="301BFE01" w:rsidR="00C66A60" w:rsidRDefault="00C66A60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Jaká cizí rozhodnutí jsou způsobilá exekuce (dle exekučního řádu)?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437BE">
        <w:rPr>
          <w:rFonts w:ascii="Arial" w:hAnsi="Arial" w:cs="Arial"/>
          <w:i/>
          <w:iCs/>
          <w:color w:val="000000" w:themeColor="text1"/>
          <w:sz w:val="20"/>
          <w:szCs w:val="20"/>
        </w:rPr>
        <w:t>Mihola</w:t>
      </w:r>
      <w:proofErr w:type="spellEnd"/>
    </w:p>
    <w:p w14:paraId="56FE0F4B" w14:textId="5519C350" w:rsidR="00281ABA" w:rsidRDefault="00281ABA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ABA">
        <w:rPr>
          <w:rFonts w:ascii="Arial" w:hAnsi="Arial" w:cs="Arial"/>
          <w:color w:val="000000" w:themeColor="text1"/>
          <w:sz w:val="20"/>
          <w:szCs w:val="20"/>
        </w:rPr>
        <w:t xml:space="preserve">V čem spočívá rozdíl mezi procesem „nakládání s cizím soudním rozhodnutím“ dle nařízení Brusel I a nařízení Brusel </w:t>
      </w:r>
      <w:proofErr w:type="spellStart"/>
      <w:r w:rsidRPr="00281ABA">
        <w:rPr>
          <w:rFonts w:ascii="Arial" w:hAnsi="Arial" w:cs="Arial"/>
          <w:color w:val="000000" w:themeColor="text1"/>
          <w:sz w:val="20"/>
          <w:szCs w:val="20"/>
        </w:rPr>
        <w:t>Ia</w:t>
      </w:r>
      <w:proofErr w:type="spellEnd"/>
      <w:r w:rsidRPr="00281ABA">
        <w:rPr>
          <w:rFonts w:ascii="Arial" w:hAnsi="Arial" w:cs="Arial"/>
          <w:color w:val="000000" w:themeColor="text1"/>
          <w:sz w:val="20"/>
          <w:szCs w:val="20"/>
        </w:rPr>
        <w:t>.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437BE">
        <w:rPr>
          <w:rFonts w:ascii="Arial" w:hAnsi="Arial" w:cs="Arial"/>
          <w:i/>
          <w:iCs/>
          <w:color w:val="000000" w:themeColor="text1"/>
          <w:sz w:val="20"/>
          <w:szCs w:val="20"/>
        </w:rPr>
        <w:t>Meňhertová</w:t>
      </w:r>
      <w:proofErr w:type="spellEnd"/>
    </w:p>
    <w:p w14:paraId="373E2366" w14:textId="1C6F9061" w:rsidR="00832654" w:rsidRDefault="00832654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Na koho (jaký subjekt/instituci) se může obrátit oprávněný dle cizího majetkového soudního rozhodnutí s požadavkem na výkon tohoto rozhodnutí vůči majetku povinného v Česku? </w:t>
      </w:r>
      <w:r w:rsidR="00C437BE">
        <w:rPr>
          <w:rFonts w:ascii="Arial" w:hAnsi="Arial" w:cs="Arial"/>
          <w:i/>
          <w:iCs/>
          <w:color w:val="000000" w:themeColor="text1"/>
          <w:sz w:val="20"/>
          <w:szCs w:val="20"/>
        </w:rPr>
        <w:t>Kuncová</w:t>
      </w:r>
    </w:p>
    <w:p w14:paraId="71FEFAAE" w14:textId="68AE08CD" w:rsidR="00832654" w:rsidRDefault="00832654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Jaké podklady musí oprávněný předložit? </w:t>
      </w:r>
      <w:proofErr w:type="spellStart"/>
      <w:r w:rsidR="00C437BE">
        <w:rPr>
          <w:rFonts w:ascii="Arial" w:hAnsi="Arial" w:cs="Arial"/>
          <w:i/>
          <w:iCs/>
          <w:color w:val="000000" w:themeColor="text1"/>
          <w:sz w:val="20"/>
          <w:szCs w:val="20"/>
        </w:rPr>
        <w:t>Koziorková</w:t>
      </w:r>
      <w:proofErr w:type="spellEnd"/>
    </w:p>
    <w:p w14:paraId="0A1C1581" w14:textId="78F46099" w:rsidR="00F25757" w:rsidRDefault="00F25757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Jaké „obranné prostředky“ má povinný, v jakém okamžiku je může uplatnit, jsou některé z nich zkoumány </w:t>
      </w:r>
      <w:r w:rsidRPr="00F25757">
        <w:rPr>
          <w:rFonts w:ascii="Arial" w:hAnsi="Arial" w:cs="Arial"/>
          <w:i/>
          <w:iCs/>
          <w:color w:val="000000" w:themeColor="text1"/>
          <w:sz w:val="20"/>
          <w:szCs w:val="20"/>
        </w:rPr>
        <w:t>ex offo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? </w:t>
      </w:r>
      <w:r w:rsidR="00C437BE">
        <w:rPr>
          <w:rFonts w:ascii="Arial" w:hAnsi="Arial" w:cs="Arial"/>
          <w:i/>
          <w:iCs/>
          <w:color w:val="000000" w:themeColor="text1"/>
          <w:sz w:val="20"/>
          <w:szCs w:val="20"/>
        </w:rPr>
        <w:t>Joura</w:t>
      </w:r>
    </w:p>
    <w:p w14:paraId="28AF7EB1" w14:textId="2614E38D" w:rsidR="00281ABA" w:rsidRDefault="00281ABA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ABA">
        <w:rPr>
          <w:rFonts w:ascii="Arial" w:hAnsi="Arial" w:cs="Arial"/>
          <w:color w:val="000000" w:themeColor="text1"/>
          <w:sz w:val="20"/>
          <w:szCs w:val="20"/>
        </w:rPr>
        <w:t xml:space="preserve">Co je to nesporný nárok ve smyslu nařízení o EET pro nesporné nároky? Tj. jaké jsou obecné kvalifikační znaky nesporného nároku a jaké české exekuční tituly tyto znaky naplňují? </w:t>
      </w:r>
      <w:r w:rsidR="00C437BE">
        <w:rPr>
          <w:rFonts w:ascii="Arial" w:hAnsi="Arial" w:cs="Arial"/>
          <w:i/>
          <w:iCs/>
          <w:color w:val="000000" w:themeColor="text1"/>
          <w:sz w:val="20"/>
          <w:szCs w:val="20"/>
        </w:rPr>
        <w:t>Jílek</w:t>
      </w:r>
    </w:p>
    <w:p w14:paraId="62E1B7EF" w14:textId="79FE0296" w:rsidR="00281ABA" w:rsidRDefault="00281ABA" w:rsidP="00281A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ABA">
        <w:rPr>
          <w:rFonts w:ascii="Arial" w:hAnsi="Arial" w:cs="Arial"/>
          <w:color w:val="000000" w:themeColor="text1"/>
          <w:sz w:val="20"/>
          <w:szCs w:val="20"/>
        </w:rPr>
        <w:t xml:space="preserve">Jaké námitky lze uplatnit vůči uznání soudního rozhodnutí ze třetího státu (tj. státu, který není členským státem EU)? Na </w:t>
      </w:r>
      <w:proofErr w:type="gramStart"/>
      <w:r w:rsidRPr="00281ABA">
        <w:rPr>
          <w:rFonts w:ascii="Arial" w:hAnsi="Arial" w:cs="Arial"/>
          <w:color w:val="000000" w:themeColor="text1"/>
          <w:sz w:val="20"/>
          <w:szCs w:val="20"/>
        </w:rPr>
        <w:t>základě</w:t>
      </w:r>
      <w:proofErr w:type="gramEnd"/>
      <w:r w:rsidRPr="00281ABA">
        <w:rPr>
          <w:rFonts w:ascii="Arial" w:hAnsi="Arial" w:cs="Arial"/>
          <w:color w:val="000000" w:themeColor="text1"/>
          <w:sz w:val="20"/>
          <w:szCs w:val="20"/>
        </w:rPr>
        <w:t xml:space="preserve"> čeho jsou tyto námitky zkoumány?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437BE">
        <w:rPr>
          <w:rFonts w:ascii="Arial" w:hAnsi="Arial" w:cs="Arial"/>
          <w:i/>
          <w:iCs/>
          <w:color w:val="000000" w:themeColor="text1"/>
          <w:sz w:val="20"/>
          <w:szCs w:val="20"/>
        </w:rPr>
        <w:t>Horáková</w:t>
      </w:r>
    </w:p>
    <w:p w14:paraId="5191DF91" w14:textId="77777777" w:rsidR="00281ABA" w:rsidRDefault="00281ABA" w:rsidP="00281ABA"/>
    <w:p w14:paraId="4F3B6D7F" w14:textId="68FCCBE0" w:rsidR="00302A85" w:rsidRPr="00302A85" w:rsidRDefault="00302A85" w:rsidP="00302A85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b/>
          <w:bCs/>
          <w:color w:val="000000" w:themeColor="text1"/>
          <w:sz w:val="20"/>
          <w:szCs w:val="20"/>
        </w:rPr>
        <w:t>Příklad 1</w:t>
      </w:r>
    </w:p>
    <w:p w14:paraId="35E47223" w14:textId="31241C25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Společnost A (sídlo, ústředí, hlavní provozovna v ČR) </w:t>
      </w:r>
      <w:proofErr w:type="gramStart"/>
      <w:r w:rsidRPr="00302A85">
        <w:rPr>
          <w:rFonts w:ascii="Arial" w:hAnsi="Arial" w:cs="Arial"/>
          <w:color w:val="000000" w:themeColor="text1"/>
          <w:sz w:val="20"/>
          <w:szCs w:val="20"/>
        </w:rPr>
        <w:t>dluží</w:t>
      </w:r>
      <w:proofErr w:type="gramEnd"/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 společnosti B (sídlo, ústředí, hlavní provozovna</w:t>
      </w:r>
      <w:r w:rsidR="00F55F01">
        <w:rPr>
          <w:rFonts w:ascii="Arial" w:hAnsi="Arial" w:cs="Arial"/>
          <w:color w:val="000000" w:themeColor="text1"/>
          <w:sz w:val="20"/>
          <w:szCs w:val="20"/>
        </w:rPr>
        <w:t xml:space="preserve"> v Německu</w:t>
      </w:r>
      <w:r w:rsidRPr="00302A85">
        <w:rPr>
          <w:rFonts w:ascii="Arial" w:hAnsi="Arial" w:cs="Arial"/>
          <w:color w:val="000000" w:themeColor="text1"/>
          <w:sz w:val="20"/>
          <w:szCs w:val="20"/>
        </w:rPr>
        <w:t>) část kupní ceny za dodávku zboží. Společnost B je schopna prokázat:</w:t>
      </w:r>
    </w:p>
    <w:p w14:paraId="17FB69C1" w14:textId="01C65342" w:rsidR="00302A85" w:rsidRPr="00302A85" w:rsidRDefault="00302A85" w:rsidP="00302A8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existenci kupní smlouvy (má emaily s komunikací stran a explicitním souhlasem společnosti B s navrženou smlouvou), </w:t>
      </w:r>
    </w:p>
    <w:p w14:paraId="65CF013B" w14:textId="77777777" w:rsidR="00302A85" w:rsidRPr="00302A85" w:rsidRDefault="00302A85" w:rsidP="00302A8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dodání zboží (má dodací list s potvrzením, že společnost A zboží převzala od dopravce – dle smlouvy byla společnost B povinna zboží dodat do provozovny společnosti A v Brně),</w:t>
      </w:r>
    </w:p>
    <w:p w14:paraId="7297FA8E" w14:textId="7F727A69" w:rsidR="00302A85" w:rsidRPr="00302A85" w:rsidRDefault="00302A85" w:rsidP="00302A8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výzvy k zaplacení, které zasílala společnosti A na email stanovený v kupní smlouvě pro vzájemnou komunikaci stran,</w:t>
      </w:r>
    </w:p>
    <w:p w14:paraId="4B740542" w14:textId="57E00066" w:rsidR="00302A85" w:rsidRPr="00302A85" w:rsidRDefault="00302A85" w:rsidP="00302A8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výzvu k zaplacení, kterou společnosti A zaslal právní zástupce společnosti B.</w:t>
      </w:r>
    </w:p>
    <w:p w14:paraId="3CFA8F91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362784D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Společnost B chce nedoplatek kupní ceny vymáhat soudně. Zvaž možnosti jak pro místo vedení soudního řízení, tak zároveň s ohledem na následný výkon soudního rozhodnutí, jestliže by česká společnost povinnost ze soudního rozhodnutí nesplnila dobrovolně:</w:t>
      </w:r>
    </w:p>
    <w:p w14:paraId="23AE1EE1" w14:textId="569A710E" w:rsidR="00302A85" w:rsidRPr="00302A85" w:rsidRDefault="00302A85" w:rsidP="00302A85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nedoplatek je ve výši 12.500 € (a kupní smlouva obsahuje ustanovení, že kupní cena měla být placena na účet vedený u německé banky, pobočka Hamburk)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437BE">
        <w:rPr>
          <w:rFonts w:ascii="Arial" w:hAnsi="Arial" w:cs="Arial"/>
          <w:i/>
          <w:iCs/>
          <w:color w:val="000000" w:themeColor="text1"/>
          <w:sz w:val="20"/>
          <w:szCs w:val="20"/>
        </w:rPr>
        <w:t>Filák</w:t>
      </w:r>
      <w:proofErr w:type="spellEnd"/>
    </w:p>
    <w:p w14:paraId="69E36FC8" w14:textId="4C9E1252" w:rsidR="00302A85" w:rsidRPr="00302A85" w:rsidRDefault="00302A85" w:rsidP="00302A85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nedoplatek je ve výši 4.500 € (a kupní smlouva obsahuje ustanovení, že kupní cena měla být placena na účet vedený u německé banky, pobočka Hamburk)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437BE">
        <w:rPr>
          <w:rFonts w:ascii="Arial" w:hAnsi="Arial" w:cs="Arial"/>
          <w:i/>
          <w:iCs/>
          <w:color w:val="000000" w:themeColor="text1"/>
          <w:sz w:val="20"/>
          <w:szCs w:val="20"/>
        </w:rPr>
        <w:t>Dvořáčková</w:t>
      </w:r>
    </w:p>
    <w:p w14:paraId="554447E3" w14:textId="764F1244" w:rsidR="00302A85" w:rsidRPr="00302A85" w:rsidRDefault="00302A85" w:rsidP="00302A85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nedoplatek ve výši 12.500 € (kupní smlouva neobsahuje žádné ustanovení týkající se místa placení kupní ceny, pouze ustanovení o lhůtě splatnosti)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437BE">
        <w:rPr>
          <w:rFonts w:ascii="Arial" w:hAnsi="Arial" w:cs="Arial"/>
          <w:i/>
          <w:iCs/>
          <w:color w:val="000000" w:themeColor="text1"/>
          <w:sz w:val="20"/>
          <w:szCs w:val="20"/>
        </w:rPr>
        <w:t>Drappanová</w:t>
      </w:r>
      <w:proofErr w:type="spellEnd"/>
    </w:p>
    <w:p w14:paraId="3786AF73" w14:textId="484F3339" w:rsidR="00302A85" w:rsidRPr="00302A85" w:rsidRDefault="00F55F01" w:rsidP="00302A85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nedoplatek ve výši 4.500 € (</w:t>
      </w:r>
      <w:r w:rsidR="00302A85" w:rsidRPr="00302A85">
        <w:rPr>
          <w:rFonts w:ascii="Arial" w:hAnsi="Arial" w:cs="Arial"/>
          <w:color w:val="000000" w:themeColor="text1"/>
          <w:sz w:val="20"/>
          <w:szCs w:val="20"/>
        </w:rPr>
        <w:t>kupní smlouva neobsahuje žádné ustanovení týkající se místa placení kupní ceny, pouze ustanovení o lhůtě splatnosti)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437BE">
        <w:rPr>
          <w:rFonts w:ascii="Arial" w:hAnsi="Arial" w:cs="Arial"/>
          <w:i/>
          <w:iCs/>
          <w:color w:val="000000" w:themeColor="text1"/>
          <w:sz w:val="20"/>
          <w:szCs w:val="20"/>
        </w:rPr>
        <w:t>Dinošová</w:t>
      </w:r>
      <w:proofErr w:type="spellEnd"/>
    </w:p>
    <w:p w14:paraId="45059C67" w14:textId="25258D02" w:rsid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C9F5680" w14:textId="444E4A90" w:rsidR="00E521BE" w:rsidRDefault="00E521BE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A8F5AB8" w14:textId="77777777" w:rsidR="00E521BE" w:rsidRPr="00302A85" w:rsidRDefault="00E521BE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34DFC28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b/>
          <w:bCs/>
          <w:color w:val="000000" w:themeColor="text1"/>
          <w:sz w:val="20"/>
          <w:szCs w:val="20"/>
        </w:rPr>
        <w:t>Příklad 2</w:t>
      </w:r>
    </w:p>
    <w:p w14:paraId="61CF2AC0" w14:textId="515883CB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Společnost A z příkladu 1 převzala zboží a zaplatila kupní cenu. Převzaté zboží (místo dodání bylo v ČR) zakomponovala do vlastního finálního produktu, který dále prodávala v ČR a na Slovensku. Vzhledem k vadám finálního produktu byla nucena část produkce stáhnout (cca 3-4 měsíce po zahájení prodejů finálního produktu). S tvrzením, že důvodem vad finálního produktu jsou nedostatky dodaného zboží od společnosti B, nárokuje po ní způsobenou škodu</w:t>
      </w:r>
      <w:r w:rsidR="00F55F01">
        <w:rPr>
          <w:rFonts w:ascii="Arial" w:hAnsi="Arial" w:cs="Arial"/>
          <w:color w:val="000000" w:themeColor="text1"/>
          <w:sz w:val="20"/>
          <w:szCs w:val="20"/>
        </w:rPr>
        <w:t>.</w:t>
      </w:r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 Zároveň při obchodní komunikaci se svými obchodními partnery, aby minimalizovala dopad na svoji dobrou pověst, viní z vad finálního produktu jako subdodavatele právě německou společnost B. Ta s tvrzeními společnosti A nesouhlasí a hodlá se proti pomluvám bránit soudně. Informace potenciálně poškozující společnost B se </w:t>
      </w:r>
      <w:proofErr w:type="gramStart"/>
      <w:r w:rsidRPr="00302A85">
        <w:rPr>
          <w:rFonts w:ascii="Arial" w:hAnsi="Arial" w:cs="Arial"/>
          <w:color w:val="000000" w:themeColor="text1"/>
          <w:sz w:val="20"/>
          <w:szCs w:val="20"/>
        </w:rPr>
        <w:t>šíří</w:t>
      </w:r>
      <w:proofErr w:type="gramEnd"/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 v Česku, na Slovensku, v Německu a Rakousku.</w:t>
      </w:r>
    </w:p>
    <w:p w14:paraId="49B16867" w14:textId="79E63CB0" w:rsidR="00302A85" w:rsidRPr="00302A85" w:rsidRDefault="00302A85" w:rsidP="00302A85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Urči nástroj (opět s ohledem na následný výkon rozhodnutí) a sudiště pro žalobu společnosti A vůči společnosti B na náhradu škody ve výši 10.000 € za nutnost stažení části produkce.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437BE" w:rsidRPr="00C437BE">
        <w:rPr>
          <w:rFonts w:ascii="Arial" w:hAnsi="Arial" w:cs="Arial"/>
          <w:i/>
          <w:iCs/>
          <w:color w:val="000000" w:themeColor="text1"/>
          <w:sz w:val="20"/>
          <w:szCs w:val="20"/>
        </w:rPr>
        <w:t>Červinková</w:t>
      </w:r>
    </w:p>
    <w:p w14:paraId="3B217F8C" w14:textId="14040719" w:rsidR="00302A85" w:rsidRPr="00302A85" w:rsidRDefault="00302A85" w:rsidP="00302A85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Urči nástroj (opět s ohledem na následný výkon rozhodnutí) a sudiště pro žalobu společnosti B vůči společnosti A na náhradu škody za poškození dobrého jména ve výši 20.000 € v případě, kdy společnost A hanlivé informace </w:t>
      </w:r>
      <w:proofErr w:type="gramStart"/>
      <w:r w:rsidRPr="00302A85">
        <w:rPr>
          <w:rFonts w:ascii="Arial" w:hAnsi="Arial" w:cs="Arial"/>
          <w:color w:val="000000" w:themeColor="text1"/>
          <w:sz w:val="20"/>
          <w:szCs w:val="20"/>
        </w:rPr>
        <w:t>šíří</w:t>
      </w:r>
      <w:proofErr w:type="gramEnd"/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 prostřednictvím cílené emailové komunikace vůči vybraným obchodním partnerům v ČR, SR, Německu a Rakousku.</w:t>
      </w:r>
      <w:r w:rsidR="00087A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437BE">
        <w:rPr>
          <w:rFonts w:ascii="Arial" w:hAnsi="Arial" w:cs="Arial"/>
          <w:i/>
          <w:iCs/>
          <w:color w:val="000000" w:themeColor="text1"/>
          <w:sz w:val="20"/>
          <w:szCs w:val="20"/>
        </w:rPr>
        <w:t>Buba</w:t>
      </w:r>
    </w:p>
    <w:p w14:paraId="0F26F5D4" w14:textId="20CB4144" w:rsidR="00302A85" w:rsidRPr="00302A85" w:rsidRDefault="00302A85" w:rsidP="00302A85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Urči nástroj (opět s ohledem na následný výkon rozhodnutí) a sudiště pro žalobu společnosti B vůči společnosti A na náhradu škody za poškození dobrého jména ve výši 20.000 € v případě, kdy společnost A hanlivé informace </w:t>
      </w:r>
      <w:proofErr w:type="gramStart"/>
      <w:r w:rsidRPr="00302A85">
        <w:rPr>
          <w:rFonts w:ascii="Arial" w:hAnsi="Arial" w:cs="Arial"/>
          <w:color w:val="000000" w:themeColor="text1"/>
          <w:sz w:val="20"/>
          <w:szCs w:val="20"/>
        </w:rPr>
        <w:t>šíří</w:t>
      </w:r>
      <w:proofErr w:type="gramEnd"/>
      <w:r w:rsidRPr="00302A85">
        <w:rPr>
          <w:rFonts w:ascii="Arial" w:hAnsi="Arial" w:cs="Arial"/>
          <w:color w:val="000000" w:themeColor="text1"/>
          <w:sz w:val="20"/>
          <w:szCs w:val="20"/>
        </w:rPr>
        <w:t xml:space="preserve"> prostřednictvím svého FB profilu, na kterém informace uveřejňuje jak v češtině, tak angličtině. </w:t>
      </w:r>
      <w:proofErr w:type="spellStart"/>
      <w:r w:rsidR="00C437BE">
        <w:rPr>
          <w:rFonts w:ascii="Arial" w:hAnsi="Arial" w:cs="Arial"/>
          <w:i/>
          <w:iCs/>
          <w:color w:val="000000" w:themeColor="text1"/>
          <w:sz w:val="20"/>
          <w:szCs w:val="20"/>
        </w:rPr>
        <w:t>Broža</w:t>
      </w:r>
      <w:proofErr w:type="spellEnd"/>
    </w:p>
    <w:p w14:paraId="66DBE181" w14:textId="77777777" w:rsid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4B182EE" w14:textId="512A6CAA" w:rsidR="00302A85" w:rsidRPr="00F05B2D" w:rsidRDefault="00302A85" w:rsidP="00302A85">
      <w:pPr>
        <w:spacing w:line="276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b/>
          <w:bCs/>
          <w:color w:val="000000" w:themeColor="text1"/>
          <w:sz w:val="20"/>
          <w:szCs w:val="20"/>
        </w:rPr>
        <w:t>Příklad 3</w:t>
      </w:r>
      <w:r w:rsidR="00F05B2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C437BE">
        <w:rPr>
          <w:rFonts w:ascii="Arial" w:hAnsi="Arial" w:cs="Arial"/>
          <w:i/>
          <w:iCs/>
          <w:color w:val="000000" w:themeColor="text1"/>
          <w:sz w:val="20"/>
          <w:szCs w:val="20"/>
        </w:rPr>
        <w:t>Bocková</w:t>
      </w:r>
      <w:proofErr w:type="spellEnd"/>
    </w:p>
    <w:p w14:paraId="08F8D827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Předpokládej, že společnost B zahájila řízení pro situaci popsanou v příkladu 2 c) v Německu a získala německé rozhodnutí přikazující české společnosti A zaplatit částku 20.000 € a náklady na právní zastoupení. Toto rozhodnutí se v Německu stalo vykonatelné. Česká společnost A ovšem odmítá zaplatit. Analyzuj kroky společnosti B, které jsou nutné k tomu, aby bylo možné povinnost stanovenou německým rozhodnutím vykonat v ČR, a to:</w:t>
      </w:r>
    </w:p>
    <w:p w14:paraId="4D891507" w14:textId="1009A277" w:rsidR="00302A85" w:rsidRPr="00302A85" w:rsidRDefault="00302A85" w:rsidP="00302A85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Jestliže by řízení v Německu bylo zahájeno 15. prosince 2014</w:t>
      </w:r>
    </w:p>
    <w:p w14:paraId="1EF8849D" w14:textId="7342D7DE" w:rsidR="00302A85" w:rsidRPr="00302A85" w:rsidRDefault="00302A85" w:rsidP="00302A85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Jestliže by řízení v Německu bylo zahájeno 15. ledna 2015</w:t>
      </w:r>
    </w:p>
    <w:p w14:paraId="3F04310F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EDAE4DE" w14:textId="178BAD8E" w:rsidR="00302A85" w:rsidRPr="00F05B2D" w:rsidRDefault="00302A85" w:rsidP="00302A85">
      <w:pPr>
        <w:spacing w:line="276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b/>
          <w:bCs/>
          <w:color w:val="000000" w:themeColor="text1"/>
          <w:sz w:val="20"/>
          <w:szCs w:val="20"/>
        </w:rPr>
        <w:t>Příklad 4</w:t>
      </w:r>
      <w:r w:rsidR="00F05B2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C437BE">
        <w:rPr>
          <w:rFonts w:ascii="Arial" w:hAnsi="Arial" w:cs="Arial"/>
          <w:i/>
          <w:iCs/>
          <w:color w:val="000000" w:themeColor="text1"/>
          <w:sz w:val="20"/>
          <w:szCs w:val="20"/>
        </w:rPr>
        <w:t>Anděl</w:t>
      </w:r>
    </w:p>
    <w:p w14:paraId="4E8AD903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Předpokládej, že situace popsaná v příkladu 3 se týká švýcarské společnosti, která řízení zahájila ve Švýcarsku. Analyzuj kroky společnosti B v takovém případě.</w:t>
      </w:r>
    </w:p>
    <w:p w14:paraId="3FB4230E" w14:textId="77777777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CB19731" w14:textId="63D2967A" w:rsidR="00302A85" w:rsidRPr="00F05B2D" w:rsidRDefault="00302A85" w:rsidP="00302A85">
      <w:pPr>
        <w:spacing w:line="276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b/>
          <w:bCs/>
          <w:color w:val="000000" w:themeColor="text1"/>
          <w:sz w:val="20"/>
          <w:szCs w:val="20"/>
        </w:rPr>
        <w:t>Příklad 5</w:t>
      </w:r>
      <w:r w:rsidR="00F05B2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614225B0" w14:textId="44021B1A" w:rsidR="00302A85" w:rsidRPr="00302A85" w:rsidRDefault="00302A85" w:rsidP="00302A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2A85">
        <w:rPr>
          <w:rFonts w:ascii="Arial" w:hAnsi="Arial" w:cs="Arial"/>
          <w:color w:val="000000" w:themeColor="text1"/>
          <w:sz w:val="20"/>
          <w:szCs w:val="20"/>
        </w:rPr>
        <w:t>Předpokládej, že situace popsaná v příkladu 3 se týká turecké společnosti, která řízení zahájila v Turecku. Analyzuj kroky společnosti B v takovém případě.</w:t>
      </w:r>
    </w:p>
    <w:sectPr w:rsidR="00302A85" w:rsidRPr="00302A85" w:rsidSect="00FF75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361" w:bottom="1702" w:left="1361" w:header="0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567BD" w14:textId="77777777" w:rsidR="0013796B" w:rsidRDefault="0013796B">
      <w:r>
        <w:separator/>
      </w:r>
    </w:p>
  </w:endnote>
  <w:endnote w:type="continuationSeparator" w:id="0">
    <w:p w14:paraId="1B01BC14" w14:textId="77777777" w:rsidR="0013796B" w:rsidRDefault="0013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4BDE" w14:textId="77777777" w:rsidR="00DD543A" w:rsidRDefault="00DD54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A06B" w14:textId="7197BC22" w:rsidR="00F23341" w:rsidRDefault="00F23341" w:rsidP="00F23341">
    <w:pPr>
      <w:pStyle w:val="Zpat-univerzita4dkyadresy"/>
    </w:pPr>
    <w:r w:rsidRPr="00883690">
      <w:t>Masarykova univerzita, Právnická fakulta</w:t>
    </w:r>
  </w:p>
  <w:p w14:paraId="28FE1020" w14:textId="77777777" w:rsidR="00F23341" w:rsidRPr="003E1EB5" w:rsidRDefault="00F23341" w:rsidP="00F23341">
    <w:pPr>
      <w:pStyle w:val="Zpat"/>
    </w:pPr>
  </w:p>
  <w:p w14:paraId="35BD5AA4" w14:textId="77777777" w:rsidR="00F23341" w:rsidRPr="00883690" w:rsidRDefault="00F23341" w:rsidP="00F23341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2C4B836A" w14:textId="12AA51C5" w:rsidR="00211F80" w:rsidRPr="00F23341" w:rsidRDefault="00F23341" w:rsidP="00F23341">
    <w:pPr>
      <w:pStyle w:val="Zpatsslovnmstrnky"/>
      <w:rPr>
        <w:rStyle w:val="slovnstran"/>
        <w:sz w:val="16"/>
        <w:szCs w:val="14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5F01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C437BE">
      <w:rPr>
        <w:rStyle w:val="slovnstran"/>
        <w:noProof/>
      </w:rPr>
      <w:t>2</w:t>
    </w:r>
    <w:r w:rsidRPr="00F53B0F">
      <w:rPr>
        <w:rStyle w:val="slovnstran"/>
      </w:rPr>
      <w:fldChar w:fldCharType="end"/>
    </w:r>
    <w:r>
      <w:tab/>
    </w:r>
    <w:r w:rsidRPr="00883690">
      <w:t>T: +420 549 49 1211, E: info@law.muni.cz, www.law.muni.cz</w:t>
    </w:r>
    <w:r w:rsidRPr="005D1F8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98ED" w14:textId="27006A46" w:rsidR="00CA321A" w:rsidRPr="00DD543A" w:rsidRDefault="00883690" w:rsidP="00D54496">
    <w:pPr>
      <w:pStyle w:val="Zpat-univerzita4dkyadresy"/>
      <w:rPr>
        <w:color w:val="0000DC"/>
      </w:rPr>
    </w:pPr>
    <w:r w:rsidRPr="00DD543A">
      <w:rPr>
        <w:color w:val="0000DC"/>
      </w:rPr>
      <w:t>Masarykova univerzita, Právnická fakulta</w:t>
    </w:r>
  </w:p>
  <w:p w14:paraId="0E8AE6D1" w14:textId="77777777" w:rsidR="00883690" w:rsidRPr="00DD543A" w:rsidRDefault="00883690" w:rsidP="00883690">
    <w:pPr>
      <w:pStyle w:val="Zpat"/>
      <w:rPr>
        <w:rFonts w:cs="Arial"/>
        <w:color w:val="0000DC"/>
        <w:szCs w:val="14"/>
      </w:rPr>
    </w:pPr>
    <w:r w:rsidRPr="00DD543A">
      <w:rPr>
        <w:rFonts w:cs="Arial"/>
        <w:color w:val="0000DC"/>
        <w:szCs w:val="14"/>
      </w:rPr>
      <w:t>Veveří 158/70, 611 80 Brno, Česká republika</w:t>
    </w:r>
  </w:p>
  <w:p w14:paraId="01C58EAF" w14:textId="7CC8F5D3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5F01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C437BE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  <w:r w:rsidR="006919ED" w:rsidRPr="00DD543A">
      <w:rPr>
        <w:color w:val="0000DC"/>
      </w:rPr>
      <w:t xml:space="preserve">T: +420 549 49 1211, E: info@law.muni.cz, www.law.muni.cz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BFB41" w14:textId="77777777" w:rsidR="0013796B" w:rsidRDefault="0013796B">
      <w:r>
        <w:separator/>
      </w:r>
    </w:p>
  </w:footnote>
  <w:footnote w:type="continuationSeparator" w:id="0">
    <w:p w14:paraId="6AE105E0" w14:textId="77777777" w:rsidR="0013796B" w:rsidRDefault="00137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AAF9" w14:textId="77777777" w:rsidR="00DD543A" w:rsidRDefault="00DD54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4F99" w14:textId="77777777" w:rsidR="00DD543A" w:rsidRDefault="00DD543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14E5" w14:textId="51B11236" w:rsidR="00D4417E" w:rsidRPr="006E7DD3" w:rsidRDefault="00DD543A" w:rsidP="006E7DD3">
    <w:pPr>
      <w:pStyle w:val="Zhlav"/>
    </w:pPr>
    <w:r>
      <w:rPr>
        <w:noProof/>
      </w:rPr>
      <w:drawing>
        <wp:anchor distT="0" distB="360045" distL="114300" distR="114300" simplePos="0" relativeHeight="251660800" behindDoc="1" locked="1" layoutInCell="1" allowOverlap="1" wp14:anchorId="1DC77288" wp14:editId="11147DB5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39600" cy="6480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E4CF5"/>
    <w:multiLevelType w:val="hybridMultilevel"/>
    <w:tmpl w:val="712ADF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F258B"/>
    <w:multiLevelType w:val="hybridMultilevel"/>
    <w:tmpl w:val="E3747E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218D"/>
    <w:multiLevelType w:val="hybridMultilevel"/>
    <w:tmpl w:val="B78612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A5452"/>
    <w:multiLevelType w:val="hybridMultilevel"/>
    <w:tmpl w:val="2EF4D6D4"/>
    <w:lvl w:ilvl="0" w:tplc="0C50DA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F6775"/>
    <w:multiLevelType w:val="hybridMultilevel"/>
    <w:tmpl w:val="75526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97CF1"/>
    <w:multiLevelType w:val="hybridMultilevel"/>
    <w:tmpl w:val="0E924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91173"/>
    <w:multiLevelType w:val="hybridMultilevel"/>
    <w:tmpl w:val="87DEF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E73A1"/>
    <w:multiLevelType w:val="hybridMultilevel"/>
    <w:tmpl w:val="69AC4AD2"/>
    <w:lvl w:ilvl="0" w:tplc="878694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19391343">
    <w:abstractNumId w:val="4"/>
  </w:num>
  <w:num w:numId="2" w16cid:durableId="1856771386">
    <w:abstractNumId w:val="1"/>
  </w:num>
  <w:num w:numId="3" w16cid:durableId="4283042">
    <w:abstractNumId w:val="5"/>
  </w:num>
  <w:num w:numId="4" w16cid:durableId="1716663667">
    <w:abstractNumId w:val="0"/>
  </w:num>
  <w:num w:numId="5" w16cid:durableId="23871253">
    <w:abstractNumId w:val="9"/>
  </w:num>
  <w:num w:numId="6" w16cid:durableId="884412612">
    <w:abstractNumId w:val="2"/>
  </w:num>
  <w:num w:numId="7" w16cid:durableId="732851785">
    <w:abstractNumId w:val="3"/>
  </w:num>
  <w:num w:numId="8" w16cid:durableId="1805073546">
    <w:abstractNumId w:val="6"/>
  </w:num>
  <w:num w:numId="9" w16cid:durableId="1804422882">
    <w:abstractNumId w:val="8"/>
  </w:num>
  <w:num w:numId="10" w16cid:durableId="1267083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99"/>
    <w:rsid w:val="00003AEB"/>
    <w:rsid w:val="000218B9"/>
    <w:rsid w:val="000306AF"/>
    <w:rsid w:val="00042835"/>
    <w:rsid w:val="00086D29"/>
    <w:rsid w:val="00087AAE"/>
    <w:rsid w:val="000A5AD7"/>
    <w:rsid w:val="000C6547"/>
    <w:rsid w:val="000D1FB2"/>
    <w:rsid w:val="000D6975"/>
    <w:rsid w:val="000F6900"/>
    <w:rsid w:val="001300AC"/>
    <w:rsid w:val="0013516D"/>
    <w:rsid w:val="00136356"/>
    <w:rsid w:val="0013796B"/>
    <w:rsid w:val="00142099"/>
    <w:rsid w:val="00150B9D"/>
    <w:rsid w:val="00152F82"/>
    <w:rsid w:val="00157ACD"/>
    <w:rsid w:val="001636D3"/>
    <w:rsid w:val="00193F85"/>
    <w:rsid w:val="001A7E64"/>
    <w:rsid w:val="001B7010"/>
    <w:rsid w:val="001F3E76"/>
    <w:rsid w:val="0021143E"/>
    <w:rsid w:val="00211F80"/>
    <w:rsid w:val="00221B36"/>
    <w:rsid w:val="00227BC5"/>
    <w:rsid w:val="00231021"/>
    <w:rsid w:val="00247E5F"/>
    <w:rsid w:val="00253D2A"/>
    <w:rsid w:val="00266668"/>
    <w:rsid w:val="00281ABA"/>
    <w:rsid w:val="002879AE"/>
    <w:rsid w:val="002A469F"/>
    <w:rsid w:val="002A52F4"/>
    <w:rsid w:val="002B6D09"/>
    <w:rsid w:val="002C0A32"/>
    <w:rsid w:val="002C33A9"/>
    <w:rsid w:val="002D69EE"/>
    <w:rsid w:val="002E764E"/>
    <w:rsid w:val="00302A85"/>
    <w:rsid w:val="00304F72"/>
    <w:rsid w:val="00310D63"/>
    <w:rsid w:val="00323952"/>
    <w:rsid w:val="00332338"/>
    <w:rsid w:val="00342316"/>
    <w:rsid w:val="0036682E"/>
    <w:rsid w:val="00371A95"/>
    <w:rsid w:val="00372A1B"/>
    <w:rsid w:val="00380A0F"/>
    <w:rsid w:val="00384C75"/>
    <w:rsid w:val="00386A5A"/>
    <w:rsid w:val="00394B2D"/>
    <w:rsid w:val="003C2B73"/>
    <w:rsid w:val="003D2D99"/>
    <w:rsid w:val="003D4425"/>
    <w:rsid w:val="003E1EB5"/>
    <w:rsid w:val="003F2066"/>
    <w:rsid w:val="004055F9"/>
    <w:rsid w:val="004067DE"/>
    <w:rsid w:val="0041218C"/>
    <w:rsid w:val="00421B09"/>
    <w:rsid w:val="0042387A"/>
    <w:rsid w:val="004623A9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00D8D"/>
    <w:rsid w:val="00611EAC"/>
    <w:rsid w:val="00616507"/>
    <w:rsid w:val="006509F1"/>
    <w:rsid w:val="00652548"/>
    <w:rsid w:val="00653BC4"/>
    <w:rsid w:val="0067390A"/>
    <w:rsid w:val="006919ED"/>
    <w:rsid w:val="006A39DF"/>
    <w:rsid w:val="006D0AE9"/>
    <w:rsid w:val="006E7DD3"/>
    <w:rsid w:val="006F29D4"/>
    <w:rsid w:val="00700BDD"/>
    <w:rsid w:val="00702F1D"/>
    <w:rsid w:val="00710003"/>
    <w:rsid w:val="00721AA4"/>
    <w:rsid w:val="007272DA"/>
    <w:rsid w:val="0073428B"/>
    <w:rsid w:val="00742A86"/>
    <w:rsid w:val="007462A5"/>
    <w:rsid w:val="00756259"/>
    <w:rsid w:val="00767E6F"/>
    <w:rsid w:val="00775DB9"/>
    <w:rsid w:val="007814A2"/>
    <w:rsid w:val="0078229B"/>
    <w:rsid w:val="00790002"/>
    <w:rsid w:val="0079758E"/>
    <w:rsid w:val="007C2FE6"/>
    <w:rsid w:val="007C738C"/>
    <w:rsid w:val="007D77E7"/>
    <w:rsid w:val="007E3048"/>
    <w:rsid w:val="00800784"/>
    <w:rsid w:val="00810299"/>
    <w:rsid w:val="0081281C"/>
    <w:rsid w:val="00824279"/>
    <w:rsid w:val="008300B3"/>
    <w:rsid w:val="00832654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66156"/>
    <w:rsid w:val="009929DF"/>
    <w:rsid w:val="00993F65"/>
    <w:rsid w:val="009A05B9"/>
    <w:rsid w:val="009F27E4"/>
    <w:rsid w:val="00A02235"/>
    <w:rsid w:val="00A27490"/>
    <w:rsid w:val="00A30A5C"/>
    <w:rsid w:val="00A63644"/>
    <w:rsid w:val="00A67327"/>
    <w:rsid w:val="00A71A6E"/>
    <w:rsid w:val="00AB451F"/>
    <w:rsid w:val="00AC2D36"/>
    <w:rsid w:val="00AC6B6B"/>
    <w:rsid w:val="00AD4F8E"/>
    <w:rsid w:val="00B345FE"/>
    <w:rsid w:val="00B43F1E"/>
    <w:rsid w:val="00B44F80"/>
    <w:rsid w:val="00B904AA"/>
    <w:rsid w:val="00BC1CE3"/>
    <w:rsid w:val="00BF1592"/>
    <w:rsid w:val="00BF7984"/>
    <w:rsid w:val="00C06373"/>
    <w:rsid w:val="00C20847"/>
    <w:rsid w:val="00C32E71"/>
    <w:rsid w:val="00C3745F"/>
    <w:rsid w:val="00C437BE"/>
    <w:rsid w:val="00C44C72"/>
    <w:rsid w:val="00C66A60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2A3D"/>
    <w:rsid w:val="00D54496"/>
    <w:rsid w:val="00D65140"/>
    <w:rsid w:val="00D80C2F"/>
    <w:rsid w:val="00D84EC1"/>
    <w:rsid w:val="00D87462"/>
    <w:rsid w:val="00DB0117"/>
    <w:rsid w:val="00DB335A"/>
    <w:rsid w:val="00DD543A"/>
    <w:rsid w:val="00DE3F4E"/>
    <w:rsid w:val="00DE590E"/>
    <w:rsid w:val="00E022B1"/>
    <w:rsid w:val="00E02F97"/>
    <w:rsid w:val="00E05F2B"/>
    <w:rsid w:val="00E26CA3"/>
    <w:rsid w:val="00E43F09"/>
    <w:rsid w:val="00E521BE"/>
    <w:rsid w:val="00E7057E"/>
    <w:rsid w:val="00E760BF"/>
    <w:rsid w:val="00E84342"/>
    <w:rsid w:val="00EB0CFF"/>
    <w:rsid w:val="00EB1CD6"/>
    <w:rsid w:val="00EC5E99"/>
    <w:rsid w:val="00EC6F09"/>
    <w:rsid w:val="00EC70A0"/>
    <w:rsid w:val="00EF1356"/>
    <w:rsid w:val="00F02D6F"/>
    <w:rsid w:val="00F05B2D"/>
    <w:rsid w:val="00F1232B"/>
    <w:rsid w:val="00F15F08"/>
    <w:rsid w:val="00F23341"/>
    <w:rsid w:val="00F25757"/>
    <w:rsid w:val="00F32999"/>
    <w:rsid w:val="00F379E5"/>
    <w:rsid w:val="00F53B0F"/>
    <w:rsid w:val="00F55F01"/>
    <w:rsid w:val="00F65574"/>
    <w:rsid w:val="00F76880"/>
    <w:rsid w:val="00F870DB"/>
    <w:rsid w:val="00FA10BD"/>
    <w:rsid w:val="00FC2768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60C1"/>
  <w15:docId w15:val="{CDCFC306-E1E8-4296-8438-2EF192B4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D99"/>
    <w:pPr>
      <w:tabs>
        <w:tab w:val="left" w:pos="3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qFormat/>
    <w:rsid w:val="003D2D99"/>
    <w:pPr>
      <w:outlineLvl w:val="1"/>
    </w:pPr>
    <w:rPr>
      <w:sz w:val="32"/>
      <w:szCs w:val="32"/>
    </w:r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3D2D99"/>
    <w:pPr>
      <w:keepNext/>
      <w:spacing w:before="240" w:after="120"/>
    </w:pPr>
    <w:rPr>
      <w:rFonts w:ascii="Liberation Sans" w:eastAsia="Microsoft YaHei" w:hAnsi="Liberation Sans" w:cs="Mangal"/>
      <w:sz w:val="36"/>
      <w:szCs w:val="36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rsid w:val="003D2D99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stabultorem">
    <w:name w:val="Položka s tabulátorem"/>
    <w:basedOn w:val="Normln"/>
    <w:link w:val="PolokastabultoremChar"/>
    <w:qFormat/>
    <w:rsid w:val="003D2D99"/>
    <w:pPr>
      <w:tabs>
        <w:tab w:val="clear" w:pos="340"/>
        <w:tab w:val="right" w:leader="dot" w:pos="9639"/>
      </w:tabs>
    </w:pPr>
  </w:style>
  <w:style w:type="character" w:customStyle="1" w:styleId="PolokastabultoremChar">
    <w:name w:val="Položka s tabulátorem Char"/>
    <w:link w:val="Polokastabultore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ka">
    <w:name w:val="Položka"/>
    <w:basedOn w:val="Polokastabultorem"/>
    <w:link w:val="PolokaChar"/>
    <w:qFormat/>
    <w:rsid w:val="003D2D99"/>
    <w:rPr>
      <w:b/>
    </w:rPr>
  </w:style>
  <w:style w:type="character" w:customStyle="1" w:styleId="PolokaChar">
    <w:name w:val="Položka Char"/>
    <w:link w:val="Poloka"/>
    <w:rsid w:val="003D2D9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form">
    <w:name w:val="form"/>
    <w:basedOn w:val="Normln"/>
    <w:link w:val="formChar"/>
    <w:qFormat/>
    <w:rsid w:val="003D2D99"/>
    <w:pPr>
      <w:ind w:left="240"/>
      <w:jc w:val="both"/>
    </w:pPr>
  </w:style>
  <w:style w:type="character" w:customStyle="1" w:styleId="formChar">
    <w:name w:val="form Char"/>
    <w:link w:val="for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D2D99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FF75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5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2A3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E71"/>
    <w:rPr>
      <w:color w:val="605E5C"/>
      <w:shd w:val="clear" w:color="auto" w:fill="E1DFDD"/>
    </w:rPr>
  </w:style>
  <w:style w:type="paragraph" w:customStyle="1" w:styleId="Vchoz">
    <w:name w:val="Výchozí"/>
    <w:rsid w:val="0081281C"/>
    <w:pPr>
      <w:tabs>
        <w:tab w:val="left" w:pos="708"/>
      </w:tabs>
      <w:suppressAutoHyphens/>
      <w:spacing w:after="200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OneDrive%20&#8211;%20Masarykova%20univerzita\&#268;PVP\pr&#225;zdn&#225;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2FD4B-890E-46C5-8C0E-EB73B742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C:\Users\milan\OneDrive – Masarykova univerzita\ČPVP\prázdná šablona.dotx</Template>
  <TotalTime>3</TotalTime>
  <Pages>2</Pages>
  <Words>817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Milan Kolka</dc:creator>
  <cp:lastModifiedBy>Jiří Valdhans</cp:lastModifiedBy>
  <cp:revision>2</cp:revision>
  <cp:lastPrinted>2019-04-23T07:36:00Z</cp:lastPrinted>
  <dcterms:created xsi:type="dcterms:W3CDTF">2022-04-08T09:24:00Z</dcterms:created>
  <dcterms:modified xsi:type="dcterms:W3CDTF">2022-04-08T09:24:00Z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