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B85DB" w14:textId="071729DF" w:rsidR="00053C89" w:rsidRPr="004C2707" w:rsidRDefault="00133896">
      <w:pPr>
        <w:rPr>
          <w:rFonts w:ascii="Liberation Sans" w:hAnsi="Liberation Sans" w:cs="Liberation Sans"/>
          <w:b/>
          <w:color w:val="333300"/>
          <w:sz w:val="36"/>
          <w:szCs w:val="36"/>
        </w:rPr>
      </w:pPr>
      <w:r w:rsidRPr="004C2707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>Seminá</w:t>
      </w:r>
      <w:r w:rsidR="005A3376" w:rsidRPr="004C2707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>rní úkol</w:t>
      </w:r>
      <w:r w:rsidR="00FC573B" w:rsidRPr="004C2707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 xml:space="preserve"> č. </w:t>
      </w:r>
      <w:r w:rsidR="001C12E2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>2</w:t>
      </w:r>
      <w:bookmarkStart w:id="0" w:name="_GoBack"/>
      <w:bookmarkEnd w:id="0"/>
      <w:r w:rsidR="00FC573B" w:rsidRPr="004C2707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 xml:space="preserve"> </w:t>
      </w:r>
      <w:r w:rsidR="004F248A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>–</w:t>
      </w:r>
      <w:r w:rsidR="00FC573B" w:rsidRPr="004C2707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 xml:space="preserve"> 20</w:t>
      </w:r>
      <w:r w:rsidR="003E068E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>2</w:t>
      </w:r>
      <w:r w:rsidR="003218D6" w:rsidRPr="003218D6">
        <w:rPr>
          <w:rFonts w:ascii="Liberation Sans" w:hAnsi="Liberation Sans" w:cs="Liberation Sans"/>
          <w:b/>
          <w:color w:val="003366"/>
          <w:sz w:val="36"/>
          <w:szCs w:val="36"/>
          <w:highlight w:val="yellow"/>
        </w:rPr>
        <w:t>2</w:t>
      </w:r>
    </w:p>
    <w:p w14:paraId="32AAFF79" w14:textId="77777777" w:rsidR="00053C89" w:rsidRPr="004C2707" w:rsidRDefault="00053C89">
      <w:pPr>
        <w:rPr>
          <w:rFonts w:ascii="Liberation Sans" w:hAnsi="Liberation Sans" w:cs="Liberation Sans"/>
          <w:color w:val="333300"/>
          <w:sz w:val="28"/>
          <w:szCs w:val="28"/>
        </w:rPr>
      </w:pPr>
    </w:p>
    <w:p w14:paraId="6517816C" w14:textId="1BB3C63D" w:rsidR="002828DF" w:rsidRPr="004C2707" w:rsidRDefault="002828DF">
      <w:pPr>
        <w:spacing w:before="113"/>
        <w:rPr>
          <w:rFonts w:ascii="Liberation Sans" w:hAnsi="Liberation Sans" w:cs="Liberation Sans"/>
          <w:b/>
          <w:bCs/>
          <w:color w:val="C00000"/>
          <w:sz w:val="28"/>
          <w:szCs w:val="28"/>
        </w:rPr>
      </w:pPr>
      <w:r w:rsidRPr="004C2707">
        <w:rPr>
          <w:rFonts w:ascii="Liberation Sans" w:hAnsi="Liberation Sans" w:cs="Liberation Sans"/>
          <w:b/>
          <w:bCs/>
          <w:color w:val="C00000"/>
          <w:sz w:val="28"/>
          <w:szCs w:val="28"/>
        </w:rPr>
        <w:t xml:space="preserve">ODPOVĚZTE </w:t>
      </w:r>
      <w:r w:rsidR="00AF0E8E">
        <w:rPr>
          <w:rFonts w:ascii="Liberation Sans" w:hAnsi="Liberation Sans" w:cs="Liberation Sans"/>
          <w:b/>
          <w:bCs/>
          <w:color w:val="C00000"/>
          <w:sz w:val="28"/>
          <w:szCs w:val="28"/>
        </w:rPr>
        <w:t xml:space="preserve">PÍSEMNĚ </w:t>
      </w:r>
      <w:r w:rsidRPr="004C2707">
        <w:rPr>
          <w:rFonts w:ascii="Liberation Sans" w:hAnsi="Liberation Sans" w:cs="Liberation Sans"/>
          <w:b/>
          <w:bCs/>
          <w:color w:val="C00000"/>
          <w:sz w:val="28"/>
          <w:szCs w:val="28"/>
        </w:rPr>
        <w:t xml:space="preserve">NA NÁSLEDUJÍCÍ OTÁZKY </w:t>
      </w:r>
    </w:p>
    <w:p w14:paraId="51CCFC7A" w14:textId="77777777" w:rsidR="002828DF" w:rsidRDefault="002828DF">
      <w:pPr>
        <w:spacing w:before="113"/>
        <w:rPr>
          <w:rFonts w:ascii="Liberation Sans" w:hAnsi="Liberation Sans" w:cs="Liberation Sans"/>
          <w:b/>
          <w:bCs/>
          <w:color w:val="333300"/>
          <w:sz w:val="26"/>
          <w:szCs w:val="26"/>
        </w:rPr>
      </w:pPr>
    </w:p>
    <w:p w14:paraId="3FFEB1E8" w14:textId="5A7C5359" w:rsidR="00053C89" w:rsidRDefault="00053C89">
      <w:pPr>
        <w:spacing w:before="113"/>
        <w:rPr>
          <w:rFonts w:ascii="Arial" w:hAnsi="Arial" w:cs="Arial"/>
          <w:b/>
          <w:bCs/>
          <w:color w:val="333300"/>
          <w:sz w:val="26"/>
          <w:szCs w:val="26"/>
        </w:rPr>
      </w:pPr>
      <w:r w:rsidRPr="00486B60">
        <w:rPr>
          <w:rFonts w:ascii="Arial Black" w:hAnsi="Arial Black" w:cs="Arial"/>
          <w:b/>
          <w:bCs/>
          <w:color w:val="333300"/>
          <w:sz w:val="48"/>
          <w:szCs w:val="48"/>
        </w:rPr>
        <w:t>1.</w:t>
      </w:r>
      <w:r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 Je možná aplikace Vídeňské úmluvy o smluvním právu vůči Francii, byť není smluvní stranou (kvůli definici ius cogens</w:t>
      </w:r>
      <w:r w:rsid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 v čl. 53</w:t>
      </w:r>
      <w:r w:rsidRPr="002828DF">
        <w:rPr>
          <w:rFonts w:ascii="Arial" w:hAnsi="Arial" w:cs="Arial"/>
          <w:b/>
          <w:bCs/>
          <w:color w:val="333300"/>
          <w:sz w:val="26"/>
          <w:szCs w:val="26"/>
        </w:rPr>
        <w:t>, kterou nesdílí)?</w:t>
      </w:r>
    </w:p>
    <w:p w14:paraId="6E967045" w14:textId="14EAF86A" w:rsidR="00C65F93" w:rsidRDefault="00C65F93">
      <w:pPr>
        <w:spacing w:before="113"/>
        <w:rPr>
          <w:rFonts w:ascii="Calibri" w:hAnsi="Calibri" w:cs="Calibri"/>
          <w:color w:val="0000FF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00"/>
          <w:sz w:val="26"/>
          <w:szCs w:val="26"/>
        </w:rPr>
        <w:t xml:space="preserve">Souhlasíte s následující vyvratitelnou domněnkou prof. Malenovského, kterou formuloval na přednášce? </w:t>
      </w:r>
      <w:r w:rsidRPr="00C65F93">
        <w:rPr>
          <w:rFonts w:ascii="Arial" w:hAnsi="Arial" w:cs="Arial"/>
          <w:bCs/>
          <w:color w:val="0000FF"/>
          <w:sz w:val="26"/>
          <w:szCs w:val="26"/>
        </w:rPr>
        <w:t>„V</w:t>
      </w:r>
      <w:r w:rsidRPr="00C65F93">
        <w:rPr>
          <w:rFonts w:ascii="Calibri" w:hAnsi="Calibri" w:cs="Calibri"/>
          <w:color w:val="0000FF"/>
          <w:sz w:val="28"/>
          <w:szCs w:val="28"/>
          <w:shd w:val="clear" w:color="auto" w:fill="FFFFFF"/>
        </w:rPr>
        <w:t>eškerý obsah dostatečně ratifikované kodifikační úmluvy (většina mez.společenství), platné po několik desítek let (což je většina takových úmluv</w:t>
      </w:r>
      <w:r>
        <w:rPr>
          <w:rFonts w:ascii="Calibri" w:hAnsi="Calibri" w:cs="Calibri"/>
          <w:color w:val="0000FF"/>
          <w:sz w:val="28"/>
          <w:szCs w:val="28"/>
          <w:shd w:val="clear" w:color="auto" w:fill="FFFFFF"/>
        </w:rPr>
        <w:t xml:space="preserve"> včetně Víd. úmluvy o smluvním právu</w:t>
      </w:r>
      <w:r w:rsidRPr="00C65F93">
        <w:rPr>
          <w:rFonts w:ascii="Calibri" w:hAnsi="Calibri" w:cs="Calibri"/>
          <w:color w:val="0000FF"/>
          <w:sz w:val="28"/>
          <w:szCs w:val="28"/>
          <w:shd w:val="clear" w:color="auto" w:fill="FFFFFF"/>
        </w:rPr>
        <w:t>) je součástí obyčejového obecného mez.práva, přičemž, čím větší je počet smluvních stran a čím déle úmluva existuje, tím je domněnka přesvědčivější. Vyvrátit ji může jen důkaz o nesouhlasné praxi států, které nejsou stranami kodifikační úmluvy (důkaz negativní, nesouhlasné praxe).“</w:t>
      </w:r>
      <w:r>
        <w:rPr>
          <w:rFonts w:ascii="Calibri" w:hAnsi="Calibri" w:cs="Calibri"/>
          <w:color w:val="0000FF"/>
          <w:sz w:val="28"/>
          <w:szCs w:val="28"/>
          <w:shd w:val="clear" w:color="auto" w:fill="FFFFFF"/>
        </w:rPr>
        <w:t xml:space="preserve"> </w:t>
      </w:r>
    </w:p>
    <w:p w14:paraId="1548A8F7" w14:textId="6FDDADDA" w:rsidR="00C65F93" w:rsidRPr="00C65F93" w:rsidRDefault="00C65F93">
      <w:pPr>
        <w:spacing w:before="113"/>
        <w:rPr>
          <w:rFonts w:ascii="Arial" w:hAnsi="Arial" w:cs="Arial"/>
          <w:bCs/>
          <w:color w:val="0000FF"/>
          <w:sz w:val="26"/>
          <w:szCs w:val="26"/>
        </w:rPr>
      </w:pPr>
    </w:p>
    <w:p w14:paraId="62B73E99" w14:textId="77777777" w:rsidR="003E068E" w:rsidRPr="002828DF" w:rsidRDefault="00053C89" w:rsidP="003E068E">
      <w:pPr>
        <w:spacing w:before="113"/>
        <w:rPr>
          <w:rFonts w:ascii="Arial" w:hAnsi="Arial" w:cs="Arial"/>
          <w:b/>
          <w:bCs/>
          <w:color w:val="333300"/>
          <w:sz w:val="26"/>
          <w:szCs w:val="26"/>
        </w:rPr>
      </w:pPr>
      <w:r w:rsidRPr="00486B60">
        <w:rPr>
          <w:rFonts w:ascii="Arial Black" w:hAnsi="Arial Black" w:cs="Arial"/>
          <w:b/>
          <w:bCs/>
          <w:color w:val="333300"/>
          <w:sz w:val="48"/>
          <w:szCs w:val="48"/>
        </w:rPr>
        <w:t>2.</w:t>
      </w:r>
      <w:r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 </w:t>
      </w:r>
    </w:p>
    <w:p w14:paraId="0C719E0F" w14:textId="03F8A004" w:rsidR="00AF0E8E" w:rsidRDefault="008B0202" w:rsidP="000B04FD">
      <w:pPr>
        <w:spacing w:before="240"/>
        <w:rPr>
          <w:rFonts w:ascii="Arial Black" w:hAnsi="Arial Black" w:cs="Arial"/>
          <w:b/>
          <w:i/>
          <w:color w:val="1F3864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333300"/>
          <w:sz w:val="26"/>
          <w:szCs w:val="26"/>
        </w:rPr>
        <w:t>Dva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 příklady dokumentů: </w:t>
      </w:r>
      <w:r w:rsidR="002828DF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ODPOVĚZTE - 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</w:rPr>
        <w:t>j</w:t>
      </w:r>
      <w:r w:rsidR="000B04FD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e to </w:t>
      </w:r>
      <w:r w:rsidR="000B04FD" w:rsidRPr="00FC573B">
        <w:rPr>
          <w:rFonts w:ascii="Arial" w:hAnsi="Arial" w:cs="Arial"/>
          <w:b/>
          <w:bCs/>
          <w:color w:val="C00000"/>
          <w:sz w:val="26"/>
          <w:szCs w:val="26"/>
        </w:rPr>
        <w:t>mezinárodní smlouva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 nebo jin</w:t>
      </w:r>
      <w:r w:rsidR="000B04FD" w:rsidRPr="002828DF">
        <w:rPr>
          <w:rFonts w:ascii="Arial" w:hAnsi="Arial" w:cs="Arial"/>
          <w:b/>
          <w:bCs/>
          <w:color w:val="333300"/>
          <w:sz w:val="26"/>
          <w:szCs w:val="26"/>
        </w:rPr>
        <w:t>á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 smlouv</w:t>
      </w:r>
      <w:r w:rsidR="000B04FD" w:rsidRPr="002828DF">
        <w:rPr>
          <w:rFonts w:ascii="Arial" w:hAnsi="Arial" w:cs="Arial"/>
          <w:b/>
          <w:bCs/>
          <w:color w:val="333300"/>
          <w:sz w:val="26"/>
          <w:szCs w:val="26"/>
        </w:rPr>
        <w:t>a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? </w:t>
      </w:r>
      <w:r w:rsidR="000B04FD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Nebo </w:t>
      </w:r>
      <w:r w:rsid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to není </w:t>
      </w:r>
      <w:r w:rsidR="000B04FD" w:rsidRPr="002828DF">
        <w:rPr>
          <w:rFonts w:ascii="Arial" w:hAnsi="Arial" w:cs="Arial"/>
          <w:b/>
          <w:bCs/>
          <w:color w:val="333300"/>
          <w:sz w:val="26"/>
          <w:szCs w:val="26"/>
        </w:rPr>
        <w:t xml:space="preserve">vůbec žádná smlouva? 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  <w:u w:val="single"/>
        </w:rPr>
        <w:t>S</w:t>
      </w:r>
      <w:r w:rsidR="002828DF" w:rsidRPr="002828DF">
        <w:rPr>
          <w:rFonts w:ascii="Arial" w:hAnsi="Arial" w:cs="Arial"/>
          <w:b/>
          <w:bCs/>
          <w:color w:val="333300"/>
          <w:sz w:val="26"/>
          <w:szCs w:val="26"/>
          <w:u w:val="single"/>
        </w:rPr>
        <w:t>vůj závěr s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  <w:u w:val="single"/>
        </w:rPr>
        <w:t>tručně zdůvodněte</w:t>
      </w:r>
      <w:r w:rsidR="00053C89" w:rsidRPr="002828DF">
        <w:rPr>
          <w:rFonts w:ascii="Arial" w:hAnsi="Arial" w:cs="Arial"/>
          <w:b/>
          <w:bCs/>
          <w:color w:val="333300"/>
          <w:sz w:val="26"/>
          <w:szCs w:val="26"/>
        </w:rPr>
        <w:t>.</w:t>
      </w:r>
    </w:p>
    <w:p w14:paraId="10E05E49" w14:textId="16A67F62" w:rsidR="00053C89" w:rsidRPr="001516BB" w:rsidRDefault="003E068E" w:rsidP="000B04FD">
      <w:pPr>
        <w:spacing w:before="240"/>
        <w:rPr>
          <w:rFonts w:ascii="Arial Black" w:hAnsi="Arial Black" w:cs="Arial"/>
          <w:color w:val="1F3864"/>
          <w:sz w:val="32"/>
          <w:szCs w:val="32"/>
        </w:rPr>
      </w:pPr>
      <w:r w:rsidRPr="001516BB">
        <w:rPr>
          <w:rFonts w:ascii="Arial Black" w:hAnsi="Arial Black" w:cs="Arial"/>
          <w:b/>
          <w:i/>
          <w:color w:val="1F3864"/>
          <w:sz w:val="32"/>
          <w:szCs w:val="32"/>
          <w:u w:val="single"/>
        </w:rPr>
        <w:t>2</w:t>
      </w:r>
      <w:r w:rsidR="00053C89" w:rsidRPr="001516BB">
        <w:rPr>
          <w:rFonts w:ascii="Arial Black" w:hAnsi="Arial Black" w:cs="Arial"/>
          <w:b/>
          <w:i/>
          <w:color w:val="1F3864"/>
          <w:sz w:val="32"/>
          <w:szCs w:val="32"/>
          <w:u w:val="single"/>
        </w:rPr>
        <w:t>a)</w:t>
      </w:r>
      <w:r w:rsidR="00053C89" w:rsidRPr="001516BB">
        <w:rPr>
          <w:rFonts w:ascii="Arial Black" w:hAnsi="Arial Black" w:cs="Arial"/>
          <w:i/>
          <w:color w:val="1F3864"/>
          <w:sz w:val="32"/>
          <w:szCs w:val="32"/>
          <w:u w:val="single"/>
        </w:rPr>
        <w:t xml:space="preserve"> </w:t>
      </w:r>
      <w:r w:rsidR="00FC573B" w:rsidRPr="001516BB">
        <w:rPr>
          <w:rFonts w:ascii="Arial Black" w:hAnsi="Arial Black" w:cs="Arial"/>
          <w:i/>
          <w:color w:val="1F3864"/>
          <w:sz w:val="32"/>
          <w:szCs w:val="32"/>
          <w:u w:val="single"/>
        </w:rPr>
        <w:t xml:space="preserve">Společné prohlášení </w:t>
      </w:r>
      <w:r w:rsidRPr="001516BB">
        <w:rPr>
          <w:rFonts w:ascii="Arial Black" w:hAnsi="Arial Black" w:cs="Arial"/>
          <w:i/>
          <w:color w:val="1F3864"/>
          <w:sz w:val="32"/>
          <w:szCs w:val="32"/>
          <w:u w:val="single"/>
        </w:rPr>
        <w:t xml:space="preserve">členů </w:t>
      </w:r>
      <w:r w:rsidR="00FC573B" w:rsidRPr="001516BB">
        <w:rPr>
          <w:rFonts w:ascii="Arial Black" w:hAnsi="Arial Black" w:cs="Arial"/>
          <w:i/>
          <w:color w:val="1F3864"/>
          <w:sz w:val="32"/>
          <w:szCs w:val="32"/>
          <w:u w:val="single"/>
        </w:rPr>
        <w:t>Evropské rady a Turecka týkající se pohybu migrantů do Řecka a dalších opatření ve prospěch Turecka</w:t>
      </w:r>
      <w:r w:rsidR="00053C89" w:rsidRPr="001516BB">
        <w:rPr>
          <w:rFonts w:ascii="Arial Black" w:hAnsi="Arial Black" w:cs="Arial"/>
          <w:color w:val="1F3864"/>
          <w:sz w:val="32"/>
          <w:szCs w:val="32"/>
        </w:rPr>
        <w:t>.</w:t>
      </w:r>
    </w:p>
    <w:p w14:paraId="0A8DE1FA" w14:textId="1350270C" w:rsidR="003E068E" w:rsidRPr="00F37853" w:rsidRDefault="003E068E" w:rsidP="003E068E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F37853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„Společné prohlášení EU a Turecka,“ 18. března 2016</w:t>
      </w:r>
    </w:p>
    <w:p w14:paraId="0022E3EE" w14:textId="62C39359" w:rsidR="003E068E" w:rsidRPr="00F37853" w:rsidRDefault="003E068E" w:rsidP="003E068E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2"/>
          <w:szCs w:val="32"/>
          <w:lang w:eastAsia="cs-CZ"/>
        </w:rPr>
      </w:pPr>
      <w:r w:rsidRPr="00F37853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 xml:space="preserve">Text tiskového komuniké – jediný existující text. </w:t>
      </w:r>
      <w:r w:rsidRPr="00F37853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cs-CZ"/>
        </w:rPr>
        <w:t xml:space="preserve">JE TOTO MEZINÁRODNÍ SMLOUVA UZAVŘENÁ ZVLÁŠTNÍ FORMOU </w:t>
      </w:r>
      <w:r w:rsidR="00AF0E8E" w:rsidRPr="00F37853">
        <w:rPr>
          <w:rFonts w:ascii="Times New Roman" w:hAnsi="Times New Roman" w:cs="Times New Roman"/>
          <w:b/>
          <w:bCs/>
          <w:sz w:val="32"/>
          <w:szCs w:val="32"/>
          <w:lang w:eastAsia="cs-CZ"/>
        </w:rPr>
        <w:t>nebo jen politická dohoda?</w:t>
      </w:r>
    </w:p>
    <w:p w14:paraId="3451A68A" w14:textId="77777777" w:rsidR="001516BB" w:rsidRDefault="001516BB" w:rsidP="001516BB">
      <w:pPr>
        <w:rPr>
          <w:rFonts w:ascii="Times New Roman" w:hAnsi="Times New Roman" w:cs="Times New Roman"/>
          <w:color w:val="FF0000"/>
          <w:sz w:val="28"/>
          <w:szCs w:val="28"/>
          <w:lang w:eastAsia="cs-CZ"/>
        </w:rPr>
      </w:pPr>
    </w:p>
    <w:p w14:paraId="558EC61A" w14:textId="7F031536" w:rsidR="003E068E" w:rsidRPr="001F7D68" w:rsidRDefault="003E068E" w:rsidP="001516BB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1F7D68">
        <w:rPr>
          <w:rFonts w:ascii="Times New Roman" w:hAnsi="Times New Roman" w:cs="Times New Roman"/>
          <w:color w:val="FF0000"/>
          <w:sz w:val="28"/>
          <w:szCs w:val="28"/>
          <w:lang w:eastAsia="cs-CZ"/>
        </w:rPr>
        <w:t xml:space="preserve">Členové Evropské rady </w:t>
      </w:r>
      <w:r w:rsidRPr="001F7D68">
        <w:rPr>
          <w:rFonts w:ascii="Times New Roman" w:hAnsi="Times New Roman" w:cs="Times New Roman"/>
          <w:sz w:val="28"/>
          <w:szCs w:val="28"/>
          <w:lang w:eastAsia="cs-CZ"/>
        </w:rPr>
        <w:t>se dnes setkali se svým tureckým protějškem. Od listopadu 2015 se takto setkali již potřetí na zasedání věnovaném prohloubení vzájemných vztahů Turecka a EU i řešení migrační krize.</w:t>
      </w:r>
    </w:p>
    <w:p w14:paraId="7AD7C1C7" w14:textId="77777777" w:rsidR="001516BB" w:rsidRDefault="003E068E" w:rsidP="001516BB">
      <w:pPr>
        <w:rPr>
          <w:rFonts w:ascii="Times New Roman" w:hAnsi="Times New Roman" w:cs="Times New Roman"/>
          <w:szCs w:val="24"/>
          <w:lang w:eastAsia="cs-CZ"/>
        </w:rPr>
      </w:pPr>
      <w:r w:rsidRPr="007D22C9">
        <w:rPr>
          <w:rFonts w:ascii="Times New Roman" w:hAnsi="Times New Roman" w:cs="Times New Roman"/>
          <w:szCs w:val="24"/>
          <w:lang w:eastAsia="cs-CZ"/>
        </w:rPr>
        <w:t>V reakci na nedělní bombový útok v Ankaře vyjádřili členové Evropské rady tureckému lidu upřímnou soustrast. Důrazně tento odporný čin odsoudili a zopakovali svou trvalou podporu boji proti terorismu ve všech jeho podobách.</w:t>
      </w:r>
    </w:p>
    <w:p w14:paraId="3AC91559" w14:textId="34E90838" w:rsidR="003E068E" w:rsidRDefault="003E068E" w:rsidP="001516BB">
      <w:pPr>
        <w:rPr>
          <w:rFonts w:ascii="Times New Roman" w:hAnsi="Times New Roman" w:cs="Times New Roman"/>
          <w:szCs w:val="24"/>
          <w:lang w:eastAsia="cs-CZ"/>
        </w:rPr>
      </w:pPr>
      <w:r w:rsidRPr="007D22C9">
        <w:rPr>
          <w:rFonts w:ascii="Times New Roman" w:hAnsi="Times New Roman" w:cs="Times New Roman"/>
          <w:szCs w:val="24"/>
          <w:lang w:eastAsia="cs-CZ"/>
        </w:rPr>
        <w:t xml:space="preserve">Turecko a Evropská unie opětovně potvrdily své odhodlání provádět společný akční plán, který byl aktivován dne 29. listopadu 2015. V této oblasti již bylo dosaženo značného pokroku, zahrnujícího mimo jiné tyto skutečnosti: Turecko otevřelo svůj trh práce občanům Sýrie, kteří požívají dočasné ochrany, pro občany Sýrie a státní příslušníky jiných zemí byly zavedeny nové vízové požadavky, </w:t>
      </w:r>
      <w:r w:rsidRPr="007D22C9">
        <w:rPr>
          <w:rFonts w:ascii="Times New Roman" w:hAnsi="Times New Roman" w:cs="Times New Roman"/>
          <w:szCs w:val="24"/>
          <w:lang w:eastAsia="cs-CZ"/>
        </w:rPr>
        <w:lastRenderedPageBreak/>
        <w:t>turecká pobřežní stráž a policie zvýšily své úsilí o zajištění bezpečnosti a zintenzivnila se výměna informací. Evropská unie také navíc zahájila vyplácení prostředků z nástroje pro uprchlíky v Turecku ve výši 3 miliard EUR na konkrétní projekty a pokročila i práce v oblasti uvolňování vízového režimu a přístupových jednání, včetně otevření kapitoly 17 v prosinci loňského roku. Turecko mimoto dne 7. března 2016 souhlasilo, že akceptuje urychlený návrat všech migrantů vstupujících do Řecka z Turecka, kteří nepotřebují mezinárodní ochranu, a přijme zpět všechny nelegální migranty zadržené v tureckých vodách. Turecko a EU se také dohodly, že budou pokračovat ve stupňování opatření namířených proti převaděčům, a uvítaly zahájení činnosti NATO v Egejském moři. Turecko i EU zároveň uznávají, že je zapotřebí rychle vynaložit další, rozhodné úsilí.</w:t>
      </w:r>
    </w:p>
    <w:p w14:paraId="6AED286E" w14:textId="77777777" w:rsidR="00C65F93" w:rsidRPr="007D22C9" w:rsidRDefault="00C65F93" w:rsidP="001516BB">
      <w:pPr>
        <w:rPr>
          <w:rFonts w:ascii="Times New Roman" w:hAnsi="Times New Roman" w:cs="Times New Roman"/>
          <w:szCs w:val="24"/>
          <w:lang w:eastAsia="cs-CZ"/>
        </w:rPr>
      </w:pPr>
    </w:p>
    <w:p w14:paraId="4E81D56B" w14:textId="2734E6DE" w:rsidR="003218D6" w:rsidRPr="00C65F93" w:rsidRDefault="003218D6" w:rsidP="001516BB">
      <w:pPr>
        <w:rPr>
          <w:rFonts w:ascii="Times New Roman" w:hAnsi="Times New Roman" w:cs="Times New Roman"/>
          <w:b/>
          <w:color w:val="0A0A9A"/>
          <w:sz w:val="28"/>
          <w:szCs w:val="28"/>
          <w:lang w:eastAsia="cs-CZ"/>
        </w:rPr>
      </w:pPr>
      <w:r w:rsidRPr="00C65F93">
        <w:rPr>
          <w:rFonts w:ascii="Times New Roman" w:hAnsi="Times New Roman" w:cs="Times New Roman"/>
          <w:b/>
          <w:color w:val="0A0A9A"/>
          <w:sz w:val="28"/>
          <w:szCs w:val="28"/>
          <w:lang w:eastAsia="cs-CZ"/>
        </w:rPr>
        <w:t>Text tiskové zprávy:</w:t>
      </w:r>
    </w:p>
    <w:p w14:paraId="3389A37F" w14:textId="77777777" w:rsidR="00C65F93" w:rsidRPr="00AF0E8E" w:rsidRDefault="00C65F93" w:rsidP="001516BB">
      <w:pPr>
        <w:rPr>
          <w:rFonts w:ascii="Times New Roman" w:hAnsi="Times New Roman" w:cs="Times New Roman"/>
          <w:color w:val="0A0A9A"/>
          <w:sz w:val="28"/>
          <w:szCs w:val="28"/>
          <w:lang w:eastAsia="cs-CZ"/>
        </w:rPr>
      </w:pPr>
    </w:p>
    <w:p w14:paraId="4F44C34F" w14:textId="6E87101B" w:rsidR="003E068E" w:rsidRPr="00AF0E8E" w:rsidRDefault="003E068E" w:rsidP="001516BB">
      <w:pPr>
        <w:rPr>
          <w:rFonts w:ascii="Times New Roman" w:hAnsi="Times New Roman" w:cs="Times New Roman"/>
          <w:color w:val="0A0A9A"/>
          <w:sz w:val="28"/>
          <w:szCs w:val="28"/>
          <w:lang w:eastAsia="cs-CZ"/>
        </w:rPr>
      </w:pPr>
      <w:r w:rsidRPr="00F37853">
        <w:rPr>
          <w:rFonts w:ascii="Times New Roman" w:hAnsi="Times New Roman" w:cs="Times New Roman"/>
          <w:color w:val="FF0000"/>
          <w:sz w:val="28"/>
          <w:szCs w:val="28"/>
          <w:lang w:eastAsia="cs-CZ"/>
        </w:rPr>
        <w:t>EU a Turecko se</w:t>
      </w:r>
      <w:r w:rsidRPr="00AF0E8E">
        <w:rPr>
          <w:rFonts w:ascii="Times New Roman" w:hAnsi="Times New Roman" w:cs="Times New Roman"/>
          <w:color w:val="0A0A9A"/>
          <w:sz w:val="28"/>
          <w:szCs w:val="28"/>
          <w:lang w:eastAsia="cs-CZ"/>
        </w:rPr>
        <w:t xml:space="preserve"> dnes s cílem rozbít obchodní modely převaděčů a nabídnout migrantům alternativu k riskování životů </w:t>
      </w:r>
      <w:r w:rsidRPr="00F37853">
        <w:rPr>
          <w:rFonts w:ascii="Times New Roman" w:hAnsi="Times New Roman" w:cs="Times New Roman"/>
          <w:color w:val="FF0000"/>
          <w:sz w:val="28"/>
          <w:szCs w:val="28"/>
          <w:lang w:eastAsia="cs-CZ"/>
        </w:rPr>
        <w:t>rozhodly</w:t>
      </w:r>
      <w:r w:rsidRPr="00AF0E8E">
        <w:rPr>
          <w:rFonts w:ascii="Times New Roman" w:hAnsi="Times New Roman" w:cs="Times New Roman"/>
          <w:color w:val="0A0A9A"/>
          <w:sz w:val="28"/>
          <w:szCs w:val="28"/>
          <w:lang w:eastAsia="cs-CZ"/>
        </w:rPr>
        <w:t xml:space="preserve"> ukončit nelegální migraci z Turecka do EU. V zájmu dosažení tohoto cíle se dohodly na těchto dalších opatřeních:</w:t>
      </w:r>
    </w:p>
    <w:p w14:paraId="1C058E96" w14:textId="77777777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 xml:space="preserve">Všichni noví nelegální migranti vstupující od 20. března 2016 na řecké ostrovy z Turecka budou navráceni do Turecka. Navracení bude probíhat plně v souladu s unijním a mezinárodním právem, čímž bude vyloučeno jakékoli hromadné vyhošťování. Všichni migranti budou chráněni v souladu s příslušnými mezinárodními normami a bude dodržována zásada </w:t>
      </w:r>
      <w:r w:rsidRPr="00AF0E8E">
        <w:rPr>
          <w:rFonts w:ascii="Times New Roman" w:hAnsi="Times New Roman" w:cs="Times New Roman"/>
          <w:i/>
          <w:iCs/>
          <w:color w:val="0A0A9A"/>
          <w:szCs w:val="24"/>
          <w:lang w:eastAsia="cs-CZ"/>
        </w:rPr>
        <w:t>non-refoulement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. Půjde o dočasné a mimořádné opatření, které je nezbytné k tomu, aby skončilo utrpení lidí a byl obnoven veřejný pořádek. Migranti vstupující na řecké ostrovy budou řádně zaregistrováni a veškeré žádosti o azyl zpracují řecké orgány individuálně v souladu se směrnicí o azylovém řízení, ve spolupráci s Úřadem vysokého komisaře OSN pro uprchlíky. Migranti, kteří o azyl nepožádají nebo jejichž žádost bude v souladu s uvedenou směrnicí shledána nedůvodnou nebo nepřípustnou, budou navráceni do Turecka. Turecko a Řecko za pomoci orgánů a agentur EU učiní nezbytné kroky a dohodnou se na veškerých nezbytných dvoustranných ujednáních, mimo jiné i pokud jde o přítomnost tureckých úředníků na řeckých ostrovech a řeckých úředníků v Turecku, a to od 20. března 2016, aby byl zajištěn vzájemný kontakt, a zmíněná ujednání tak mohla hladce fungovat. Náklady návratových operací nelegálních migrantů uhradí EU.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  <w:t> </w:t>
      </w:r>
    </w:p>
    <w:p w14:paraId="1C3BBEA7" w14:textId="77777777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Za každého syrského občana navraceného z řeckých ostrovů do Turecka bude jeden syrský občan přesídlen z Turecka do EU, a to s ohledem na kritéria zranitelnosti vypracovaná OSN. Za pomoci Komise, agentur EU a dalších členských států, jakož i Úřadu vysokého komisaře OSN pro uprchlíky bude zaveden mechanismus k zajištění toho, aby byla tato zásada uplatňována ode dne, kdy navracení započne. Přednost budou mít migranti, kteří do EU dříve nelegálně nevstoupili ani se o nelegální vstup nepokusili. Na straně EU bude přesídlování v rámci tohoto mechanismu probíhat v prvé řadě naplňováním závazků, které členské státy přijaly v závěrech zástupců vlád členských států zasedajících v Radě dne 20. července 2015 a ve kterých zbývá pro přesídlení 18 000 míst. Veškeré další potřeby přesídlování budou probíhat prostřednictvím obdobného dobrovolného ujednání, a to až do limitu dalších 54 000 osob. Členové Evropské rady vítají záměr Komise navrhnout změnu relokačního rozhodnutí ze dne 22. září 2015 s cílem umožnit, aby byl jakýkoli závazek k přesídlení učiněný v rámci tohoto ujednání kompenzován z nepřidělených míst v rámci uvedeného rozhodnutí. Pokud by tato ujednání nenaplnila cíl ukončení nelegální migrace a počet návratů by se blížil počtům uvedeným výše, bude tento mechanismus přezkoumán. Pokud by počet návratů převýšil počty uvedené výše, bude tento mechanismus ukončen.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  <w:t> </w:t>
      </w:r>
    </w:p>
    <w:p w14:paraId="3B0DBBF3" w14:textId="77777777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lastRenderedPageBreak/>
        <w:t>Turecko přijme veškerá nezbytná opatření, aby zabránilo vzniku nových tras pro nelegální migraci z Turecka do EU, ať už námořních nebo pozemních, a bude za tímto účelem spolupracovat se sousedními státy i s EU.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  <w:t> </w:t>
      </w:r>
    </w:p>
    <w:p w14:paraId="18F0245C" w14:textId="77777777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Jakmile bude nelegální překračování hranic mezi Tureckem a EU končit, nebo se alespoň podstatně a udržitelně sníží počet případů tohoto překračování, bude aktivován dobrovolný program přijímání osob z humanitárních důvodů. Členské státy EU se budou tohoto programu účastnit na dobrovolné bázi.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  <w:t> </w:t>
      </w:r>
    </w:p>
    <w:p w14:paraId="4FAF910C" w14:textId="77777777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Bude urychleno plnění plánu na uvolnění vízového režimu ve vztahu ke všem zúčastněným členským státům s cílem zrušit vízové požadavky pro turecké občany nejpozději do konce června 2016, a to za předpokladu, že budou splněna všechna kritéria. Turecko za tímto účelem přijme nezbytná opatření ke splnění zbývajících požadavků, aby Komise v návaznosti na požadované posouzení splnění příslušných kritérií mohla do konce dubna předložit příslušný návrh, na jehož základě pak Evropský parlament a Rada mohou přijmout konečné rozhodnutí.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  <w:t> </w:t>
      </w:r>
    </w:p>
    <w:p w14:paraId="1D5C58F8" w14:textId="77777777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EU v úzké spolupráci s Tureckem dále urychlí vyplácení původně vyčleněných prostředků ve výši 3 miliard EUR v rámci nástroje pro uprchlíky v Turecku a zajistí financování dalších projektů zaměřených na osoby požívající dočasné ochrany, které budou s urychleným přispěním Turecka určeny do konce března. První seznam konkrétních projektů pro uprchlíky, zejména v oblasti zdraví, vzdělávání, infrastruktury, potravin a jiných životních nákladů, které lze z tohoto nástroje urychleně financovat, bude společně určen do týdne. Jakmile budou tyto prostředky téměř vyčerpány a za předpokladu, že výše uvedené závazky budou splněny, zmobilizuje EU dodatečné financování uvedeného nástroje ve výši dalších 3 miliard EUR do konce roku 2018.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  <w:t> </w:t>
      </w:r>
    </w:p>
    <w:p w14:paraId="69FC1F73" w14:textId="77777777" w:rsid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EU i Turecko uvítaly probíhající práci na prohlubování celní unie.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</w:r>
    </w:p>
    <w:p w14:paraId="0474477E" w14:textId="745C5E9C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EU a Turecko znovu potvrdily svůj závazek k oživení procesu přistoupení, jak je uvedeno v jejich společném prohlášení z 29. listopadu 2015. Uvítaly otevření kapitoly 17 dne 14. prosince 2015 a rozhodly, že dalším krokem bude otevření kapitoly 33 během nizozemského předsednictví. Přivítaly, že Komise předloží návrh za tímto účelem v dubnu. Přípravné práce na otevření dalších kapitol budou pokračovat zrychleným tempem, aniž jsou dotčeny postoje členských států v souladu se stávajícími pravidly.</w:t>
      </w: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br/>
        <w:t> </w:t>
      </w:r>
    </w:p>
    <w:p w14:paraId="7BE762F1" w14:textId="77777777" w:rsidR="003E068E" w:rsidRPr="00AF0E8E" w:rsidRDefault="003E068E" w:rsidP="001516BB">
      <w:pPr>
        <w:widowControl/>
        <w:numPr>
          <w:ilvl w:val="0"/>
          <w:numId w:val="1"/>
        </w:numPr>
        <w:suppressAutoHyphens w:val="0"/>
        <w:overflowPunct/>
        <w:autoSpaceDE/>
        <w:textAlignment w:val="auto"/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EU a její členské státy budou spolupracovat s Tureckem na veškerých společných snahách zaměřených na zlepšení humanitárních podmínek v Sýrii, zejména v některých oblastech v blízkosti turecké hranice, díky čemuž by bylo možné, aby místní obyvatelstvo a uprchlíci žili v oblastech, které budou bezpečnější.</w:t>
      </w:r>
    </w:p>
    <w:p w14:paraId="76CBC443" w14:textId="77777777" w:rsidR="003E068E" w:rsidRPr="00AF0E8E" w:rsidRDefault="003E068E" w:rsidP="001516BB">
      <w:pPr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Všechna uvedená opatření budou prováděna souběžně a budou společně měsíčně monitorována.</w:t>
      </w:r>
    </w:p>
    <w:p w14:paraId="02354357" w14:textId="3B6ECFFA" w:rsidR="003E068E" w:rsidRDefault="003E068E" w:rsidP="001516BB">
      <w:pPr>
        <w:rPr>
          <w:rFonts w:ascii="Times New Roman" w:hAnsi="Times New Roman" w:cs="Times New Roman"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color w:val="0A0A9A"/>
          <w:szCs w:val="24"/>
          <w:lang w:eastAsia="cs-CZ"/>
        </w:rPr>
        <w:t>EU a Turecko se rozhodly, že v případě potřeby uspořádají další společné zasedání v souladu se společným prohlášením ze dne 29. listopadu 2015.</w:t>
      </w:r>
    </w:p>
    <w:p w14:paraId="252D8D7A" w14:textId="77777777" w:rsidR="001516BB" w:rsidRPr="00AF0E8E" w:rsidRDefault="001516BB" w:rsidP="001516BB">
      <w:pPr>
        <w:rPr>
          <w:rFonts w:ascii="Times New Roman" w:hAnsi="Times New Roman" w:cs="Times New Roman"/>
          <w:color w:val="0A0A9A"/>
          <w:szCs w:val="24"/>
          <w:lang w:eastAsia="cs-CZ"/>
        </w:rPr>
      </w:pPr>
    </w:p>
    <w:p w14:paraId="16E3E13F" w14:textId="4B67A54D" w:rsidR="001516BB" w:rsidRDefault="003E068E" w:rsidP="001516BB">
      <w:pPr>
        <w:rPr>
          <w:rFonts w:ascii="Times New Roman" w:hAnsi="Times New Roman" w:cs="Times New Roman"/>
          <w:b/>
          <w:color w:val="0A0A9A"/>
          <w:szCs w:val="24"/>
          <w:lang w:eastAsia="cs-CZ"/>
        </w:rPr>
      </w:pPr>
      <w:r w:rsidRPr="00AF0E8E">
        <w:rPr>
          <w:rFonts w:ascii="Times New Roman" w:hAnsi="Times New Roman" w:cs="Times New Roman"/>
          <w:b/>
          <w:color w:val="0A0A9A"/>
          <w:szCs w:val="24"/>
          <w:lang w:eastAsia="cs-CZ"/>
        </w:rPr>
        <w:t>(Bez podpisů)</w:t>
      </w:r>
    </w:p>
    <w:p w14:paraId="623D6452" w14:textId="4252189A" w:rsidR="001516BB" w:rsidRDefault="001516BB" w:rsidP="001516BB">
      <w:pPr>
        <w:rPr>
          <w:rFonts w:ascii="Arial Black" w:hAnsi="Arial Black" w:cs="Arial"/>
          <w:i/>
          <w:color w:val="000000"/>
          <w:sz w:val="48"/>
          <w:szCs w:val="48"/>
          <w:u w:val="single"/>
        </w:rPr>
      </w:pPr>
    </w:p>
    <w:p w14:paraId="6286A123" w14:textId="77777777" w:rsidR="00C65F93" w:rsidRDefault="00C65F93" w:rsidP="001516BB">
      <w:pPr>
        <w:rPr>
          <w:rFonts w:ascii="Arial Black" w:hAnsi="Arial Black" w:cs="Arial"/>
          <w:i/>
          <w:color w:val="000000"/>
          <w:sz w:val="48"/>
          <w:szCs w:val="48"/>
          <w:u w:val="single"/>
        </w:rPr>
      </w:pPr>
    </w:p>
    <w:p w14:paraId="4BFF9A2F" w14:textId="5F994B20" w:rsidR="00053C89" w:rsidRPr="004C2707" w:rsidRDefault="008B0202" w:rsidP="008B0202">
      <w:pPr>
        <w:spacing w:before="240"/>
        <w:rPr>
          <w:rFonts w:ascii="Arial Black" w:hAnsi="Arial Black" w:cs="Times New Roman"/>
          <w:i/>
          <w:color w:val="000080"/>
          <w:sz w:val="26"/>
          <w:szCs w:val="26"/>
        </w:rPr>
      </w:pPr>
      <w:r>
        <w:rPr>
          <w:rFonts w:ascii="Arial Black" w:hAnsi="Arial Black" w:cs="Arial"/>
          <w:i/>
          <w:color w:val="000000"/>
          <w:sz w:val="48"/>
          <w:szCs w:val="48"/>
          <w:u w:val="single"/>
        </w:rPr>
        <w:lastRenderedPageBreak/>
        <w:t>2</w:t>
      </w:r>
      <w:r w:rsidR="00053C89" w:rsidRPr="00486B60">
        <w:rPr>
          <w:rFonts w:ascii="Arial Black" w:hAnsi="Arial Black" w:cs="Arial"/>
          <w:i/>
          <w:color w:val="000000"/>
          <w:sz w:val="48"/>
          <w:szCs w:val="48"/>
          <w:u w:val="single"/>
        </w:rPr>
        <w:t>b)</w:t>
      </w:r>
      <w:r w:rsidR="00053C89" w:rsidRPr="003D4386">
        <w:rPr>
          <w:rFonts w:ascii="Arial Black" w:hAnsi="Arial Black" w:cs="Arial"/>
          <w:i/>
          <w:color w:val="000000"/>
          <w:sz w:val="26"/>
          <w:szCs w:val="26"/>
          <w:u w:val="single"/>
        </w:rPr>
        <w:t xml:space="preserve"> </w:t>
      </w:r>
      <w:r>
        <w:rPr>
          <w:rFonts w:ascii="Arial Black" w:hAnsi="Arial Black" w:cs="Arial"/>
          <w:i/>
          <w:color w:val="000000"/>
          <w:sz w:val="26"/>
          <w:szCs w:val="26"/>
          <w:u w:val="single"/>
        </w:rPr>
        <w:t xml:space="preserve">  </w:t>
      </w:r>
      <w:r w:rsidR="00053C89" w:rsidRPr="004C2707">
        <w:rPr>
          <w:rFonts w:ascii="Arial Black" w:hAnsi="Arial Black" w:cs="Times New Roman"/>
          <w:i/>
          <w:color w:val="000000"/>
          <w:sz w:val="26"/>
          <w:szCs w:val="26"/>
          <w:u w:val="single"/>
        </w:rPr>
        <w:t>ZÁVĚREČNÝ AKT HELSINSKÉ KONFERENCE O BEZPEČNOSTI A S</w:t>
      </w:r>
      <w:r w:rsidR="00230024" w:rsidRPr="004C2707">
        <w:rPr>
          <w:rFonts w:ascii="Arial Black" w:hAnsi="Arial Black" w:cs="Times New Roman"/>
          <w:i/>
          <w:color w:val="000000"/>
          <w:sz w:val="26"/>
          <w:szCs w:val="26"/>
          <w:u w:val="single"/>
        </w:rPr>
        <w:t>POLUPRÁCI V EVROPĚ (1. 8. 1975)</w:t>
      </w:r>
    </w:p>
    <w:p w14:paraId="27CAEB4C" w14:textId="77777777" w:rsidR="00053C89" w:rsidRPr="008B0202" w:rsidRDefault="00053C89" w:rsidP="000B04FD">
      <w:pPr>
        <w:spacing w:before="12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8B0202">
        <w:rPr>
          <w:rFonts w:ascii="Times New Roman" w:hAnsi="Times New Roman" w:cs="Times New Roman"/>
          <w:b/>
          <w:color w:val="000080"/>
          <w:sz w:val="28"/>
          <w:szCs w:val="28"/>
        </w:rPr>
        <w:t>(výňatky z</w:t>
      </w:r>
      <w:r w:rsidR="002828DF" w:rsidRPr="008B0202">
        <w:rPr>
          <w:rFonts w:ascii="Times New Roman" w:hAnsi="Times New Roman" w:cs="Times New Roman"/>
          <w:b/>
          <w:color w:val="000080"/>
          <w:sz w:val="28"/>
          <w:szCs w:val="28"/>
        </w:rPr>
        <w:t> </w:t>
      </w:r>
      <w:r w:rsidRPr="008B0202">
        <w:rPr>
          <w:rFonts w:ascii="Times New Roman" w:hAnsi="Times New Roman" w:cs="Times New Roman"/>
          <w:b/>
          <w:color w:val="000080"/>
          <w:sz w:val="28"/>
          <w:szCs w:val="28"/>
        </w:rPr>
        <w:t>textu</w:t>
      </w:r>
      <w:r w:rsidR="002828DF" w:rsidRPr="008B0202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– potřebné pro formulaci závěru</w:t>
      </w:r>
      <w:r w:rsidRPr="008B0202">
        <w:rPr>
          <w:rFonts w:ascii="Times New Roman" w:hAnsi="Times New Roman" w:cs="Times New Roman"/>
          <w:b/>
          <w:color w:val="000080"/>
          <w:sz w:val="28"/>
          <w:szCs w:val="28"/>
        </w:rPr>
        <w:t>:)</w:t>
      </w:r>
    </w:p>
    <w:p w14:paraId="2EB17D81" w14:textId="77777777" w:rsidR="002828DF" w:rsidRPr="008B0202" w:rsidRDefault="002828DF" w:rsidP="000B04FD">
      <w:pPr>
        <w:spacing w:before="120"/>
        <w:rPr>
          <w:rFonts w:ascii="Arial" w:hAnsi="Arial" w:cs="Arial"/>
          <w:b/>
          <w:color w:val="000080"/>
          <w:sz w:val="28"/>
          <w:szCs w:val="28"/>
        </w:rPr>
      </w:pPr>
    </w:p>
    <w:p w14:paraId="6A288EDC" w14:textId="77777777" w:rsidR="002828DF" w:rsidRPr="00230024" w:rsidRDefault="002828DF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(Část preambule</w:t>
      </w:r>
      <w:r w:rsidR="00230024"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:</w:t>
      </w: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)</w:t>
      </w:r>
    </w:p>
    <w:p w14:paraId="30FD7553" w14:textId="77777777" w:rsidR="002828DF" w:rsidRPr="00230024" w:rsidRDefault="002828DF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Vedeni politickou vůlí, v zájmu národů, zlepšit a zintenzívnit své</w:t>
      </w:r>
    </w:p>
    <w:p w14:paraId="068ABE1C" w14:textId="77777777" w:rsidR="002828DF" w:rsidRPr="00230024" w:rsidRDefault="002828DF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vztahy a přispět k míru, bezpečnosti, spravedlnosti a spolupráci v Evropě,</w:t>
      </w:r>
    </w:p>
    <w:p w14:paraId="13ABDA31" w14:textId="77777777" w:rsidR="002828DF" w:rsidRPr="00230024" w:rsidRDefault="002828DF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jakož i ke sblížení mezi sebou a ostatními státy světa,</w:t>
      </w:r>
    </w:p>
    <w:p w14:paraId="42DE4F1C" w14:textId="77777777" w:rsidR="002828DF" w:rsidRPr="00230024" w:rsidRDefault="002828DF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rozhodnuti v důsledku toho plně uskutečnit výsledky Konference a</w:t>
      </w:r>
    </w:p>
    <w:p w14:paraId="658DBFAF" w14:textId="77777777" w:rsidR="002828DF" w:rsidRPr="00230024" w:rsidRDefault="002828DF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zajistit svým státům a celé Evropě prospěch plynoucí z těchto výsledků</w:t>
      </w:r>
    </w:p>
    <w:p w14:paraId="09FF869A" w14:textId="77777777" w:rsidR="002828DF" w:rsidRPr="00230024" w:rsidRDefault="00230024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a</w:t>
      </w:r>
      <w:r w:rsidR="002828DF"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 xml:space="preserve"> tím proces uvolňování napětí rozšířit, prohloubit, zajistit jeho</w:t>
      </w:r>
    </w:p>
    <w:p w14:paraId="2ADB763F" w14:textId="77777777" w:rsidR="002828DF" w:rsidRPr="00230024" w:rsidRDefault="002828DF" w:rsidP="002828DF">
      <w:pPr>
        <w:widowControl/>
        <w:suppressAutoHyphens w:val="0"/>
        <w:overflowPunct/>
        <w:autoSpaceDN w:val="0"/>
        <w:adjustRightInd w:val="0"/>
        <w:textAlignment w:val="auto"/>
        <w:rPr>
          <w:rFonts w:ascii="TimesNewRoman" w:hAnsi="TimesNewRoman" w:cs="TimesNewRoman"/>
          <w:kern w:val="0"/>
          <w:sz w:val="28"/>
          <w:szCs w:val="28"/>
          <w:lang w:eastAsia="cs-CZ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>pokračování a učinit je trvalým,</w:t>
      </w:r>
    </w:p>
    <w:p w14:paraId="4054207C" w14:textId="77777777" w:rsidR="00053C89" w:rsidRPr="00230024" w:rsidRDefault="002828DF" w:rsidP="000B04FD">
      <w:pPr>
        <w:spacing w:before="120"/>
        <w:rPr>
          <w:rFonts w:ascii="Arial" w:hAnsi="Arial" w:cs="Arial"/>
          <w:color w:val="000080"/>
          <w:sz w:val="28"/>
          <w:szCs w:val="28"/>
        </w:rPr>
      </w:pPr>
      <w:r w:rsidRPr="00230024">
        <w:rPr>
          <w:rFonts w:ascii="TimesNewRoman" w:hAnsi="TimesNewRoman" w:cs="TimesNewRoman"/>
          <w:kern w:val="0"/>
          <w:sz w:val="28"/>
          <w:szCs w:val="28"/>
          <w:lang w:eastAsia="cs-CZ"/>
        </w:rPr>
        <w:t xml:space="preserve">vysocí představitelé zúčastněných států schválili </w:t>
      </w:r>
      <w:r w:rsidR="00053C89" w:rsidRPr="00230024">
        <w:rPr>
          <w:rFonts w:ascii="Times New Roman" w:hAnsi="Times New Roman" w:cs="Times New Roman"/>
          <w:sz w:val="28"/>
          <w:szCs w:val="28"/>
        </w:rPr>
        <w:t>následující:</w:t>
      </w:r>
      <w:r w:rsidR="00053C89" w:rsidRPr="00230024">
        <w:rPr>
          <w:rFonts w:ascii="Arial" w:hAnsi="Arial" w:cs="Arial"/>
          <w:color w:val="000080"/>
          <w:sz w:val="28"/>
          <w:szCs w:val="28"/>
        </w:rPr>
        <w:t xml:space="preserve"> </w:t>
      </w:r>
    </w:p>
    <w:p w14:paraId="766F0777" w14:textId="77777777" w:rsidR="00053C89" w:rsidRPr="00230024" w:rsidRDefault="00053C89" w:rsidP="000B04FD">
      <w:pPr>
        <w:spacing w:before="120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230024">
        <w:rPr>
          <w:rFonts w:ascii="Times New Roman" w:hAnsi="Times New Roman" w:cs="Times New Roman"/>
          <w:color w:val="000080"/>
          <w:sz w:val="28"/>
          <w:szCs w:val="28"/>
        </w:rPr>
        <w:t>.......</w:t>
      </w:r>
      <w:r w:rsidRPr="00230024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..(následují meritorní ustanovení o spolupráci mezi státy) </w:t>
      </w:r>
    </w:p>
    <w:p w14:paraId="1C7E58F1" w14:textId="77777777" w:rsidR="003D4386" w:rsidRDefault="003D4386" w:rsidP="003D4386">
      <w:pPr>
        <w:widowControl/>
        <w:shd w:val="clear" w:color="auto" w:fill="F9F9F9"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Verdana" w:hAnsi="Verdana" w:cs="Times New Roman"/>
          <w:b/>
          <w:bCs/>
          <w:i/>
          <w:iCs/>
          <w:color w:val="000000"/>
          <w:kern w:val="0"/>
          <w:sz w:val="20"/>
          <w:lang w:eastAsia="cs-CZ"/>
        </w:rPr>
      </w:pPr>
    </w:p>
    <w:p w14:paraId="3626E101" w14:textId="77777777" w:rsidR="003D4386" w:rsidRPr="003D4386" w:rsidRDefault="003D4386" w:rsidP="003D4386">
      <w:pPr>
        <w:widowControl/>
        <w:shd w:val="clear" w:color="auto" w:fill="F9F9F9"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Verdana" w:hAnsi="Verdana" w:cs="Times New Roman"/>
          <w:b/>
          <w:bCs/>
          <w:i/>
          <w:iCs/>
          <w:color w:val="000000"/>
          <w:kern w:val="0"/>
          <w:szCs w:val="24"/>
          <w:lang w:eastAsia="cs-CZ"/>
        </w:rPr>
      </w:pPr>
      <w:r w:rsidRPr="003D4386">
        <w:rPr>
          <w:rFonts w:ascii="Verdana" w:hAnsi="Verdana" w:cs="Times New Roman"/>
          <w:b/>
          <w:bCs/>
          <w:i/>
          <w:iCs/>
          <w:color w:val="000000"/>
          <w:kern w:val="0"/>
          <w:szCs w:val="24"/>
          <w:lang w:eastAsia="cs-CZ"/>
        </w:rPr>
        <w:t>Ukázka meritorních ustanovení:</w:t>
      </w:r>
    </w:p>
    <w:p w14:paraId="0C92B9D6" w14:textId="77777777" w:rsidR="003D4386" w:rsidRPr="003D4386" w:rsidRDefault="003D4386" w:rsidP="003D4386">
      <w:pPr>
        <w:widowControl/>
        <w:shd w:val="clear" w:color="auto" w:fill="F9F9F9"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 w:rsidRPr="003D4386">
        <w:rPr>
          <w:rFonts w:ascii="Verdana" w:hAnsi="Verdana" w:cs="Times New Roman"/>
          <w:b/>
          <w:bCs/>
          <w:i/>
          <w:iCs/>
          <w:color w:val="000000"/>
          <w:kern w:val="0"/>
          <w:sz w:val="20"/>
          <w:lang w:eastAsia="cs-CZ"/>
        </w:rPr>
        <w:t>V. Mírové urovnání sporů</w:t>
      </w:r>
    </w:p>
    <w:p w14:paraId="73EFEB61" w14:textId="77777777" w:rsidR="003D4386" w:rsidRPr="003D4386" w:rsidRDefault="003D4386" w:rsidP="003D4386">
      <w:pPr>
        <w:widowControl/>
        <w:shd w:val="clear" w:color="auto" w:fill="F9F9F9"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 w:rsidRPr="003D4386">
        <w:rPr>
          <w:rFonts w:ascii="Verdana" w:hAnsi="Verdana" w:cs="Times New Roman"/>
          <w:color w:val="000000"/>
          <w:kern w:val="0"/>
          <w:sz w:val="20"/>
          <w:lang w:eastAsia="cs-CZ"/>
        </w:rPr>
        <w:t>Zúčastněné státy budou urovnávat spory mezi sebou mírovými prostředky takovým způsobem, aby nebyl ohrožen mezinárodní mír, bezpečnost a spravedlnost.</w:t>
      </w:r>
    </w:p>
    <w:p w14:paraId="5625E19F" w14:textId="77777777" w:rsidR="003D4386" w:rsidRPr="003D4386" w:rsidRDefault="003D4386" w:rsidP="003D4386">
      <w:pPr>
        <w:widowControl/>
        <w:shd w:val="clear" w:color="auto" w:fill="F9F9F9"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 w:rsidRPr="003D4386">
        <w:rPr>
          <w:rFonts w:ascii="Verdana" w:hAnsi="Verdana" w:cs="Times New Roman"/>
          <w:color w:val="000000"/>
          <w:kern w:val="0"/>
          <w:sz w:val="20"/>
          <w:lang w:eastAsia="cs-CZ"/>
        </w:rPr>
        <w:t>Budou usilovat podle svého poctivého přesvědčení a v duchu spolupráce o dosažení rychlého a spravedlivého řešení na základě mezinárodního práva.</w:t>
      </w:r>
    </w:p>
    <w:p w14:paraId="064D747F" w14:textId="77777777" w:rsidR="003D4386" w:rsidRPr="003D4386" w:rsidRDefault="003D4386" w:rsidP="003D4386">
      <w:pPr>
        <w:widowControl/>
        <w:shd w:val="clear" w:color="auto" w:fill="F9F9F9"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 w:rsidRPr="003D4386">
        <w:rPr>
          <w:rFonts w:ascii="Verdana" w:hAnsi="Verdana" w:cs="Times New Roman"/>
          <w:color w:val="000000"/>
          <w:kern w:val="0"/>
          <w:sz w:val="20"/>
          <w:lang w:eastAsia="cs-CZ"/>
        </w:rPr>
        <w:t>Za tímto účelem budou používat takových prostředků jako vyjednávání, šetření, zprostředkování, smírčího, rozhodčího a soudního řízení nebo jiných mírových prostředků podle vlastní volby včetně jakéhokoli postupu urovnání svých sporů, na němž se zúčastněné strany před vznikem sporu dohodly.</w:t>
      </w:r>
    </w:p>
    <w:p w14:paraId="647AD68B" w14:textId="77777777" w:rsidR="003D4386" w:rsidRPr="003D4386" w:rsidRDefault="003D4386" w:rsidP="008B0202">
      <w:pPr>
        <w:widowControl/>
        <w:shd w:val="clear" w:color="auto" w:fill="F9F9F9"/>
        <w:suppressAutoHyphens w:val="0"/>
        <w:overflowPunct/>
        <w:autoSpaceDE/>
        <w:spacing w:before="100" w:beforeAutospacing="1" w:after="100" w:afterAutospacing="1"/>
        <w:textAlignment w:val="auto"/>
        <w:rPr>
          <w:rFonts w:ascii="Verdana" w:hAnsi="Verdana" w:cs="Times New Roman"/>
          <w:color w:val="000000"/>
          <w:kern w:val="0"/>
          <w:sz w:val="20"/>
          <w:lang w:eastAsia="cs-CZ"/>
        </w:rPr>
      </w:pPr>
      <w:r w:rsidRPr="003D4386">
        <w:rPr>
          <w:rFonts w:ascii="Verdana" w:hAnsi="Verdana" w:cs="Times New Roman"/>
          <w:color w:val="000000"/>
          <w:kern w:val="0"/>
          <w:sz w:val="20"/>
          <w:lang w:eastAsia="cs-CZ"/>
        </w:rPr>
        <w:t>Nebude-li možno dosáhnout řešení žádným ze shora uvedených mírových prostředků, budou strany zúčastněné na sporu nadále hledat cestu k mírovému urovnání způsobem, na kterém se vzájemně dohodnou.</w:t>
      </w:r>
    </w:p>
    <w:p w14:paraId="57858B5B" w14:textId="77777777" w:rsidR="002828DF" w:rsidRPr="008B0202" w:rsidRDefault="002828DF" w:rsidP="000B04FD">
      <w:pPr>
        <w:spacing w:before="120"/>
        <w:rPr>
          <w:rFonts w:ascii="Times New Roman" w:hAnsi="Times New Roman" w:cs="Times New Roman"/>
          <w:b/>
          <w:color w:val="000080"/>
          <w:sz w:val="32"/>
          <w:szCs w:val="32"/>
        </w:rPr>
      </w:pPr>
      <w:r w:rsidRPr="008B0202">
        <w:rPr>
          <w:rFonts w:ascii="Times New Roman" w:hAnsi="Times New Roman" w:cs="Times New Roman"/>
          <w:b/>
          <w:i/>
          <w:iCs/>
          <w:color w:val="000080"/>
          <w:sz w:val="32"/>
          <w:szCs w:val="32"/>
        </w:rPr>
        <w:t>Závěrečná ustanovení:</w:t>
      </w:r>
    </w:p>
    <w:p w14:paraId="393FFB60" w14:textId="77777777" w:rsidR="00053C89" w:rsidRPr="004C2707" w:rsidRDefault="00053C89" w:rsidP="000B04FD">
      <w:pPr>
        <w:spacing w:before="120"/>
        <w:rPr>
          <w:rFonts w:ascii="Times New Roman" w:hAnsi="Times New Roman" w:cs="Times New Roman"/>
          <w:color w:val="000080"/>
          <w:sz w:val="26"/>
          <w:szCs w:val="26"/>
        </w:rPr>
      </w:pPr>
      <w:r w:rsidRPr="004C2707">
        <w:rPr>
          <w:rFonts w:ascii="Times New Roman" w:hAnsi="Times New Roman" w:cs="Times New Roman"/>
          <w:color w:val="000080"/>
          <w:sz w:val="26"/>
          <w:szCs w:val="26"/>
        </w:rPr>
        <w:t xml:space="preserve">Originál tohoto Závěrečného aktu, vyhotovený v angličtině, francouzštině, italštině, němčině, ruštině a španělštině, bude předán vládě Finské republiky, která ho uloží ve svém archívu. Každý ze zúčastněných států obdrží od vlády Finské republiky věrný opis tohoto Závěrečného aktu. </w:t>
      </w:r>
    </w:p>
    <w:p w14:paraId="669B5921" w14:textId="77777777" w:rsidR="00053C89" w:rsidRPr="004C2707" w:rsidRDefault="00053C89">
      <w:pPr>
        <w:spacing w:before="113"/>
        <w:rPr>
          <w:rFonts w:ascii="Times New Roman" w:hAnsi="Times New Roman" w:cs="Times New Roman"/>
          <w:color w:val="000080"/>
          <w:sz w:val="26"/>
          <w:szCs w:val="26"/>
        </w:rPr>
      </w:pPr>
      <w:r w:rsidRPr="004C2707">
        <w:rPr>
          <w:rFonts w:ascii="Times New Roman" w:hAnsi="Times New Roman" w:cs="Times New Roman"/>
          <w:color w:val="000080"/>
          <w:sz w:val="26"/>
          <w:szCs w:val="26"/>
        </w:rPr>
        <w:t xml:space="preserve">Text Závěrečného aktu bude zveřejněn v každém ze zúčastněných států, který ho rozšíří a zabezpečí co možná nejširší obeznámení s ním. Vláda Finské republiky se žádá, aby předala generálnímu tajemníkovi OSN text tohoto Závěrečného aktu, který podléhá registraci podle článku 102 Charty OSN s tím, aby byl rozeslán všem členům organizace jako oficiální dokument OSN. Vláda Finské republiky se rovněž žádá, aby předala text tohoto Závěrečného aktu generálnímu řediteli UNESCO a výkonnému tajemníkovi Evropské hospodářské komise OSN. </w:t>
      </w:r>
    </w:p>
    <w:p w14:paraId="70B73D39" w14:textId="77777777" w:rsidR="00053C89" w:rsidRPr="004C2707" w:rsidRDefault="00053C89">
      <w:pPr>
        <w:spacing w:before="113"/>
        <w:rPr>
          <w:rFonts w:ascii="Times New Roman" w:hAnsi="Times New Roman" w:cs="Times New Roman"/>
          <w:color w:val="000080"/>
          <w:sz w:val="26"/>
          <w:szCs w:val="26"/>
        </w:rPr>
      </w:pPr>
      <w:r w:rsidRPr="004C2707">
        <w:rPr>
          <w:rFonts w:ascii="Times New Roman" w:hAnsi="Times New Roman" w:cs="Times New Roman"/>
          <w:color w:val="000080"/>
          <w:sz w:val="26"/>
          <w:szCs w:val="26"/>
        </w:rPr>
        <w:lastRenderedPageBreak/>
        <w:t xml:space="preserve">Pročež </w:t>
      </w:r>
      <w:r w:rsidRPr="001516BB">
        <w:rPr>
          <w:rFonts w:ascii="Times New Roman" w:hAnsi="Times New Roman" w:cs="Times New Roman"/>
          <w:b/>
          <w:color w:val="000080"/>
          <w:sz w:val="26"/>
          <w:szCs w:val="26"/>
        </w:rPr>
        <w:t>níže podepsaní vysocí představitelé zúčastněných států</w:t>
      </w:r>
      <w:r w:rsidRPr="004C2707">
        <w:rPr>
          <w:rFonts w:ascii="Times New Roman" w:hAnsi="Times New Roman" w:cs="Times New Roman"/>
          <w:color w:val="000080"/>
          <w:sz w:val="26"/>
          <w:szCs w:val="26"/>
        </w:rPr>
        <w:t xml:space="preserve">, vědomi si velkého politického významu, který přikládají výsledkům Konference a vyhlašujíce své odhodlání jednat v souladu s ustanoveními obsaženými ve výše uvedených textech, připojili níže své podpisy k tomuto Závěrečnému aktu. </w:t>
      </w:r>
    </w:p>
    <w:p w14:paraId="40B4A5AC" w14:textId="77777777" w:rsidR="00053C89" w:rsidRPr="004C2707" w:rsidRDefault="00053C89">
      <w:pPr>
        <w:spacing w:before="113"/>
        <w:rPr>
          <w:rFonts w:ascii="Times New Roman" w:hAnsi="Times New Roman" w:cs="Times New Roman"/>
          <w:color w:val="000080"/>
          <w:sz w:val="26"/>
          <w:szCs w:val="26"/>
        </w:rPr>
      </w:pPr>
      <w:r w:rsidRPr="004C2707">
        <w:rPr>
          <w:rFonts w:ascii="Times New Roman" w:hAnsi="Times New Roman" w:cs="Times New Roman"/>
          <w:color w:val="000080"/>
          <w:sz w:val="26"/>
          <w:szCs w:val="26"/>
        </w:rPr>
        <w:t xml:space="preserve">V Helsinkách dne 1. srpna 1975 </w:t>
      </w:r>
    </w:p>
    <w:p w14:paraId="6D449BF6" w14:textId="11936DAC" w:rsidR="00053C89" w:rsidRPr="001516BB" w:rsidRDefault="0072612B">
      <w:pPr>
        <w:spacing w:before="113"/>
        <w:rPr>
          <w:rFonts w:ascii="Times New Roman" w:hAnsi="Times New Roman" w:cs="Times New Roman"/>
          <w:b/>
          <w:i/>
          <w:color w:val="000080"/>
          <w:sz w:val="26"/>
          <w:szCs w:val="26"/>
        </w:rPr>
      </w:pPr>
      <w:r w:rsidRPr="001516BB">
        <w:rPr>
          <w:rFonts w:ascii="Times New Roman" w:hAnsi="Times New Roman" w:cs="Times New Roman"/>
          <w:b/>
          <w:i/>
          <w:color w:val="000080"/>
          <w:sz w:val="26"/>
          <w:szCs w:val="26"/>
        </w:rPr>
        <w:t xml:space="preserve"> </w:t>
      </w:r>
      <w:r w:rsidR="00053C89" w:rsidRPr="001516BB">
        <w:rPr>
          <w:rFonts w:ascii="Times New Roman" w:hAnsi="Times New Roman" w:cs="Times New Roman"/>
          <w:b/>
          <w:i/>
          <w:color w:val="000080"/>
          <w:sz w:val="26"/>
          <w:szCs w:val="26"/>
        </w:rPr>
        <w:t>Podpisy</w:t>
      </w:r>
      <w:r w:rsidR="001516BB">
        <w:rPr>
          <w:rFonts w:ascii="Times New Roman" w:hAnsi="Times New Roman" w:cs="Times New Roman"/>
          <w:b/>
          <w:i/>
          <w:color w:val="000080"/>
          <w:sz w:val="26"/>
          <w:szCs w:val="26"/>
        </w:rPr>
        <w:t xml:space="preserve"> (35 států účastnících se konference)</w:t>
      </w:r>
      <w:r w:rsidR="00053C89" w:rsidRPr="001516BB">
        <w:rPr>
          <w:rFonts w:ascii="Times New Roman" w:hAnsi="Times New Roman" w:cs="Times New Roman"/>
          <w:b/>
          <w:i/>
          <w:color w:val="000080"/>
          <w:sz w:val="26"/>
          <w:szCs w:val="26"/>
        </w:rPr>
        <w:t>.</w:t>
      </w:r>
    </w:p>
    <w:p w14:paraId="7F807572" w14:textId="77777777" w:rsidR="003218D6" w:rsidRDefault="003218D6">
      <w:pPr>
        <w:spacing w:before="113"/>
        <w:rPr>
          <w:rFonts w:ascii="Arial Black" w:hAnsi="Arial Black" w:cs="Times New Roman"/>
          <w:color w:val="C00000"/>
          <w:sz w:val="32"/>
          <w:szCs w:val="32"/>
          <w:highlight w:val="yellow"/>
        </w:rPr>
      </w:pPr>
    </w:p>
    <w:p w14:paraId="7C201C75" w14:textId="7F8F888C" w:rsidR="00053C89" w:rsidRPr="003218D6" w:rsidRDefault="003D4386">
      <w:pPr>
        <w:spacing w:before="113"/>
        <w:rPr>
          <w:rFonts w:ascii="Arial" w:hAnsi="Arial" w:cs="Arial"/>
          <w:b/>
          <w:bCs/>
          <w:color w:val="C00000"/>
          <w:sz w:val="32"/>
          <w:szCs w:val="32"/>
        </w:rPr>
      </w:pPr>
      <w:r w:rsidRPr="003218D6">
        <w:rPr>
          <w:rFonts w:ascii="Arial" w:hAnsi="Arial" w:cs="Arial"/>
          <w:b/>
          <w:bCs/>
          <w:color w:val="C00000"/>
          <w:sz w:val="32"/>
          <w:szCs w:val="32"/>
          <w:highlight w:val="yellow"/>
        </w:rPr>
        <w:t>Je to</w:t>
      </w:r>
      <w:r w:rsidR="008B0202" w:rsidRPr="003218D6">
        <w:rPr>
          <w:rFonts w:ascii="Arial" w:hAnsi="Arial" w:cs="Arial"/>
          <w:b/>
          <w:bCs/>
          <w:color w:val="C00000"/>
          <w:sz w:val="32"/>
          <w:szCs w:val="32"/>
          <w:highlight w:val="yellow"/>
        </w:rPr>
        <w:t>to</w:t>
      </w:r>
      <w:r w:rsidRPr="003218D6">
        <w:rPr>
          <w:rFonts w:ascii="Arial" w:hAnsi="Arial" w:cs="Arial"/>
          <w:b/>
          <w:bCs/>
          <w:color w:val="C00000"/>
          <w:sz w:val="32"/>
          <w:szCs w:val="32"/>
          <w:highlight w:val="yellow"/>
        </w:rPr>
        <w:t xml:space="preserve"> mezinárodní smlouva nebo jen</w:t>
      </w:r>
      <w:r w:rsidR="003218D6" w:rsidRPr="003218D6">
        <w:rPr>
          <w:rFonts w:ascii="Arial" w:hAnsi="Arial" w:cs="Arial"/>
          <w:b/>
          <w:bCs/>
          <w:color w:val="C00000"/>
          <w:sz w:val="32"/>
          <w:szCs w:val="32"/>
          <w:highlight w:val="yellow"/>
        </w:rPr>
        <w:t xml:space="preserve"> právně nezávazné</w:t>
      </w:r>
      <w:r w:rsidRPr="003218D6">
        <w:rPr>
          <w:rFonts w:ascii="Arial" w:hAnsi="Arial" w:cs="Arial"/>
          <w:b/>
          <w:bCs/>
          <w:color w:val="C00000"/>
          <w:sz w:val="32"/>
          <w:szCs w:val="32"/>
          <w:highlight w:val="yellow"/>
        </w:rPr>
        <w:t xml:space="preserve"> politické prohlášení ?</w:t>
      </w:r>
    </w:p>
    <w:p w14:paraId="40764DB5" w14:textId="751A008D" w:rsidR="003218D6" w:rsidRPr="003218D6" w:rsidRDefault="003218D6">
      <w:pPr>
        <w:spacing w:before="113"/>
        <w:rPr>
          <w:rFonts w:ascii="Arial" w:hAnsi="Arial" w:cs="Arial"/>
          <w:sz w:val="32"/>
          <w:szCs w:val="32"/>
        </w:rPr>
      </w:pPr>
      <w:r w:rsidRPr="003218D6">
        <w:rPr>
          <w:rFonts w:ascii="Arial" w:hAnsi="Arial" w:cs="Arial"/>
          <w:sz w:val="32"/>
          <w:szCs w:val="32"/>
        </w:rPr>
        <w:t>(Ve své době o tom byly ostré diskuse mezi státy východní a západní Evropy.)</w:t>
      </w:r>
    </w:p>
    <w:sectPr w:rsidR="003218D6" w:rsidRPr="003218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70317"/>
    <w:multiLevelType w:val="multilevel"/>
    <w:tmpl w:val="57A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9"/>
    <w:rsid w:val="00001B98"/>
    <w:rsid w:val="00053C89"/>
    <w:rsid w:val="00062980"/>
    <w:rsid w:val="00074566"/>
    <w:rsid w:val="000B04FD"/>
    <w:rsid w:val="0011099A"/>
    <w:rsid w:val="00133896"/>
    <w:rsid w:val="001516BB"/>
    <w:rsid w:val="001C12E2"/>
    <w:rsid w:val="00230024"/>
    <w:rsid w:val="002828DF"/>
    <w:rsid w:val="003218D6"/>
    <w:rsid w:val="003D4386"/>
    <w:rsid w:val="003E068E"/>
    <w:rsid w:val="00475654"/>
    <w:rsid w:val="00486B60"/>
    <w:rsid w:val="004C2707"/>
    <w:rsid w:val="004F248A"/>
    <w:rsid w:val="005A3376"/>
    <w:rsid w:val="0064389E"/>
    <w:rsid w:val="006C480C"/>
    <w:rsid w:val="0072612B"/>
    <w:rsid w:val="007831BC"/>
    <w:rsid w:val="008751F0"/>
    <w:rsid w:val="008B0202"/>
    <w:rsid w:val="009A3899"/>
    <w:rsid w:val="009F5EE9"/>
    <w:rsid w:val="00A234DF"/>
    <w:rsid w:val="00AF0E8E"/>
    <w:rsid w:val="00AF2983"/>
    <w:rsid w:val="00B92294"/>
    <w:rsid w:val="00BE753C"/>
    <w:rsid w:val="00C65F93"/>
    <w:rsid w:val="00F1073A"/>
    <w:rsid w:val="00F37853"/>
    <w:rsid w:val="00F66B50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A6718"/>
  <w15:chartTrackingRefBased/>
  <w15:docId w15:val="{93EEAF78-2C3F-47F7-ADDA-94F3755D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textAlignment w:val="baseline"/>
    </w:pPr>
    <w:rPr>
      <w:rFonts w:ascii="Liberation Serif" w:hAnsi="Liberation Serif" w:cs="Liberation Serif"/>
      <w:kern w:val="1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ejstk0">
    <w:name w:val="Rejst?ík"/>
    <w:basedOn w:val="Normln"/>
    <w:pPr>
      <w:suppressLineNumbers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A38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kern w:val="0"/>
      <w:sz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9A3899"/>
    <w:rPr>
      <w:rFonts w:ascii="Courier New" w:hAnsi="Courier New" w:cs="Courier New"/>
    </w:rPr>
  </w:style>
  <w:style w:type="character" w:styleId="Hypertextovodkaz">
    <w:name w:val="Hyperlink"/>
    <w:uiPriority w:val="99"/>
    <w:unhideWhenUsed/>
    <w:rsid w:val="002828D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3D4386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042">
          <w:marLeft w:val="0"/>
          <w:marRight w:val="0"/>
          <w:marTop w:val="0"/>
          <w:marBottom w:val="0"/>
          <w:divBdr>
            <w:top w:val="double" w:sz="2" w:space="5" w:color="339933"/>
            <w:left w:val="double" w:sz="2" w:space="5" w:color="339933"/>
            <w:bottom w:val="double" w:sz="2" w:space="5" w:color="339933"/>
            <w:right w:val="double" w:sz="2" w:space="5" w:color="339933"/>
          </w:divBdr>
          <w:divsChild>
            <w:div w:id="13610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1688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č</vt:lpstr>
    </vt:vector>
  </TitlesOfParts>
  <Company>PrF MU</Company>
  <LinksUpToDate>false</LinksUpToDate>
  <CharactersWithSpaces>11631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mailto:tyc@law.muni.cz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č</dc:title>
  <dc:subject/>
  <dc:creator>Vladimír Týč</dc:creator>
  <cp:keywords/>
  <cp:lastModifiedBy>Tyc Vladimir</cp:lastModifiedBy>
  <cp:revision>6</cp:revision>
  <cp:lastPrinted>2012-03-05T09:58:00Z</cp:lastPrinted>
  <dcterms:created xsi:type="dcterms:W3CDTF">2022-03-21T10:56:00Z</dcterms:created>
  <dcterms:modified xsi:type="dcterms:W3CDTF">2022-04-04T20:00:00Z</dcterms:modified>
</cp:coreProperties>
</file>