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83" w:rsidRPr="00EC3283" w:rsidRDefault="00EC3283" w:rsidP="00EC3283">
      <w:pPr>
        <w:shd w:val="clear" w:color="auto" w:fill="E1E0E0"/>
        <w:spacing w:after="150" w:line="432" w:lineRule="atLeast"/>
        <w:textAlignment w:val="top"/>
        <w:outlineLvl w:val="0"/>
        <w:rPr>
          <w:rFonts w:ascii="Roboto" w:eastAsia="Times New Roman" w:hAnsi="Roboto" w:cs="Times New Roman"/>
          <w:color w:val="272727"/>
          <w:kern w:val="36"/>
          <w:sz w:val="25"/>
          <w:szCs w:val="25"/>
          <w:lang w:eastAsia="cs-CZ"/>
        </w:rPr>
      </w:pPr>
      <w:r w:rsidRPr="00EC3283">
        <w:rPr>
          <w:rFonts w:ascii="Roboto" w:eastAsia="Times New Roman" w:hAnsi="Roboto" w:cs="Times New Roman"/>
          <w:color w:val="272727"/>
          <w:kern w:val="36"/>
          <w:sz w:val="25"/>
          <w:szCs w:val="25"/>
          <w:lang w:eastAsia="cs-CZ"/>
        </w:rPr>
        <w:t>Monitor legislativního procesu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6007"/>
        <w:gridCol w:w="1665"/>
      </w:tblGrid>
      <w:tr w:rsidR="00EC3283" w:rsidRPr="00EC3283" w:rsidTr="00EC3283">
        <w:tc>
          <w:tcPr>
            <w:tcW w:w="1725" w:type="dxa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925" w:type="dxa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3283" w:rsidRPr="00EC3283" w:rsidTr="00EC3283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3283" w:rsidRPr="00EC3283" w:rsidRDefault="00EC3283" w:rsidP="00EC3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Zákon, kterým se zrušují obsoletní zákony z roku 1919</w:t>
            </w:r>
          </w:p>
        </w:tc>
        <w:tc>
          <w:tcPr>
            <w:tcW w:w="0" w:type="auto"/>
            <w:shd w:val="clear" w:color="auto" w:fill="E1E0E0"/>
            <w:vAlign w:val="center"/>
            <w:hideMark/>
          </w:tcPr>
          <w:p w:rsidR="00EC3283" w:rsidRPr="00EC3283" w:rsidRDefault="00EC3283" w:rsidP="00EC3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Podatelna Poslanecké sněmovny</w:t>
            </w:r>
            <w:r w:rsidRPr="00EC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31. května 2018</w:t>
            </w:r>
          </w:p>
        </w:tc>
      </w:tr>
      <w:tr w:rsidR="00EC3283" w:rsidRPr="00EC3283" w:rsidTr="00EC3283">
        <w:tc>
          <w:tcPr>
            <w:tcW w:w="0" w:type="auto"/>
            <w:gridSpan w:val="2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Rozesláno poslancům</w:t>
            </w:r>
          </w:p>
        </w:tc>
      </w:tr>
      <w:tr w:rsidR="00EC3283" w:rsidRPr="00EC3283" w:rsidTr="00EC3283">
        <w:tc>
          <w:tcPr>
            <w:tcW w:w="0" w:type="auto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Předkladatel: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</w:tr>
      <w:tr w:rsidR="00EC3283" w:rsidRPr="00EC3283" w:rsidTr="00EC3283">
        <w:tc>
          <w:tcPr>
            <w:tcW w:w="0" w:type="auto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Anotace: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zrušení stále platných právních předpisů - tyto právní normy nejsou v současné době jakkoli užívány, lze je považovat za zákony tzv. vyhaslé, neboli obsoletní</w:t>
            </w:r>
          </w:p>
        </w:tc>
      </w:tr>
      <w:tr w:rsidR="00EC3283" w:rsidRPr="00EC3283" w:rsidTr="00EC3283">
        <w:tc>
          <w:tcPr>
            <w:tcW w:w="0" w:type="auto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Podle právního informačního systému ASPI bylo ve Sbírce zákonů publikováno od 28. 10. 1918 dosud celkem 33.616 právních předpisů, z toho za období od 1. 1. 1990 dosud to bylo 14.034. V roce 1985 bylo ve Sbírce zákonů uveřejněno 141 právních předpisů (zákonů, vyhlášek apod.), v roce 1995 celkem 318 právních předpisů, v roce 2017 to již bylo 476 právních předpisů. Objem platných právních norem v českém právním řádu se neustále zvětšuje, počet přijímaných právních předpisů je výrazně vyšší než počet zrušovaných. Stejná situace je i ve vztahu k mezinárodním smlouvám, které jsou součástí českého právního řádu. Při detailní analýze systému ASPI lze mezi stále platnými právními předpisy nalézt i takové, jež pocházejí z období počátku tzv. první republiky, tzn. od roku 1918 a dále. Tyto právní normy nejsou v současné době jakkoli užívány, lze je nepochybně považovat za zákony tzv. vyhaslé, neboli obsoletní. Nejen z hlediska právní teorie, ale také z hlediska reálné praxe je existence těchto předpisů zcela nadbytečná. Přesto nikdy nebyly příslušnými státními orgány zrušeny a nadále tak zaplevelují český právní řád. Jedním z hlavních problémů v tomto směru je skutečnost, že nelze přesně říci, jaké právní předpisy jsou stále platné a jaké nikoliv, neboť neexistuje oficiální sbírka platných právních předpisů. Platné a účinné právní předpisy, stanovující v současné době práva a povinnosti občanům, jsou tak obklopeny množstvím obsoletních předpisů, které pro občana nemají ve skutečnosti reálný význam. Pro občana, jakož ale často i pro orgány státní správy je pak často velmi složité se ve změti právních předpisů vyznat a identifikovat, kterým z právních předpisů je třeba se při každodenní činnosti řídit. Takový stav ohrožuje právní jistotu občanů i řádné fungování státní správy. Navrhovatel považuje současný stav představující neustálý nárůst počtu platných právních předpisů za alarmující. Vedle dalších opatření, jakými je například snížení počtu nově </w:t>
            </w: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přijímaných právních norem, omezení počtu novelizací jednotlivých právních předpisů, považuje navrhovatel za žádoucí zahájit proces očisty českého právního řádu, spočívající v postupném rušení obsoletních právních předpisů v českém právním řádě. Jako výchozí bod navrhovatel stanovil rok 1919, tzn. počátek samostatného československého státu. Postupným rušením obsoletních právních předpisů se český právní řád stane přehlednější a méně přebujelý. Bez toho, že by došlo k postupnému rušení obsoletních právních předpisů, u nichž je zřejmé, že své praktické využití již pozbyly, avšak doposud nebyly řádně zrušeny, nemůže proběhnout řádně očista českého právního řádu.</w:t>
            </w:r>
          </w:p>
        </w:tc>
      </w:tr>
      <w:tr w:rsidR="00EC3283" w:rsidRPr="00EC3283" w:rsidTr="00EC3283">
        <w:tc>
          <w:tcPr>
            <w:tcW w:w="0" w:type="auto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Odkazy: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EC3283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cs-CZ"/>
                </w:rPr>
                <w:t>Legislativní proces v Parlamentu ČR</w:t>
              </w:r>
            </w:hyperlink>
          </w:p>
        </w:tc>
      </w:tr>
      <w:tr w:rsidR="00EC3283" w:rsidRPr="00EC3283" w:rsidTr="00EC3283">
        <w:tc>
          <w:tcPr>
            <w:tcW w:w="0" w:type="auto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Derogace: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6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111/1919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, jímž se doplňuje § 303 </w:t>
            </w:r>
            <w:proofErr w:type="spellStart"/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tr.z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7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170/1919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jímž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upravuje státní daň a přirážková základna u daní reálných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8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182/1919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změnách a doplněních některých ustanovení o zdanění lihu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9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175/1919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zřízení a působnosti nejvyššího účetního kontrolního úřadu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10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461/1920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kterým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mění příloha k § 3 nařízení ze dne 17. října 1912, č. 204 ř. z., o výpočtu srážkové položky při vyměřování daně činžovní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11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169/1919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, kterým se mění nařízení Národního výboru československého ze dne 5. listopadu 1918, č. 21 </w:t>
            </w:r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Sb. z. a n.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přísaze vojsk československých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12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156/1919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kterým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povoluje se náklad na nouzové práce silniční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13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153/1919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jenž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týče oddělení správy finanční od správy politické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14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152/1919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nejvyšší emisi dluhopisů "Zemědělské banky markrabství Moravského" v Brně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15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238/1919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uspořádání služby pro nejvyšší důchodkový soud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16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134/1919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jímž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zřizuje se nejvyšší důchodkový soud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17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89/1919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jímž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zařaďují se oficianti do úřednických tříd hodnostních a platových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18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88/1919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státní půjčce ve zlatě, stříbře a cizích valutách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19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163/1922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kterým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organisuje revisní služba v ministerstvu financí, zařazují se úředníci této služby do skupin časového postupu a stanoví se jejich úřední tituly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20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8/1922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náhradě za bankovky Rakousko-uherské banky s padělanými kolky československými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21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279/1921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výplatě československých cenných papírů v Německu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22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485/1920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nepřihlášených propadajících vkladech do 50 Kč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Nařízení </w:t>
            </w:r>
            <w:hyperlink r:id="rId23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467/1920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uvolnění vkladů a podílů k upisování čtvrté státní půjčky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24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466/1920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uvolnění splatných pojištěných kapitálů k upisování čtvrté státní půjčky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25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427/1920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označení cenných papírů dovezených z ciziny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26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146/1920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jímž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mění dosavadní předpisy o uvolnění zadržených výplat ze smluv pojišťovacích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27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24/1920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vyplácení menších peněžních vkladů a podílů k soupisu nepřihlášených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28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548/1919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uvolnění splatných pojištěných kapitálů k upsání státní půjčky republiky Československé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29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488/1919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 dalším uvolnění vkladů a podílů, přihlášených dle nařízení ze dne 4. března 1919, </w:t>
            </w:r>
            <w:proofErr w:type="spellStart"/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č.110</w:t>
            </w:r>
            <w:proofErr w:type="spellEnd"/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Sb.z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a n.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30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478/1919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prodloužení lhůty pro soupis jmění movitého dle § 8 zmocňovacího zákona a pohledávek neknihovních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31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416/1919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prodloužení lhůty pro soupis jmění movitého dle § 8 zmocňovacího zákona a pohledávek neknihovních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32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311/1919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, jímž se mění nařízení ze dne 6. března 1919, </w:t>
            </w:r>
            <w:proofErr w:type="spellStart"/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č.113</w:t>
            </w:r>
            <w:proofErr w:type="spellEnd"/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 z. a n., o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obmezení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výplat a zákazu vývozu, a jímž se zakazuje dovoz neokolkovaných bankovek Rakousko-uherské banky.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33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285/1919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, jímž mění se </w:t>
            </w:r>
            <w:proofErr w:type="spellStart"/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čl.11</w:t>
            </w:r>
            <w:proofErr w:type="spellEnd"/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nařízení ze dne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4.března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1919,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č.110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 z. a n., o výplatě vkladů a podílů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34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283/1919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 prodloužení lhůty </w:t>
            </w:r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soupisu pojistek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35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246/1919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 organisaci Bankovního úřadu ministerstva financí, o statutu Bankovního výboru při ministerstvu financí, o obchodech Bankovního úřadu ministerstva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fianncí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dále o vyúčtování a převzetí lombardu a pokladničních </w:t>
            </w:r>
            <w:proofErr w:type="spellStart"/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poukázek,vyúčtování</w:t>
            </w:r>
            <w:proofErr w:type="spellEnd"/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žirových účtů Rakousko-uherské banky a o převzetí zaměstnanců této banky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36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217/1919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sestavení likvidační bilance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37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201/1919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prodloužení lhůty pro soupis a označení cenných papírů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38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200/1919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 prodloužení lhůty pro soupis mincovaného i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nemincovaného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zlata, stříbra, zlatých a stříbrných mincí a cizozemských papírových peněz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39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185/1919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soupisu jmění movitého dle § 8 zmocňovacího zákona a pohledávek neknihovních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40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184/1919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soupisu pojistek životních na kapitál a důchod a soupisu pojistek na zásoby zboží uloženého neb dopravovaného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41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168/1919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jímž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mění ustanovení o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obmezení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výplaty vkladů u peněžních ústavů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42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167/1919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zákazu výplat účtů před 26. únorem 1919 vzniklých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43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142/1919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, jímž se zrušuje čl. 11. nařízení ze dne 4. března 1919, čís. 110 </w:t>
            </w:r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Sb. z. a n.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pro výplaty vkladů na běžných účtech mezi peněžními ústavy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44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141/1919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soupisu mincovaného i nezpracovaného zlata, stříbra, zlatých a stříbrných mincí a cizozemských papírových peněz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45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130/1919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, jímž se doplňuje nařízení ze </w:t>
            </w:r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dne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6.března</w:t>
            </w:r>
            <w:proofErr w:type="spellEnd"/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1919, </w:t>
            </w: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čís. 113 Sb. z. a n., o povinné nabídce cizích valut a pohledávek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46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129/1919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zákazu lombardovati cenné papíry a vydávati uschované valuty, zlato a stříbro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47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126/1919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soupisu a označení cenných papírů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48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119/1919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úpravě poměru k Rakousko-uherské bance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49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118/1919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uvolnění zadržených vkladů při okolkování bankovek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50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114/1919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jímž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mění ustanovení o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obmezení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výplaty vkladů u peněžních stavů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51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113/1919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obmezení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výplat a zákazu vývozu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52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110/1919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soupisu peněžních vkladů a členských a závodních podílů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53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96/1919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zřízení revisního odboru při ministerstvu financí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54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87/1919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zákazu vydávati uschované cenné papíry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55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86/1919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okolkování bankovek vydaných Rakousko-uherskou bankou a nalézajících se na území československého státu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56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85/1919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soupisu dluhopisů rakouských a uherských válečných půjček a pokladničních poukázek Rakousko-uherské banky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57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84/1919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jímž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ministr financí zmocňuje, aby provedl nařízením okolkování bankovek a soupis jmění za účelem uložení majetkové dávky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58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349/1920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 provedení zákonů upravujících platové a postupové poměry profesorů vysokých škol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59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339/1919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 provedení zákona o platech profesorů vysokoškolských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60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78/1919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platech profesorů vysokých skol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61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74/1919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 přejímání státních úředníkův a zřízenců, jakož i úředníkův a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zřízenců státních podniků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62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64/1919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, jímž mění se § 9. zák. ze dne 21. července </w:t>
            </w:r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1871,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z.ř.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77, o zřízení a působnosti úřadů báňských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63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52/1919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, jímž se poskytují drahotní přídavky aktivním a pensionovaným učitelům veřejných, obecných a měšťanských škol, jakož i vdovám , a sirotkům po těchto učitelích po dobu </w:t>
            </w:r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1.ledna</w:t>
            </w:r>
            <w:proofErr w:type="spellEnd"/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1919 do konce června 1919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64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51/1919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 upotřebení části správních přebytků hromadných sirotčích pokladen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65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43/1919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, kterým se mění ustanovení § 17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cís.nař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ze dne </w:t>
            </w:r>
            <w:proofErr w:type="spellStart"/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16.dubna</w:t>
            </w:r>
            <w:proofErr w:type="spellEnd"/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1916,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z.ř.č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103 a § 22. zákona ze dne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16.února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1918,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z.ř.č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66, týkající se splatnosti daně z válečných zisků nebo daně válečné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Nařízení </w:t>
            </w:r>
            <w:hyperlink r:id="rId66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408/1919 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 provedení zákona ze dne </w:t>
            </w:r>
            <w:proofErr w:type="spellStart"/>
            <w:proofErr w:type="gram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24.ledna</w:t>
            </w:r>
            <w:proofErr w:type="spellEnd"/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1919,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č.42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Sb.z</w:t>
            </w:r>
            <w:proofErr w:type="spell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a n., o pořadu stolic ve věcech poplatkových</w:t>
            </w:r>
          </w:p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Zákon </w:t>
            </w:r>
            <w:hyperlink r:id="rId67" w:tgtFrame="_blank" w:history="1"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 xml:space="preserve">42/1919 </w:t>
              </w:r>
              <w:proofErr w:type="gramStart"/>
              <w:r w:rsidRPr="00EC32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cs-CZ"/>
                </w:rPr>
                <w:t>Sb.</w:t>
              </w:r>
            </w:hyperlink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, jímž</w:t>
            </w:r>
            <w:proofErr w:type="gramEnd"/>
            <w:r w:rsidRPr="00EC32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upravuje pořad stolic ve věcech poplatkových</w:t>
            </w:r>
          </w:p>
        </w:tc>
      </w:tr>
      <w:tr w:rsidR="00EC3283" w:rsidRPr="00EC3283" w:rsidTr="00EC3283">
        <w:tc>
          <w:tcPr>
            <w:tcW w:w="0" w:type="auto"/>
            <w:gridSpan w:val="3"/>
            <w:shd w:val="clear" w:color="auto" w:fill="auto"/>
            <w:tcMar>
              <w:top w:w="264" w:type="dxa"/>
              <w:left w:w="264" w:type="dxa"/>
              <w:bottom w:w="264" w:type="dxa"/>
              <w:right w:w="264" w:type="dxa"/>
            </w:tcMar>
            <w:hideMark/>
          </w:tcPr>
          <w:p w:rsidR="00EC3283" w:rsidRPr="00EC3283" w:rsidRDefault="00EC3283" w:rsidP="00EC3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C3283" w:rsidRPr="00EC3283" w:rsidRDefault="00EC3283" w:rsidP="00EC328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74747"/>
          <w:sz w:val="18"/>
          <w:szCs w:val="18"/>
          <w:lang w:eastAsia="cs-CZ"/>
        </w:rPr>
      </w:pPr>
      <w:proofErr w:type="spellStart"/>
      <w:r w:rsidRPr="00EC3283">
        <w:rPr>
          <w:rFonts w:ascii="Roboto" w:eastAsia="Times New Roman" w:hAnsi="Roboto" w:cs="Times New Roman"/>
          <w:color w:val="474747"/>
          <w:sz w:val="18"/>
          <w:szCs w:val="18"/>
          <w:lang w:eastAsia="cs-CZ"/>
        </w:rPr>
        <w:t>Wolters</w:t>
      </w:r>
      <w:proofErr w:type="spellEnd"/>
      <w:r w:rsidRPr="00EC3283">
        <w:rPr>
          <w:rFonts w:ascii="Roboto" w:eastAsia="Times New Roman" w:hAnsi="Roboto" w:cs="Times New Roman"/>
          <w:color w:val="474747"/>
          <w:sz w:val="18"/>
          <w:szCs w:val="18"/>
          <w:lang w:eastAsia="cs-CZ"/>
        </w:rPr>
        <w:t xml:space="preserve"> </w:t>
      </w:r>
      <w:proofErr w:type="spellStart"/>
      <w:r w:rsidRPr="00EC3283">
        <w:rPr>
          <w:rFonts w:ascii="Roboto" w:eastAsia="Times New Roman" w:hAnsi="Roboto" w:cs="Times New Roman"/>
          <w:color w:val="474747"/>
          <w:sz w:val="18"/>
          <w:szCs w:val="18"/>
          <w:lang w:eastAsia="cs-CZ"/>
        </w:rPr>
        <w:t>Kluwer</w:t>
      </w:r>
      <w:proofErr w:type="spellEnd"/>
      <w:r w:rsidRPr="00EC3283">
        <w:rPr>
          <w:rFonts w:ascii="Roboto" w:eastAsia="Times New Roman" w:hAnsi="Roboto" w:cs="Times New Roman"/>
          <w:color w:val="474747"/>
          <w:sz w:val="18"/>
          <w:szCs w:val="18"/>
          <w:lang w:eastAsia="cs-CZ"/>
        </w:rPr>
        <w:t xml:space="preserve"> © 2018</w:t>
      </w:r>
    </w:p>
    <w:p w:rsidR="00FB2DB9" w:rsidRDefault="00FB2DB9">
      <w:bookmarkStart w:id="0" w:name="_GoBack"/>
      <w:bookmarkEnd w:id="0"/>
    </w:p>
    <w:sectPr w:rsidR="00FB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83"/>
    <w:rsid w:val="004A7A6D"/>
    <w:rsid w:val="00EC3283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08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319657">
          <w:marLeft w:val="0"/>
          <w:marRight w:val="0"/>
          <w:marTop w:val="480"/>
          <w:marBottom w:val="0"/>
          <w:divBdr>
            <w:top w:val="single" w:sz="6" w:space="6" w:color="B9B9B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oveaspi.cz/products/lawText/1/1727/1/2" TargetMode="External"/><Relationship Id="rId21" Type="http://schemas.openxmlformats.org/officeDocument/2006/relationships/hyperlink" Target="https://www.noveaspi.cz/products/lawText/1/2560/1/2" TargetMode="External"/><Relationship Id="rId42" Type="http://schemas.openxmlformats.org/officeDocument/2006/relationships/hyperlink" Target="https://www.noveaspi.cz/products/lawText/1/1066/1/2" TargetMode="External"/><Relationship Id="rId47" Type="http://schemas.openxmlformats.org/officeDocument/2006/relationships/hyperlink" Target="https://www.noveaspi.cz/products/lawText/1/1026/1/2" TargetMode="External"/><Relationship Id="rId63" Type="http://schemas.openxmlformats.org/officeDocument/2006/relationships/hyperlink" Target="https://www.noveaspi.cz/products/lawText/1/953/1/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noveaspi.cz/products/lawText/1/1069/1/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oveaspi.cz/products/lawText/1/1034/1/2" TargetMode="External"/><Relationship Id="rId29" Type="http://schemas.openxmlformats.org/officeDocument/2006/relationships/hyperlink" Target="https://www.noveaspi.cz/products/lawText/1/1389/1/2" TargetMode="External"/><Relationship Id="rId11" Type="http://schemas.openxmlformats.org/officeDocument/2006/relationships/hyperlink" Target="https://www.noveaspi.cz/products/lawText/1/1068/1/2" TargetMode="External"/><Relationship Id="rId24" Type="http://schemas.openxmlformats.org/officeDocument/2006/relationships/hyperlink" Target="https://www.noveaspi.cz/products/lawText/1/2047/1/2" TargetMode="External"/><Relationship Id="rId32" Type="http://schemas.openxmlformats.org/officeDocument/2006/relationships/hyperlink" Target="https://www.noveaspi.cz/products/lawText/1/1212/1/2" TargetMode="External"/><Relationship Id="rId37" Type="http://schemas.openxmlformats.org/officeDocument/2006/relationships/hyperlink" Target="https://www.noveaspi.cz/products/lawText/1/1101/1/2" TargetMode="External"/><Relationship Id="rId40" Type="http://schemas.openxmlformats.org/officeDocument/2006/relationships/hyperlink" Target="https://www.noveaspi.cz/products/lawText/1/1084/1/2" TargetMode="External"/><Relationship Id="rId45" Type="http://schemas.openxmlformats.org/officeDocument/2006/relationships/hyperlink" Target="https://www.noveaspi.cz/products/lawText/1/1030/1/2" TargetMode="External"/><Relationship Id="rId53" Type="http://schemas.openxmlformats.org/officeDocument/2006/relationships/hyperlink" Target="https://www.noveaspi.cz/products/lawText/1/997/1/2" TargetMode="External"/><Relationship Id="rId58" Type="http://schemas.openxmlformats.org/officeDocument/2006/relationships/hyperlink" Target="https://www.noveaspi.cz/products/lawText/1/1930/1/2" TargetMode="External"/><Relationship Id="rId66" Type="http://schemas.openxmlformats.org/officeDocument/2006/relationships/hyperlink" Target="https://www.noveaspi.cz/products/lawText/1/1309/1/2" TargetMode="External"/><Relationship Id="rId5" Type="http://schemas.openxmlformats.org/officeDocument/2006/relationships/hyperlink" Target="http://www.psp.cz/sqw/historie.sqw?o=8&amp;T=189" TargetMode="External"/><Relationship Id="rId61" Type="http://schemas.openxmlformats.org/officeDocument/2006/relationships/hyperlink" Target="https://www.noveaspi.cz/products/lawText/1/975/1/2" TargetMode="External"/><Relationship Id="rId19" Type="http://schemas.openxmlformats.org/officeDocument/2006/relationships/hyperlink" Target="https://www.noveaspi.cz/products/lawText/1/2956/1/2" TargetMode="External"/><Relationship Id="rId14" Type="http://schemas.openxmlformats.org/officeDocument/2006/relationships/hyperlink" Target="https://www.noveaspi.cz/products/lawText/1/1052/1/2" TargetMode="External"/><Relationship Id="rId22" Type="http://schemas.openxmlformats.org/officeDocument/2006/relationships/hyperlink" Target="https://www.noveaspi.cz/products/lawText/1/2066/1/2" TargetMode="External"/><Relationship Id="rId27" Type="http://schemas.openxmlformats.org/officeDocument/2006/relationships/hyperlink" Target="https://www.noveaspi.cz/products/lawText/1/1603/1/2" TargetMode="External"/><Relationship Id="rId30" Type="http://schemas.openxmlformats.org/officeDocument/2006/relationships/hyperlink" Target="https://www.noveaspi.cz/products/lawText/1/1379/1/2" TargetMode="External"/><Relationship Id="rId35" Type="http://schemas.openxmlformats.org/officeDocument/2006/relationships/hyperlink" Target="https://www.noveaspi.cz/products/lawText/1/1146/1/2" TargetMode="External"/><Relationship Id="rId43" Type="http://schemas.openxmlformats.org/officeDocument/2006/relationships/hyperlink" Target="https://www.noveaspi.cz/products/lawText/1/1042/1/2" TargetMode="External"/><Relationship Id="rId48" Type="http://schemas.openxmlformats.org/officeDocument/2006/relationships/hyperlink" Target="https://www.noveaspi.cz/products/lawText/1/1019/1/2" TargetMode="External"/><Relationship Id="rId56" Type="http://schemas.openxmlformats.org/officeDocument/2006/relationships/hyperlink" Target="https://www.noveaspi.cz/products/lawText/1/986/1/2" TargetMode="External"/><Relationship Id="rId64" Type="http://schemas.openxmlformats.org/officeDocument/2006/relationships/hyperlink" Target="https://www.noveaspi.cz/products/lawText/1/952/1/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noveaspi.cz/products/lawText/1/1082/1/2" TargetMode="External"/><Relationship Id="rId51" Type="http://schemas.openxmlformats.org/officeDocument/2006/relationships/hyperlink" Target="https://www.noveaspi.cz/products/lawText/1/1013/1/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oveaspi.cz/products/lawText/1/1055/1/2" TargetMode="External"/><Relationship Id="rId17" Type="http://schemas.openxmlformats.org/officeDocument/2006/relationships/hyperlink" Target="https://www.noveaspi.cz/products/lawText/1/990/1/2" TargetMode="External"/><Relationship Id="rId25" Type="http://schemas.openxmlformats.org/officeDocument/2006/relationships/hyperlink" Target="https://www.noveaspi.cz/products/lawText/1/2008/1/2" TargetMode="External"/><Relationship Id="rId33" Type="http://schemas.openxmlformats.org/officeDocument/2006/relationships/hyperlink" Target="https://www.noveaspi.cz/products/lawText/1/1186/1/2" TargetMode="External"/><Relationship Id="rId38" Type="http://schemas.openxmlformats.org/officeDocument/2006/relationships/hyperlink" Target="https://www.noveaspi.cz/products/lawText/1/1100/1/2" TargetMode="External"/><Relationship Id="rId46" Type="http://schemas.openxmlformats.org/officeDocument/2006/relationships/hyperlink" Target="https://www.noveaspi.cz/products/lawText/1/1029/1/2" TargetMode="External"/><Relationship Id="rId59" Type="http://schemas.openxmlformats.org/officeDocument/2006/relationships/hyperlink" Target="https://www.noveaspi.cz/products/lawText/1/1240/1/2" TargetMode="External"/><Relationship Id="rId67" Type="http://schemas.openxmlformats.org/officeDocument/2006/relationships/hyperlink" Target="https://www.noveaspi.cz/products/lawText/1/943/1/2" TargetMode="External"/><Relationship Id="rId20" Type="http://schemas.openxmlformats.org/officeDocument/2006/relationships/hyperlink" Target="https://www.noveaspi.cz/products/lawText/1/2798/1/2" TargetMode="External"/><Relationship Id="rId41" Type="http://schemas.openxmlformats.org/officeDocument/2006/relationships/hyperlink" Target="https://www.noveaspi.cz/products/lawText/1/1067/1/2" TargetMode="External"/><Relationship Id="rId54" Type="http://schemas.openxmlformats.org/officeDocument/2006/relationships/hyperlink" Target="https://www.noveaspi.cz/products/lawText/1/988/1/2" TargetMode="External"/><Relationship Id="rId62" Type="http://schemas.openxmlformats.org/officeDocument/2006/relationships/hyperlink" Target="https://www.noveaspi.cz/products/lawText/1/965/1/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veaspi.cz/products/lawText/1/1011/1/2" TargetMode="External"/><Relationship Id="rId15" Type="http://schemas.openxmlformats.org/officeDocument/2006/relationships/hyperlink" Target="https://www.noveaspi.cz/products/lawText/1/1138/1/2" TargetMode="External"/><Relationship Id="rId23" Type="http://schemas.openxmlformats.org/officeDocument/2006/relationships/hyperlink" Target="https://www.noveaspi.cz/products/lawText/1/2048/1/2" TargetMode="External"/><Relationship Id="rId28" Type="http://schemas.openxmlformats.org/officeDocument/2006/relationships/hyperlink" Target="https://www.noveaspi.cz/products/lawText/1/1449/1/2" TargetMode="External"/><Relationship Id="rId36" Type="http://schemas.openxmlformats.org/officeDocument/2006/relationships/hyperlink" Target="https://www.noveaspi.cz/products/lawText/1/1117/1/2" TargetMode="External"/><Relationship Id="rId49" Type="http://schemas.openxmlformats.org/officeDocument/2006/relationships/hyperlink" Target="https://www.noveaspi.cz/products/lawText/1/1018/1/2" TargetMode="External"/><Relationship Id="rId57" Type="http://schemas.openxmlformats.org/officeDocument/2006/relationships/hyperlink" Target="https://www.noveaspi.cz/products/lawText/1/985/1/2" TargetMode="External"/><Relationship Id="rId10" Type="http://schemas.openxmlformats.org/officeDocument/2006/relationships/hyperlink" Target="https://www.noveaspi.cz/products/lawText/1/2042/1/2" TargetMode="External"/><Relationship Id="rId31" Type="http://schemas.openxmlformats.org/officeDocument/2006/relationships/hyperlink" Target="https://www.noveaspi.cz/products/lawText/1/1317/1/2" TargetMode="External"/><Relationship Id="rId44" Type="http://schemas.openxmlformats.org/officeDocument/2006/relationships/hyperlink" Target="https://www.noveaspi.cz/products/lawText/1/1041/1/2" TargetMode="External"/><Relationship Id="rId52" Type="http://schemas.openxmlformats.org/officeDocument/2006/relationships/hyperlink" Target="https://www.noveaspi.cz/products/lawText/1/1010/1/2" TargetMode="External"/><Relationship Id="rId60" Type="http://schemas.openxmlformats.org/officeDocument/2006/relationships/hyperlink" Target="https://www.noveaspi.cz/products/lawText/1/979/1/2" TargetMode="External"/><Relationship Id="rId65" Type="http://schemas.openxmlformats.org/officeDocument/2006/relationships/hyperlink" Target="https://www.noveaspi.cz/products/lawText/1/944/1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veaspi.cz/products/lawText/1/1074/1/2" TargetMode="External"/><Relationship Id="rId13" Type="http://schemas.openxmlformats.org/officeDocument/2006/relationships/hyperlink" Target="https://www.noveaspi.cz/products/lawText/1/1053/1/2" TargetMode="External"/><Relationship Id="rId18" Type="http://schemas.openxmlformats.org/officeDocument/2006/relationships/hyperlink" Target="https://www.noveaspi.cz/products/lawText/1/989/1/2" TargetMode="External"/><Relationship Id="rId39" Type="http://schemas.openxmlformats.org/officeDocument/2006/relationships/hyperlink" Target="https://www.noveaspi.cz/products/lawText/1/1085/1/2" TargetMode="External"/><Relationship Id="rId34" Type="http://schemas.openxmlformats.org/officeDocument/2006/relationships/hyperlink" Target="https://www.noveaspi.cz/products/lawText/1/1184/1/2" TargetMode="External"/><Relationship Id="rId50" Type="http://schemas.openxmlformats.org/officeDocument/2006/relationships/hyperlink" Target="https://www.noveaspi.cz/products/lawText/1/1014/1/2" TargetMode="External"/><Relationship Id="rId55" Type="http://schemas.openxmlformats.org/officeDocument/2006/relationships/hyperlink" Target="https://www.noveaspi.cz/products/lawText/1/987/1/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2132</Words>
  <Characters>12585</Characters>
  <Application>Microsoft Office Word</Application>
  <DocSecurity>0</DocSecurity>
  <Lines>104</Lines>
  <Paragraphs>29</Paragraphs>
  <ScaleCrop>false</ScaleCrop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Filip</dc:creator>
  <cp:lastModifiedBy>Jan Filip</cp:lastModifiedBy>
  <cp:revision>2</cp:revision>
  <dcterms:created xsi:type="dcterms:W3CDTF">2018-06-01T12:50:00Z</dcterms:created>
  <dcterms:modified xsi:type="dcterms:W3CDTF">2018-06-01T12:50:00Z</dcterms:modified>
</cp:coreProperties>
</file>