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660D" w14:textId="77777777" w:rsidR="00613ADE" w:rsidRPr="00E97BC9" w:rsidRDefault="00241C32">
      <w:pPr>
        <w:spacing w:after="0" w:line="240" w:lineRule="auto"/>
        <w:jc w:val="center"/>
        <w:rPr>
          <w:rFonts w:ascii="Garamond" w:hAnsi="Garamond"/>
        </w:rPr>
      </w:pPr>
      <w:r w:rsidRPr="00E97BC9">
        <w:rPr>
          <w:rFonts w:ascii="Garamond" w:hAnsi="Garamond"/>
          <w:noProof/>
        </w:rPr>
        <w:drawing>
          <wp:inline distT="0" distB="0" distL="0" distR="0" wp14:anchorId="0730E8BD" wp14:editId="7A5D5494">
            <wp:extent cx="1050925" cy="12490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E6EE" w14:textId="77777777" w:rsidR="00613ADE" w:rsidRPr="00E97BC9" w:rsidRDefault="00613ADE">
      <w:pPr>
        <w:spacing w:after="0" w:line="240" w:lineRule="auto"/>
        <w:jc w:val="center"/>
        <w:rPr>
          <w:rFonts w:ascii="Garamond" w:hAnsi="Garamond"/>
        </w:rPr>
      </w:pPr>
    </w:p>
    <w:p w14:paraId="13CBE2A6" w14:textId="77777777" w:rsidR="00613ADE" w:rsidRPr="00E97BC9" w:rsidRDefault="00241C32">
      <w:pPr>
        <w:spacing w:after="0" w:line="240" w:lineRule="auto"/>
        <w:jc w:val="center"/>
        <w:rPr>
          <w:rFonts w:ascii="Garamond" w:hAnsi="Garamond"/>
        </w:rPr>
      </w:pPr>
      <w:r w:rsidRPr="00E97BC9">
        <w:rPr>
          <w:rFonts w:ascii="Garamond" w:hAnsi="Garamond"/>
          <w:sz w:val="28"/>
          <w:szCs w:val="28"/>
        </w:rPr>
        <w:t>ČESKÁ REPUBLIKA</w:t>
      </w:r>
    </w:p>
    <w:p w14:paraId="0FC2B7E6" w14:textId="77777777" w:rsidR="00613ADE" w:rsidRPr="00E97BC9" w:rsidRDefault="00613A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C15B1DF" w14:textId="77777777" w:rsidR="00613ADE" w:rsidRPr="00E97BC9" w:rsidRDefault="00613ADE">
      <w:pPr>
        <w:spacing w:after="0" w:line="240" w:lineRule="auto"/>
        <w:jc w:val="center"/>
        <w:rPr>
          <w:rFonts w:ascii="Garamond" w:hAnsi="Garamond"/>
        </w:rPr>
      </w:pPr>
    </w:p>
    <w:p w14:paraId="27557E25" w14:textId="2247A714" w:rsidR="00613ADE" w:rsidRPr="00E97BC9" w:rsidRDefault="00241C32">
      <w:pPr>
        <w:spacing w:after="0" w:line="240" w:lineRule="auto"/>
        <w:jc w:val="center"/>
        <w:rPr>
          <w:rFonts w:ascii="Garamond" w:hAnsi="Garamond"/>
        </w:rPr>
      </w:pPr>
      <w:r w:rsidRPr="00E97BC9">
        <w:rPr>
          <w:rFonts w:ascii="Garamond" w:hAnsi="Garamond"/>
          <w:b/>
          <w:sz w:val="32"/>
          <w:szCs w:val="32"/>
        </w:rPr>
        <w:t xml:space="preserve">R </w:t>
      </w:r>
      <w:r w:rsidR="00176999" w:rsidRPr="00E97BC9">
        <w:rPr>
          <w:rFonts w:ascii="Garamond" w:hAnsi="Garamond"/>
          <w:b/>
          <w:sz w:val="32"/>
          <w:szCs w:val="32"/>
        </w:rPr>
        <w:t>O </w:t>
      </w:r>
      <w:r w:rsidRPr="00E97BC9">
        <w:rPr>
          <w:rFonts w:ascii="Garamond" w:hAnsi="Garamond"/>
          <w:b/>
          <w:sz w:val="32"/>
          <w:szCs w:val="32"/>
        </w:rPr>
        <w:t>Z S </w:t>
      </w:r>
      <w:r w:rsidR="00176999" w:rsidRPr="00E97BC9">
        <w:rPr>
          <w:rFonts w:ascii="Garamond" w:hAnsi="Garamond"/>
          <w:b/>
          <w:sz w:val="32"/>
          <w:szCs w:val="32"/>
        </w:rPr>
        <w:t>U </w:t>
      </w:r>
      <w:r w:rsidRPr="00E97BC9">
        <w:rPr>
          <w:rFonts w:ascii="Garamond" w:hAnsi="Garamond"/>
          <w:b/>
          <w:sz w:val="32"/>
          <w:szCs w:val="32"/>
        </w:rPr>
        <w:t xml:space="preserve">D </w:t>
      </w:r>
      <w:r w:rsidR="00176999" w:rsidRPr="00E97BC9">
        <w:rPr>
          <w:rFonts w:ascii="Garamond" w:hAnsi="Garamond"/>
          <w:b/>
          <w:sz w:val="32"/>
          <w:szCs w:val="32"/>
        </w:rPr>
        <w:t>E </w:t>
      </w:r>
      <w:r w:rsidRPr="00E97BC9">
        <w:rPr>
          <w:rFonts w:ascii="Garamond" w:hAnsi="Garamond"/>
          <w:b/>
          <w:sz w:val="32"/>
          <w:szCs w:val="32"/>
        </w:rPr>
        <w:t>K</w:t>
      </w:r>
    </w:p>
    <w:p w14:paraId="15D52BE2" w14:textId="32E4E41A" w:rsidR="00613ADE" w:rsidRPr="00E97BC9" w:rsidRDefault="00241C32">
      <w:pPr>
        <w:spacing w:after="0" w:line="240" w:lineRule="auto"/>
        <w:jc w:val="center"/>
        <w:rPr>
          <w:rFonts w:ascii="Garamond" w:hAnsi="Garamond"/>
        </w:rPr>
      </w:pPr>
      <w:r w:rsidRPr="00E97BC9">
        <w:rPr>
          <w:rFonts w:ascii="Garamond" w:hAnsi="Garamond"/>
          <w:b/>
          <w:sz w:val="32"/>
          <w:szCs w:val="32"/>
        </w:rPr>
        <w:t xml:space="preserve">J M É N </w:t>
      </w:r>
      <w:r w:rsidR="00176999" w:rsidRPr="00E97BC9">
        <w:rPr>
          <w:rFonts w:ascii="Garamond" w:hAnsi="Garamond"/>
          <w:b/>
          <w:sz w:val="32"/>
          <w:szCs w:val="32"/>
        </w:rPr>
        <w:t>E </w:t>
      </w:r>
      <w:r w:rsidRPr="00E97BC9">
        <w:rPr>
          <w:rFonts w:ascii="Garamond" w:hAnsi="Garamond"/>
          <w:b/>
          <w:sz w:val="32"/>
          <w:szCs w:val="32"/>
        </w:rPr>
        <w:t xml:space="preserve">M   R </w:t>
      </w:r>
      <w:r w:rsidR="00176999" w:rsidRPr="00E97BC9">
        <w:rPr>
          <w:rFonts w:ascii="Garamond" w:hAnsi="Garamond"/>
          <w:b/>
          <w:sz w:val="32"/>
          <w:szCs w:val="32"/>
        </w:rPr>
        <w:t>E </w:t>
      </w:r>
      <w:r w:rsidRPr="00E97BC9">
        <w:rPr>
          <w:rFonts w:ascii="Garamond" w:hAnsi="Garamond"/>
          <w:b/>
          <w:sz w:val="32"/>
          <w:szCs w:val="32"/>
        </w:rPr>
        <w:t xml:space="preserve">P </w:t>
      </w:r>
      <w:r w:rsidR="00176999" w:rsidRPr="00E97BC9">
        <w:rPr>
          <w:rFonts w:ascii="Garamond" w:hAnsi="Garamond"/>
          <w:b/>
          <w:sz w:val="32"/>
          <w:szCs w:val="32"/>
        </w:rPr>
        <w:t>U </w:t>
      </w:r>
      <w:r w:rsidRPr="00E97BC9">
        <w:rPr>
          <w:rFonts w:ascii="Garamond" w:hAnsi="Garamond"/>
          <w:b/>
          <w:sz w:val="32"/>
          <w:szCs w:val="32"/>
        </w:rPr>
        <w:t xml:space="preserve">B L </w:t>
      </w:r>
      <w:r w:rsidR="00176999" w:rsidRPr="00E97BC9">
        <w:rPr>
          <w:rFonts w:ascii="Garamond" w:hAnsi="Garamond"/>
          <w:b/>
          <w:sz w:val="32"/>
          <w:szCs w:val="32"/>
        </w:rPr>
        <w:t>I </w:t>
      </w:r>
      <w:r w:rsidRPr="00E97BC9">
        <w:rPr>
          <w:rFonts w:ascii="Garamond" w:hAnsi="Garamond"/>
          <w:b/>
          <w:sz w:val="32"/>
          <w:szCs w:val="32"/>
        </w:rPr>
        <w:t>K Y</w:t>
      </w:r>
    </w:p>
    <w:p w14:paraId="2E0139CB" w14:textId="77777777" w:rsidR="00613ADE" w:rsidRPr="00DA1B82" w:rsidRDefault="00613ADE" w:rsidP="00DA1B8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12FF89" w14:textId="77777777" w:rsidR="00613ADE" w:rsidRPr="00DA1B82" w:rsidRDefault="00613ADE">
      <w:pPr>
        <w:spacing w:after="0" w:line="240" w:lineRule="auto"/>
        <w:rPr>
          <w:rFonts w:ascii="Garamond" w:hAnsi="Garamond"/>
        </w:rPr>
      </w:pPr>
    </w:p>
    <w:p w14:paraId="73E1D5A0" w14:textId="71114EF5" w:rsidR="00613ADE" w:rsidRPr="00B044F4" w:rsidRDefault="002517B9" w:rsidP="0058316B">
      <w:pPr>
        <w:spacing w:after="0" w:line="240" w:lineRule="auto"/>
        <w:jc w:val="both"/>
        <w:rPr>
          <w:rFonts w:ascii="Garamond" w:hAnsi="Garamond"/>
        </w:rPr>
      </w:pPr>
      <w:r w:rsidRPr="00B044F4">
        <w:rPr>
          <w:rFonts w:ascii="Garamond" w:eastAsia="Calibri" w:hAnsi="Garamond"/>
          <w:sz w:val="24"/>
          <w:szCs w:val="24"/>
        </w:rPr>
        <w:t xml:space="preserve">Nejvyšší správní soud rozhodl v </w:t>
      </w:r>
      <w:r w:rsidR="00241C32" w:rsidRPr="00B044F4">
        <w:rPr>
          <w:rFonts w:ascii="Garamond" w:eastAsia="Calibri" w:hAnsi="Garamond"/>
          <w:sz w:val="24"/>
          <w:szCs w:val="24"/>
        </w:rPr>
        <w:t>senátě složeném z</w:t>
      </w:r>
      <w:r w:rsidRPr="00B044F4">
        <w:rPr>
          <w:rFonts w:ascii="Garamond" w:eastAsia="Calibri" w:hAnsi="Garamond"/>
          <w:sz w:val="24"/>
          <w:szCs w:val="24"/>
        </w:rPr>
        <w:t xml:space="preserve"> </w:t>
      </w:r>
      <w:r w:rsidR="00241C32" w:rsidRPr="00B044F4">
        <w:rPr>
          <w:rFonts w:ascii="Garamond" w:eastAsia="Calibri" w:hAnsi="Garamond"/>
          <w:sz w:val="24"/>
          <w:szCs w:val="24"/>
        </w:rPr>
        <w:t xml:space="preserve">předsedy </w:t>
      </w:r>
      <w:r w:rsidRPr="00B044F4">
        <w:rPr>
          <w:rFonts w:ascii="Garamond" w:eastAsia="Calibri" w:hAnsi="Garamond"/>
          <w:sz w:val="24"/>
          <w:szCs w:val="24"/>
        </w:rPr>
        <w:t xml:space="preserve">JUDr. </w:t>
      </w:r>
      <w:r w:rsidR="00241C32" w:rsidRPr="00B044F4">
        <w:rPr>
          <w:rFonts w:ascii="Garamond" w:eastAsia="Calibri" w:hAnsi="Garamond"/>
          <w:sz w:val="24"/>
          <w:szCs w:val="24"/>
        </w:rPr>
        <w:t xml:space="preserve">Jiřího Pally </w:t>
      </w:r>
      <w:r w:rsidR="00176999" w:rsidRPr="00B044F4">
        <w:rPr>
          <w:rFonts w:ascii="Garamond" w:eastAsia="Calibri" w:hAnsi="Garamond"/>
          <w:sz w:val="24"/>
          <w:szCs w:val="24"/>
        </w:rPr>
        <w:t>a</w:t>
      </w:r>
      <w:r w:rsidRPr="00B044F4">
        <w:rPr>
          <w:rFonts w:ascii="Garamond" w:eastAsia="Calibri" w:hAnsi="Garamond"/>
          <w:sz w:val="24"/>
          <w:szCs w:val="24"/>
        </w:rPr>
        <w:t xml:space="preserve"> </w:t>
      </w:r>
      <w:r w:rsidR="00241C32" w:rsidRPr="00B044F4">
        <w:rPr>
          <w:rFonts w:ascii="Garamond" w:eastAsia="Calibri" w:hAnsi="Garamond"/>
          <w:sz w:val="24"/>
          <w:szCs w:val="24"/>
        </w:rPr>
        <w:t xml:space="preserve">soudců Mgr. Aleše Roztočila </w:t>
      </w:r>
      <w:r w:rsidR="00176999" w:rsidRPr="00B044F4">
        <w:rPr>
          <w:rFonts w:ascii="Garamond" w:eastAsia="Calibri" w:hAnsi="Garamond"/>
          <w:sz w:val="24"/>
          <w:szCs w:val="24"/>
        </w:rPr>
        <w:t>a</w:t>
      </w:r>
      <w:r w:rsidRPr="00B044F4">
        <w:rPr>
          <w:rFonts w:ascii="Garamond" w:eastAsia="Calibri" w:hAnsi="Garamond"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sz w:val="24"/>
          <w:szCs w:val="24"/>
        </w:rPr>
        <w:t>Mgr.</w:t>
      </w:r>
      <w:r w:rsidRPr="00B044F4">
        <w:rPr>
          <w:rFonts w:ascii="Garamond" w:eastAsia="Calibri" w:hAnsi="Garamond"/>
          <w:sz w:val="24"/>
          <w:szCs w:val="24"/>
        </w:rPr>
        <w:t xml:space="preserve"> </w:t>
      </w:r>
      <w:r w:rsidR="00241C32" w:rsidRPr="00B044F4">
        <w:rPr>
          <w:rFonts w:ascii="Garamond" w:eastAsia="Calibri" w:hAnsi="Garamond"/>
          <w:sz w:val="24"/>
          <w:szCs w:val="24"/>
        </w:rPr>
        <w:t xml:space="preserve">Petry Weissové </w:t>
      </w:r>
      <w:r w:rsidRPr="00B044F4">
        <w:rPr>
          <w:rFonts w:ascii="Garamond" w:eastAsia="Calibri" w:hAnsi="Garamond"/>
          <w:sz w:val="24"/>
          <w:szCs w:val="24"/>
        </w:rPr>
        <w:t xml:space="preserve">v 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právní věci žalobců: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a) JUDr. S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 xml:space="preserve"> H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,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b) prof. Ing</w:t>
      </w:r>
      <w:r w:rsidR="00601A55" w:rsidRPr="00B044F4">
        <w:rPr>
          <w:rFonts w:ascii="Garamond" w:eastAsia="Calibri" w:hAnsi="Garamond"/>
          <w:b/>
          <w:bCs/>
          <w:sz w:val="24"/>
          <w:szCs w:val="24"/>
        </w:rPr>
        <w:t>. S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601A55" w:rsidRPr="00B044F4">
        <w:rPr>
          <w:rFonts w:ascii="Garamond" w:eastAsia="Calibri" w:hAnsi="Garamond"/>
          <w:b/>
          <w:bCs/>
          <w:sz w:val="24"/>
          <w:szCs w:val="24"/>
        </w:rPr>
        <w:t xml:space="preserve"> H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601A55" w:rsidRPr="00B044F4">
        <w:rPr>
          <w:rFonts w:ascii="Garamond" w:eastAsia="Calibri" w:hAnsi="Garamond"/>
          <w:b/>
          <w:bCs/>
          <w:sz w:val="24"/>
          <w:szCs w:val="24"/>
        </w:rPr>
        <w:t>, CSc., dr.</w:t>
      </w:r>
      <w:r w:rsidR="004E6868" w:rsidRPr="00B044F4">
        <w:rPr>
          <w:rFonts w:ascii="Garamond" w:eastAsia="Calibri" w:hAnsi="Garamond"/>
          <w:b/>
          <w:bCs/>
          <w:sz w:val="24"/>
          <w:szCs w:val="24"/>
        </w:rPr>
        <w:t xml:space="preserve"> </w:t>
      </w:r>
      <w:r w:rsidR="00601A55" w:rsidRPr="00B044F4">
        <w:rPr>
          <w:rFonts w:ascii="Garamond" w:eastAsia="Calibri" w:hAnsi="Garamond"/>
          <w:b/>
          <w:bCs/>
          <w:sz w:val="24"/>
          <w:szCs w:val="24"/>
        </w:rPr>
        <w:t>h.</w:t>
      </w:r>
      <w:r w:rsidR="004E6868" w:rsidRPr="00B044F4">
        <w:rPr>
          <w:rFonts w:ascii="Garamond" w:eastAsia="Calibri" w:hAnsi="Garamond"/>
          <w:b/>
          <w:bCs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c.</w:t>
      </w:r>
      <w:r w:rsidR="00DA1B82" w:rsidRPr="00B044F4">
        <w:rPr>
          <w:rFonts w:ascii="Garamond" w:eastAsia="Calibri" w:hAnsi="Garamond"/>
          <w:sz w:val="24"/>
          <w:szCs w:val="24"/>
        </w:rPr>
        <w:t xml:space="preserve">,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c) J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 xml:space="preserve"> S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, </w:t>
      </w:r>
      <w:r w:rsidR="001A1F51" w:rsidRPr="00B044F4">
        <w:rPr>
          <w:rFonts w:ascii="Garamond" w:eastAsia="Calibri" w:hAnsi="Garamond"/>
          <w:b/>
          <w:bCs/>
          <w:sz w:val="24"/>
          <w:szCs w:val="24"/>
        </w:rPr>
        <w:t xml:space="preserve">d) JUDr.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J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 xml:space="preserve"> S</w:t>
      </w:r>
      <w:r w:rsidR="001C034C" w:rsidRPr="00B044F4">
        <w:rPr>
          <w:rFonts w:ascii="Garamond" w:eastAsia="Calibri" w:hAnsi="Garamond"/>
          <w:b/>
          <w:bCs/>
          <w:sz w:val="24"/>
          <w:szCs w:val="24"/>
        </w:rPr>
        <w:t>.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, všichni </w:t>
      </w:r>
      <w:proofErr w:type="spellStart"/>
      <w:r w:rsidR="00176999" w:rsidRPr="00B044F4">
        <w:rPr>
          <w:rFonts w:ascii="Garamond" w:eastAsia="Calibri" w:hAnsi="Garamond"/>
          <w:sz w:val="24"/>
          <w:szCs w:val="24"/>
        </w:rPr>
        <w:t>zast</w:t>
      </w:r>
      <w:proofErr w:type="spellEnd"/>
      <w:r w:rsidR="00176999" w:rsidRPr="00B044F4">
        <w:rPr>
          <w:rFonts w:ascii="Garamond" w:eastAsia="Calibri" w:hAnsi="Garamond"/>
          <w:sz w:val="24"/>
          <w:szCs w:val="24"/>
        </w:rPr>
        <w:t>.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JUDr. </w:t>
      </w:r>
      <w:r w:rsidR="00176999" w:rsidRPr="00B044F4">
        <w:rPr>
          <w:rFonts w:ascii="Garamond" w:eastAsia="Calibri" w:hAnsi="Garamond"/>
          <w:sz w:val="24"/>
          <w:szCs w:val="24"/>
        </w:rPr>
        <w:t>Arturem Ostrým, advokátem, se sídlem Arbesovo náměstí 257/7, Praha 5, proti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žalované: </w:t>
      </w:r>
      <w:r w:rsidR="00176999" w:rsidRPr="00B044F4">
        <w:rPr>
          <w:rFonts w:ascii="Garamond" w:eastAsia="Calibri" w:hAnsi="Garamond"/>
          <w:b/>
          <w:bCs/>
          <w:sz w:val="24"/>
          <w:szCs w:val="24"/>
        </w:rPr>
        <w:t>Rada České televize</w:t>
      </w:r>
      <w:r w:rsidR="00BA5628" w:rsidRPr="00B044F4">
        <w:rPr>
          <w:rFonts w:ascii="Garamond" w:eastAsia="Calibri" w:hAnsi="Garamond"/>
          <w:sz w:val="24"/>
          <w:szCs w:val="24"/>
        </w:rPr>
        <w:t xml:space="preserve">, se sídlem </w:t>
      </w:r>
      <w:r w:rsidR="00DA1B82" w:rsidRPr="00B044F4">
        <w:rPr>
          <w:rFonts w:ascii="Garamond" w:eastAsia="Calibri" w:hAnsi="Garamond"/>
          <w:sz w:val="24"/>
          <w:szCs w:val="24"/>
        </w:rPr>
        <w:t>Na </w:t>
      </w:r>
      <w:r w:rsidR="00BA5628" w:rsidRPr="00B044F4">
        <w:rPr>
          <w:rFonts w:ascii="Garamond" w:eastAsia="Calibri" w:hAnsi="Garamond"/>
          <w:sz w:val="24"/>
          <w:szCs w:val="24"/>
        </w:rPr>
        <w:t xml:space="preserve">Hřebenech 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II 1132/4, Praha 4, </w:t>
      </w:r>
      <w:proofErr w:type="spellStart"/>
      <w:r w:rsidR="00F912AA" w:rsidRPr="00B044F4">
        <w:rPr>
          <w:rFonts w:ascii="Garamond" w:eastAsia="Calibri" w:hAnsi="Garamond"/>
          <w:sz w:val="24"/>
          <w:szCs w:val="24"/>
        </w:rPr>
        <w:t>zast</w:t>
      </w:r>
      <w:proofErr w:type="spellEnd"/>
      <w:r w:rsidR="00F912AA" w:rsidRPr="00B044F4">
        <w:rPr>
          <w:rFonts w:ascii="Garamond" w:eastAsia="Calibri" w:hAnsi="Garamond"/>
          <w:sz w:val="24"/>
          <w:szCs w:val="24"/>
        </w:rPr>
        <w:t xml:space="preserve">. JUDr. Petrem Šťovíčkem, Ph.D., advokátem, se sídlem Malostranské náměstí 5/28, Praha 1, </w:t>
      </w:r>
      <w:r w:rsidR="00176999" w:rsidRPr="00B044F4">
        <w:rPr>
          <w:rFonts w:ascii="Garamond" w:eastAsia="Calibri" w:hAnsi="Garamond"/>
          <w:sz w:val="24"/>
          <w:szCs w:val="24"/>
        </w:rPr>
        <w:t>za účasti</w:t>
      </w:r>
      <w:r w:rsidR="00601A55" w:rsidRPr="00B044F4">
        <w:rPr>
          <w:rFonts w:ascii="Garamond" w:eastAsia="Calibri" w:hAnsi="Garamond"/>
          <w:sz w:val="24"/>
          <w:szCs w:val="24"/>
        </w:rPr>
        <w:t xml:space="preserve"> osoby zúčastněné na řízení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: </w:t>
      </w:r>
      <w:r w:rsidR="00176999" w:rsidRPr="00B044F4">
        <w:rPr>
          <w:rFonts w:ascii="Garamond" w:eastAsia="Calibri" w:hAnsi="Garamond"/>
          <w:bCs/>
          <w:sz w:val="24"/>
          <w:szCs w:val="24"/>
        </w:rPr>
        <w:t>Česká televize</w:t>
      </w:r>
      <w:r w:rsidR="00DA1B82" w:rsidRPr="00B044F4">
        <w:rPr>
          <w:rFonts w:ascii="Garamond" w:eastAsia="Calibri" w:hAnsi="Garamond"/>
          <w:sz w:val="24"/>
          <w:szCs w:val="24"/>
        </w:rPr>
        <w:t>, </w:t>
      </w:r>
      <w:r w:rsidR="00601A55" w:rsidRPr="00B044F4">
        <w:rPr>
          <w:rFonts w:ascii="Garamond" w:eastAsia="Calibri" w:hAnsi="Garamond"/>
          <w:sz w:val="24"/>
          <w:szCs w:val="24"/>
        </w:rPr>
        <w:t>IČ</w:t>
      </w:r>
      <w:r w:rsidR="00176999" w:rsidRPr="00B044F4">
        <w:rPr>
          <w:rFonts w:ascii="Garamond" w:eastAsia="Calibri" w:hAnsi="Garamond"/>
          <w:sz w:val="24"/>
          <w:szCs w:val="24"/>
        </w:rPr>
        <w:t> </w:t>
      </w:r>
      <w:r w:rsidR="00155793" w:rsidRPr="00B044F4">
        <w:rPr>
          <w:rFonts w:ascii="Garamond" w:eastAsia="Calibri" w:hAnsi="Garamond"/>
          <w:sz w:val="24"/>
          <w:szCs w:val="24"/>
        </w:rPr>
        <w:t>00027383, se sídlem Kavčí Hory</w:t>
      </w:r>
      <w:r w:rsidR="004E6868" w:rsidRPr="00B044F4">
        <w:rPr>
          <w:rFonts w:ascii="Garamond" w:eastAsia="Calibri" w:hAnsi="Garamond"/>
          <w:sz w:val="24"/>
          <w:szCs w:val="24"/>
        </w:rPr>
        <w:t xml:space="preserve">, Praha 4, o </w:t>
      </w:r>
      <w:r w:rsidR="00176999" w:rsidRPr="00B044F4">
        <w:rPr>
          <w:rFonts w:ascii="Garamond" w:eastAsia="Calibri" w:hAnsi="Garamond"/>
          <w:sz w:val="24"/>
          <w:szCs w:val="24"/>
        </w:rPr>
        <w:t>žalobě</w:t>
      </w:r>
      <w:r w:rsidR="00DA1B82" w:rsidRPr="00B044F4">
        <w:rPr>
          <w:rFonts w:ascii="Garamond" w:eastAsia="Calibri" w:hAnsi="Garamond"/>
          <w:sz w:val="24"/>
          <w:szCs w:val="24"/>
        </w:rPr>
        <w:t xml:space="preserve"> proti usnesení žalované ze dne </w:t>
      </w:r>
      <w:r w:rsidR="00E97BC9" w:rsidRPr="00B044F4">
        <w:rPr>
          <w:rFonts w:ascii="Garamond" w:eastAsia="Calibri" w:hAnsi="Garamond"/>
          <w:sz w:val="24"/>
          <w:szCs w:val="24"/>
        </w:rPr>
        <w:t>11. 11. 2020</w:t>
      </w:r>
      <w:r w:rsidR="004E6868" w:rsidRPr="00B044F4">
        <w:rPr>
          <w:rFonts w:ascii="Garamond" w:eastAsia="Calibri" w:hAnsi="Garamond"/>
          <w:sz w:val="24"/>
          <w:szCs w:val="24"/>
        </w:rPr>
        <w:t xml:space="preserve">, č. </w:t>
      </w:r>
      <w:r w:rsidR="00176999" w:rsidRPr="00B044F4">
        <w:rPr>
          <w:rFonts w:ascii="Garamond" w:eastAsia="Calibri" w:hAnsi="Garamond"/>
          <w:sz w:val="24"/>
          <w:szCs w:val="24"/>
        </w:rPr>
        <w:t>225/18/20, v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sz w:val="24"/>
          <w:szCs w:val="24"/>
        </w:rPr>
        <w:t>řízení o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sz w:val="24"/>
          <w:szCs w:val="24"/>
        </w:rPr>
        <w:t xml:space="preserve">kasační stížnosti žalobců proti rozsudku Městského soudu v Praze ze dne </w:t>
      </w:r>
      <w:r w:rsidR="00E97BC9" w:rsidRPr="00B044F4">
        <w:rPr>
          <w:rFonts w:ascii="Garamond" w:eastAsia="Calibri" w:hAnsi="Garamond"/>
          <w:sz w:val="24"/>
          <w:szCs w:val="24"/>
        </w:rPr>
        <w:t>3. 11. 2021</w:t>
      </w:r>
      <w:r w:rsidR="00176999" w:rsidRPr="00B044F4">
        <w:rPr>
          <w:rFonts w:ascii="Garamond" w:eastAsia="Calibri" w:hAnsi="Garamond"/>
          <w:sz w:val="24"/>
          <w:szCs w:val="24"/>
        </w:rPr>
        <w:t>, č.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</w:t>
      </w:r>
      <w:r w:rsidR="00176999" w:rsidRPr="00B044F4">
        <w:rPr>
          <w:rFonts w:ascii="Garamond" w:eastAsia="Calibri" w:hAnsi="Garamond"/>
          <w:sz w:val="24"/>
          <w:szCs w:val="24"/>
        </w:rPr>
        <w:t>j.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</w:t>
      </w:r>
      <w:r w:rsidR="00E97BC9" w:rsidRPr="00B044F4">
        <w:rPr>
          <w:rFonts w:ascii="Garamond" w:eastAsia="Calibri" w:hAnsi="Garamond"/>
          <w:sz w:val="24"/>
          <w:szCs w:val="24"/>
        </w:rPr>
        <w:t>8</w:t>
      </w:r>
      <w:r w:rsidR="001A1F51" w:rsidRPr="00B044F4">
        <w:rPr>
          <w:rFonts w:ascii="Garamond" w:eastAsia="Calibri" w:hAnsi="Garamond"/>
          <w:sz w:val="24"/>
          <w:szCs w:val="24"/>
        </w:rPr>
        <w:t xml:space="preserve"> A </w:t>
      </w:r>
      <w:r w:rsidR="00E97BC9" w:rsidRPr="00B044F4">
        <w:rPr>
          <w:rFonts w:ascii="Garamond" w:eastAsia="Calibri" w:hAnsi="Garamond"/>
          <w:sz w:val="24"/>
          <w:szCs w:val="24"/>
        </w:rPr>
        <w:t>1/2021</w:t>
      </w:r>
      <w:r w:rsidR="00983EDE" w:rsidRPr="00B044F4">
        <w:rPr>
          <w:rFonts w:ascii="Garamond" w:eastAsia="Calibri" w:hAnsi="Garamond"/>
          <w:sz w:val="24"/>
          <w:szCs w:val="24"/>
        </w:rPr>
        <w:noBreakHyphen/>
      </w:r>
      <w:r w:rsidR="00176999" w:rsidRPr="00B044F4">
        <w:rPr>
          <w:rFonts w:ascii="Garamond" w:eastAsia="Calibri" w:hAnsi="Garamond"/>
          <w:sz w:val="24"/>
          <w:szCs w:val="24"/>
        </w:rPr>
        <w:t>98</w:t>
      </w:r>
      <w:r w:rsidR="00241C32" w:rsidRPr="00B044F4">
        <w:rPr>
          <w:rStyle w:val="Siln"/>
          <w:rFonts w:ascii="Garamond" w:hAnsi="Garamond"/>
          <w:b w:val="0"/>
          <w:sz w:val="24"/>
          <w:szCs w:val="24"/>
        </w:rPr>
        <w:t>,</w:t>
      </w:r>
    </w:p>
    <w:p w14:paraId="39CD576F" w14:textId="77777777" w:rsidR="00613ADE" w:rsidRPr="00B044F4" w:rsidRDefault="00613ADE">
      <w:pPr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</w:p>
    <w:p w14:paraId="0E4C06E0" w14:textId="00D4B6B8" w:rsidR="0066630C" w:rsidRPr="00B044F4" w:rsidRDefault="00241C32" w:rsidP="00D805B1">
      <w:pPr>
        <w:spacing w:after="0" w:line="240" w:lineRule="auto"/>
        <w:jc w:val="center"/>
        <w:rPr>
          <w:rFonts w:ascii="Garamond" w:hAnsi="Garamond"/>
        </w:rPr>
      </w:pPr>
      <w:r w:rsidRPr="00B044F4">
        <w:rPr>
          <w:rFonts w:ascii="Garamond" w:eastAsia="Calibri" w:hAnsi="Garamond"/>
          <w:b/>
          <w:spacing w:val="60"/>
          <w:sz w:val="24"/>
          <w:szCs w:val="24"/>
        </w:rPr>
        <w:t>takto:</w:t>
      </w:r>
    </w:p>
    <w:p w14:paraId="08A8C031" w14:textId="77777777" w:rsidR="004072FF" w:rsidRPr="00B044F4" w:rsidRDefault="004072FF" w:rsidP="00DA1B82">
      <w:pPr>
        <w:spacing w:after="0" w:line="240" w:lineRule="auto"/>
        <w:rPr>
          <w:rFonts w:ascii="Garamond" w:eastAsia="Calibri" w:hAnsi="Garamond"/>
          <w:spacing w:val="60"/>
          <w:sz w:val="24"/>
          <w:szCs w:val="24"/>
        </w:rPr>
      </w:pPr>
    </w:p>
    <w:p w14:paraId="10223EA9" w14:textId="2DF62561" w:rsidR="007A6316" w:rsidRPr="00B044F4" w:rsidRDefault="007A6316" w:rsidP="007A6316">
      <w:pPr>
        <w:pStyle w:val="Odstavecseseznamem"/>
        <w:numPr>
          <w:ilvl w:val="0"/>
          <w:numId w:val="12"/>
        </w:numPr>
        <w:spacing w:after="24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 xml:space="preserve">Rozsudek </w:t>
      </w:r>
      <w:r w:rsidRPr="00B044F4">
        <w:rPr>
          <w:rFonts w:ascii="Garamond" w:eastAsia="Calibri" w:hAnsi="Garamond"/>
          <w:sz w:val="24"/>
          <w:szCs w:val="24"/>
        </w:rPr>
        <w:t>Městského soudu v</w:t>
      </w:r>
      <w:r w:rsidR="002517B9" w:rsidRPr="00B044F4">
        <w:rPr>
          <w:rFonts w:ascii="Garamond" w:eastAsia="Calibri" w:hAnsi="Garamond"/>
          <w:sz w:val="24"/>
          <w:szCs w:val="24"/>
        </w:rPr>
        <w:t xml:space="preserve"> </w:t>
      </w:r>
      <w:r w:rsidR="00095A1F" w:rsidRPr="00B044F4">
        <w:rPr>
          <w:rFonts w:ascii="Garamond" w:eastAsia="Calibri" w:hAnsi="Garamond"/>
          <w:sz w:val="24"/>
          <w:szCs w:val="24"/>
        </w:rPr>
        <w:t xml:space="preserve">Praze ze dne 3. 11. </w:t>
      </w:r>
      <w:r w:rsidRPr="00B044F4">
        <w:rPr>
          <w:rFonts w:ascii="Garamond" w:eastAsia="Calibri" w:hAnsi="Garamond"/>
          <w:sz w:val="24"/>
          <w:szCs w:val="24"/>
        </w:rPr>
        <w:t>2021, č.</w:t>
      </w:r>
      <w:r w:rsidR="00095A1F" w:rsidRPr="00B044F4">
        <w:rPr>
          <w:rFonts w:ascii="Garamond" w:eastAsia="Calibri" w:hAnsi="Garamond"/>
          <w:sz w:val="24"/>
          <w:szCs w:val="24"/>
        </w:rPr>
        <w:t xml:space="preserve"> j. 8 </w:t>
      </w:r>
      <w:r w:rsidRPr="00B044F4">
        <w:rPr>
          <w:rFonts w:ascii="Garamond" w:eastAsia="Calibri" w:hAnsi="Garamond"/>
          <w:sz w:val="24"/>
          <w:szCs w:val="24"/>
        </w:rPr>
        <w:t>A</w:t>
      </w:r>
      <w:r w:rsidR="00095A1F" w:rsidRPr="00B044F4">
        <w:rPr>
          <w:rFonts w:ascii="Garamond" w:eastAsia="Calibri" w:hAnsi="Garamond"/>
          <w:sz w:val="24"/>
          <w:szCs w:val="24"/>
        </w:rPr>
        <w:t xml:space="preserve"> </w:t>
      </w:r>
      <w:r w:rsidRPr="00B044F4">
        <w:rPr>
          <w:rFonts w:ascii="Garamond" w:eastAsia="Calibri" w:hAnsi="Garamond"/>
          <w:sz w:val="24"/>
          <w:szCs w:val="24"/>
        </w:rPr>
        <w:t>1/2021</w:t>
      </w:r>
      <w:r w:rsidRPr="00B044F4">
        <w:rPr>
          <w:rFonts w:ascii="Garamond" w:eastAsia="Calibri" w:hAnsi="Garamond"/>
          <w:sz w:val="24"/>
          <w:szCs w:val="24"/>
        </w:rPr>
        <w:noBreakHyphen/>
        <w:t>98</w:t>
      </w:r>
      <w:r w:rsidRPr="00B044F4">
        <w:rPr>
          <w:rFonts w:ascii="Garamond" w:hAnsi="Garamond"/>
          <w:sz w:val="24"/>
          <w:szCs w:val="24"/>
        </w:rPr>
        <w:t xml:space="preserve">, </w:t>
      </w:r>
      <w:r w:rsidR="00DA1B82" w:rsidRPr="00B044F4">
        <w:rPr>
          <w:rFonts w:ascii="Garamond" w:hAnsi="Garamond"/>
          <w:b/>
          <w:spacing w:val="60"/>
          <w:sz w:val="24"/>
          <w:szCs w:val="24"/>
        </w:rPr>
        <w:t>se </w:t>
      </w:r>
      <w:r w:rsidRPr="00B044F4">
        <w:rPr>
          <w:rFonts w:ascii="Garamond" w:hAnsi="Garamond"/>
          <w:b/>
          <w:spacing w:val="60"/>
          <w:sz w:val="24"/>
          <w:szCs w:val="24"/>
        </w:rPr>
        <w:t>zrušuje.</w:t>
      </w:r>
    </w:p>
    <w:p w14:paraId="5757B38D" w14:textId="77777777" w:rsidR="007A6316" w:rsidRPr="00B044F4" w:rsidRDefault="007A6316" w:rsidP="007A6316">
      <w:pPr>
        <w:pStyle w:val="Odstavecseseznamem"/>
        <w:suppressAutoHyphens w:val="0"/>
        <w:spacing w:after="240" w:line="240" w:lineRule="auto"/>
        <w:ind w:left="567"/>
        <w:jc w:val="both"/>
        <w:rPr>
          <w:rFonts w:ascii="Garamond" w:hAnsi="Garamond"/>
          <w:b/>
          <w:sz w:val="24"/>
          <w:szCs w:val="24"/>
        </w:rPr>
      </w:pPr>
    </w:p>
    <w:p w14:paraId="51461BC9" w14:textId="2539E0E2" w:rsidR="007A6316" w:rsidRPr="00B044F4" w:rsidRDefault="007A6316" w:rsidP="000D12D1">
      <w:pPr>
        <w:pStyle w:val="Odstavecseseznamem"/>
        <w:numPr>
          <w:ilvl w:val="0"/>
          <w:numId w:val="12"/>
        </w:numPr>
        <w:spacing w:after="24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044F4">
        <w:rPr>
          <w:rFonts w:ascii="Garamond" w:eastAsia="Calibri" w:hAnsi="Garamond"/>
          <w:sz w:val="24"/>
          <w:szCs w:val="24"/>
        </w:rPr>
        <w:t xml:space="preserve">Usnesení Rady České televize </w:t>
      </w:r>
      <w:r w:rsidR="00095A1F" w:rsidRPr="00B044F4">
        <w:rPr>
          <w:rFonts w:ascii="Garamond" w:eastAsia="Calibri" w:hAnsi="Garamond"/>
          <w:sz w:val="24"/>
          <w:szCs w:val="24"/>
        </w:rPr>
        <w:t xml:space="preserve">ze dne 11. 11. 2020, č. </w:t>
      </w:r>
      <w:r w:rsidRPr="00B044F4">
        <w:rPr>
          <w:rFonts w:ascii="Garamond" w:eastAsia="Calibri" w:hAnsi="Garamond"/>
          <w:sz w:val="24"/>
          <w:szCs w:val="24"/>
        </w:rPr>
        <w:t>225/18/20</w:t>
      </w:r>
      <w:r w:rsidRPr="00B044F4">
        <w:rPr>
          <w:rFonts w:ascii="Garamond" w:hAnsi="Garamond"/>
          <w:sz w:val="24"/>
          <w:szCs w:val="24"/>
        </w:rPr>
        <w:t xml:space="preserve">, </w:t>
      </w:r>
      <w:r w:rsidRPr="00B044F4">
        <w:rPr>
          <w:rFonts w:ascii="Garamond" w:hAnsi="Garamond"/>
          <w:b/>
          <w:spacing w:val="60"/>
          <w:sz w:val="24"/>
          <w:szCs w:val="24"/>
        </w:rPr>
        <w:t>se</w:t>
      </w:r>
      <w:r w:rsidR="000D12D1" w:rsidRPr="00B044F4">
        <w:rPr>
          <w:rFonts w:ascii="Garamond" w:hAnsi="Garamond"/>
          <w:sz w:val="24"/>
          <w:szCs w:val="24"/>
        </w:rPr>
        <w:t xml:space="preserve"> </w:t>
      </w:r>
      <w:r w:rsidR="000D12D1" w:rsidRPr="00B044F4">
        <w:rPr>
          <w:rFonts w:ascii="Garamond" w:hAnsi="Garamond"/>
          <w:b/>
          <w:spacing w:val="60"/>
          <w:sz w:val="24"/>
          <w:szCs w:val="24"/>
        </w:rPr>
        <w:t>zrušuje</w:t>
      </w:r>
      <w:r w:rsidRPr="00B044F4">
        <w:rPr>
          <w:rFonts w:ascii="Garamond" w:hAnsi="Garamond"/>
          <w:b/>
          <w:spacing w:val="60"/>
          <w:sz w:val="24"/>
          <w:szCs w:val="24"/>
        </w:rPr>
        <w:t xml:space="preserve"> </w:t>
      </w:r>
      <w:r w:rsidR="00DA1B82" w:rsidRPr="00B044F4">
        <w:rPr>
          <w:rFonts w:ascii="Garamond" w:hAnsi="Garamond"/>
          <w:sz w:val="24"/>
          <w:szCs w:val="24"/>
        </w:rPr>
        <w:t>ve </w:t>
      </w:r>
      <w:r w:rsidR="000D12D1" w:rsidRPr="00B044F4">
        <w:rPr>
          <w:rFonts w:ascii="Garamond" w:hAnsi="Garamond"/>
          <w:sz w:val="24"/>
          <w:szCs w:val="24"/>
        </w:rPr>
        <w:t>vztahu k </w:t>
      </w:r>
      <w:r w:rsidR="00BA5628" w:rsidRPr="00B044F4">
        <w:rPr>
          <w:rFonts w:ascii="Garamond" w:hAnsi="Garamond"/>
          <w:sz w:val="24"/>
          <w:szCs w:val="24"/>
        </w:rPr>
        <w:t>žalobcům</w:t>
      </w:r>
      <w:r w:rsidR="000D12D1" w:rsidRPr="00B044F4">
        <w:rPr>
          <w:rFonts w:ascii="Garamond" w:hAnsi="Garamond"/>
          <w:sz w:val="24"/>
          <w:szCs w:val="24"/>
        </w:rPr>
        <w:t xml:space="preserve"> a), b), c) a d)</w:t>
      </w:r>
      <w:r w:rsidRPr="00B044F4">
        <w:rPr>
          <w:rFonts w:ascii="Garamond" w:hAnsi="Garamond"/>
          <w:spacing w:val="60"/>
          <w:sz w:val="24"/>
          <w:szCs w:val="24"/>
        </w:rPr>
        <w:t>.</w:t>
      </w:r>
    </w:p>
    <w:p w14:paraId="3B608C33" w14:textId="77777777" w:rsidR="007A6316" w:rsidRPr="00B044F4" w:rsidRDefault="007A6316" w:rsidP="007A6316">
      <w:pPr>
        <w:pStyle w:val="Odstavecseseznamem"/>
        <w:rPr>
          <w:rFonts w:ascii="Garamond" w:hAnsi="Garamond"/>
          <w:b/>
          <w:sz w:val="24"/>
          <w:szCs w:val="24"/>
        </w:rPr>
      </w:pPr>
    </w:p>
    <w:p w14:paraId="14D5AF18" w14:textId="2841BCA9" w:rsidR="007A6316" w:rsidRPr="00B044F4" w:rsidRDefault="007A6316" w:rsidP="007A6316">
      <w:pPr>
        <w:pStyle w:val="Odstavecseseznamem"/>
        <w:numPr>
          <w:ilvl w:val="0"/>
          <w:numId w:val="12"/>
        </w:numPr>
        <w:suppressAutoHyphens w:val="0"/>
        <w:spacing w:after="24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 xml:space="preserve">V řízeních o kasační stížnosti a o žalobě proti </w:t>
      </w:r>
      <w:r w:rsidRPr="00B044F4">
        <w:rPr>
          <w:rFonts w:ascii="Garamond" w:eastAsia="Calibri" w:hAnsi="Garamond"/>
          <w:sz w:val="24"/>
          <w:szCs w:val="24"/>
        </w:rPr>
        <w:t>usnesení Rady České televize ze dne 11. 11. 2020, č. 225/18/20</w:t>
      </w:r>
      <w:r w:rsidR="00DA1B82" w:rsidRPr="00B044F4">
        <w:rPr>
          <w:rFonts w:ascii="Garamond" w:hAnsi="Garamond"/>
          <w:sz w:val="24"/>
          <w:szCs w:val="24"/>
        </w:rPr>
        <w:t>,</w:t>
      </w:r>
      <w:r w:rsidR="00DA1B82"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="00DA1B82" w:rsidRPr="00B044F4">
        <w:rPr>
          <w:rFonts w:ascii="Garamond" w:hAnsi="Garamond"/>
          <w:b/>
          <w:spacing w:val="60"/>
          <w:sz w:val="24"/>
          <w:szCs w:val="24"/>
        </w:rPr>
        <w:t>je</w:t>
      </w:r>
      <w:r w:rsidR="00DA1B82"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="004946C8" w:rsidRPr="00B044F4">
        <w:rPr>
          <w:rFonts w:ascii="Garamond" w:hAnsi="Garamond"/>
          <w:sz w:val="24"/>
          <w:szCs w:val="24"/>
        </w:rPr>
        <w:t>žalovaná</w:t>
      </w:r>
      <w:r w:rsidR="00DA1B82"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="00DA1B82" w:rsidRPr="00B044F4">
        <w:rPr>
          <w:rFonts w:ascii="Garamond" w:hAnsi="Garamond"/>
          <w:b/>
          <w:spacing w:val="60"/>
          <w:sz w:val="24"/>
          <w:szCs w:val="24"/>
        </w:rPr>
        <w:t>povinn</w:t>
      </w:r>
      <w:r w:rsidR="004946C8" w:rsidRPr="00B044F4">
        <w:rPr>
          <w:rFonts w:ascii="Garamond" w:hAnsi="Garamond"/>
          <w:b/>
          <w:spacing w:val="60"/>
          <w:sz w:val="24"/>
          <w:szCs w:val="24"/>
        </w:rPr>
        <w:t>a</w:t>
      </w:r>
      <w:r w:rsidRPr="00B044F4">
        <w:rPr>
          <w:rFonts w:ascii="Garamond" w:hAnsi="Garamond"/>
          <w:b/>
          <w:spacing w:val="60"/>
          <w:sz w:val="24"/>
          <w:szCs w:val="24"/>
        </w:rPr>
        <w:t xml:space="preserve"> </w:t>
      </w:r>
      <w:r w:rsidRPr="00B044F4">
        <w:rPr>
          <w:rFonts w:ascii="Garamond" w:hAnsi="Garamond"/>
          <w:sz w:val="24"/>
          <w:szCs w:val="24"/>
        </w:rPr>
        <w:t xml:space="preserve">zaplatit žalobcům náhradu nákladů řízení ve výši </w:t>
      </w:r>
      <w:r w:rsidR="00223352" w:rsidRPr="00B044F4">
        <w:rPr>
          <w:rFonts w:ascii="Garamond" w:hAnsi="Garamond"/>
          <w:sz w:val="24"/>
          <w:szCs w:val="24"/>
        </w:rPr>
        <w:t>110.197</w:t>
      </w:r>
      <w:r w:rsidR="00223352" w:rsidRPr="00B044F4">
        <w:rPr>
          <w:sz w:val="24"/>
          <w:szCs w:val="24"/>
        </w:rPr>
        <w:t xml:space="preserve"> </w:t>
      </w:r>
      <w:r w:rsidRPr="00B044F4">
        <w:rPr>
          <w:rFonts w:ascii="Garamond" w:hAnsi="Garamond"/>
          <w:sz w:val="24"/>
          <w:szCs w:val="24"/>
        </w:rPr>
        <w:t>Kč do 30 dnů od právní moci tohoto rozsudku k rukám advokáta JUDr. Artura Ostrého.</w:t>
      </w:r>
    </w:p>
    <w:p w14:paraId="34A215B9" w14:textId="77777777" w:rsidR="007A6316" w:rsidRPr="00B044F4" w:rsidRDefault="007A6316" w:rsidP="007A6316">
      <w:pPr>
        <w:pStyle w:val="Odstavecseseznamem"/>
        <w:rPr>
          <w:rFonts w:ascii="Garamond" w:hAnsi="Garamond"/>
          <w:b/>
          <w:sz w:val="24"/>
          <w:szCs w:val="24"/>
        </w:rPr>
      </w:pPr>
    </w:p>
    <w:p w14:paraId="301DB489" w14:textId="189B577A" w:rsidR="004072FF" w:rsidRPr="00B044F4" w:rsidRDefault="007A6316" w:rsidP="00DA1B82">
      <w:pPr>
        <w:pStyle w:val="Odstavecseseznamem"/>
        <w:numPr>
          <w:ilvl w:val="0"/>
          <w:numId w:val="12"/>
        </w:numPr>
        <w:suppressAutoHyphens w:val="0"/>
        <w:spacing w:after="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>O</w:t>
      </w:r>
      <w:r w:rsidR="004072FF" w:rsidRPr="00B044F4">
        <w:rPr>
          <w:rFonts w:ascii="Garamond" w:hAnsi="Garamond"/>
          <w:sz w:val="24"/>
          <w:szCs w:val="24"/>
        </w:rPr>
        <w:t xml:space="preserve">soba zúčastněná na řízení </w:t>
      </w:r>
      <w:r w:rsidRPr="00B044F4">
        <w:rPr>
          <w:rFonts w:ascii="Garamond" w:hAnsi="Garamond"/>
          <w:b/>
          <w:spacing w:val="60"/>
          <w:sz w:val="24"/>
          <w:szCs w:val="24"/>
        </w:rPr>
        <w:t>nemá</w:t>
      </w:r>
      <w:r w:rsidR="004072FF" w:rsidRPr="00B044F4">
        <w:rPr>
          <w:rFonts w:ascii="Garamond" w:hAnsi="Garamond"/>
          <w:b/>
          <w:spacing w:val="60"/>
          <w:sz w:val="24"/>
          <w:szCs w:val="24"/>
        </w:rPr>
        <w:t xml:space="preserve"> </w:t>
      </w:r>
      <w:r w:rsidR="004072FF" w:rsidRPr="00B044F4">
        <w:rPr>
          <w:rFonts w:ascii="Garamond" w:hAnsi="Garamond"/>
          <w:sz w:val="24"/>
          <w:szCs w:val="24"/>
        </w:rPr>
        <w:t xml:space="preserve">právo na náhradu nákladů řízení </w:t>
      </w:r>
      <w:r w:rsidR="00D06420" w:rsidRPr="00B044F4">
        <w:rPr>
          <w:rFonts w:ascii="Garamond" w:hAnsi="Garamond"/>
          <w:sz w:val="24"/>
          <w:szCs w:val="24"/>
        </w:rPr>
        <w:t xml:space="preserve">o </w:t>
      </w:r>
      <w:r w:rsidR="00DA1B82" w:rsidRPr="00B044F4">
        <w:rPr>
          <w:rFonts w:ascii="Garamond" w:hAnsi="Garamond"/>
          <w:sz w:val="24"/>
          <w:szCs w:val="24"/>
        </w:rPr>
        <w:t>kasační stížnosti a </w:t>
      </w:r>
      <w:r w:rsidR="00D06420" w:rsidRPr="00B044F4">
        <w:rPr>
          <w:rFonts w:ascii="Garamond" w:hAnsi="Garamond"/>
          <w:sz w:val="24"/>
          <w:szCs w:val="24"/>
        </w:rPr>
        <w:t xml:space="preserve">o žalobě proti </w:t>
      </w:r>
      <w:r w:rsidR="00D06420" w:rsidRPr="00B044F4">
        <w:rPr>
          <w:rFonts w:ascii="Garamond" w:eastAsia="Calibri" w:hAnsi="Garamond"/>
          <w:sz w:val="24"/>
          <w:szCs w:val="24"/>
        </w:rPr>
        <w:t>usnesení Rady České televize ze dne 11. 11. 2020, č. 225/18/20</w:t>
      </w:r>
      <w:r w:rsidR="004072FF" w:rsidRPr="00B044F4">
        <w:rPr>
          <w:rFonts w:ascii="Garamond" w:hAnsi="Garamond"/>
          <w:sz w:val="24"/>
          <w:szCs w:val="24"/>
        </w:rPr>
        <w:t>.</w:t>
      </w:r>
    </w:p>
    <w:p w14:paraId="2DF65563" w14:textId="77777777" w:rsidR="00DA1B82" w:rsidRPr="00B044F4" w:rsidRDefault="00DA1B82" w:rsidP="00DA1B8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A0FC28" w14:textId="77777777" w:rsidR="00DA1B82" w:rsidRPr="00B044F4" w:rsidRDefault="00DA1B82" w:rsidP="00DA1B82">
      <w:pPr>
        <w:suppressAutoHyphens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9DD38F" w14:textId="77777777" w:rsidR="00613ADE" w:rsidRPr="00B044F4" w:rsidRDefault="00241C32" w:rsidP="00DA1B82">
      <w:pPr>
        <w:spacing w:after="0" w:line="240" w:lineRule="auto"/>
        <w:jc w:val="center"/>
        <w:rPr>
          <w:rStyle w:val="Siln"/>
          <w:rFonts w:ascii="Garamond" w:hAnsi="Garamond"/>
          <w:spacing w:val="60"/>
          <w:sz w:val="28"/>
          <w:szCs w:val="28"/>
        </w:rPr>
      </w:pPr>
      <w:r w:rsidRPr="00B044F4">
        <w:rPr>
          <w:rStyle w:val="Siln"/>
          <w:rFonts w:ascii="Garamond" w:hAnsi="Garamond"/>
          <w:spacing w:val="60"/>
          <w:sz w:val="28"/>
          <w:szCs w:val="28"/>
        </w:rPr>
        <w:t>Odůvodnění:</w:t>
      </w:r>
    </w:p>
    <w:p w14:paraId="0ECB4D5C" w14:textId="77777777" w:rsidR="00DA1B82" w:rsidRPr="00B044F4" w:rsidRDefault="00DA1B82" w:rsidP="00DA1B82">
      <w:pPr>
        <w:spacing w:after="0" w:line="240" w:lineRule="auto"/>
        <w:jc w:val="center"/>
        <w:rPr>
          <w:rFonts w:ascii="Garamond" w:hAnsi="Garamond"/>
        </w:rPr>
      </w:pPr>
    </w:p>
    <w:p w14:paraId="711F92F8" w14:textId="4E49E031" w:rsidR="00613ADE" w:rsidRPr="00B044F4" w:rsidRDefault="00241C32" w:rsidP="00BA5628">
      <w:pPr>
        <w:spacing w:after="240" w:line="240" w:lineRule="auto"/>
        <w:jc w:val="center"/>
        <w:rPr>
          <w:rFonts w:ascii="Garamond" w:hAnsi="Garamond"/>
          <w:sz w:val="24"/>
          <w:szCs w:val="24"/>
        </w:rPr>
      </w:pPr>
      <w:r w:rsidRPr="00B044F4">
        <w:rPr>
          <w:rFonts w:ascii="Garamond" w:hAnsi="Garamond" w:cs="Garamond-Bold"/>
          <w:b/>
          <w:bCs/>
          <w:sz w:val="24"/>
          <w:szCs w:val="24"/>
        </w:rPr>
        <w:t xml:space="preserve">I. </w:t>
      </w:r>
      <w:r w:rsidR="00601A55" w:rsidRPr="00B044F4">
        <w:rPr>
          <w:rFonts w:ascii="Garamond" w:hAnsi="Garamond" w:cs="Garamond-Bold"/>
          <w:b/>
          <w:bCs/>
          <w:sz w:val="24"/>
          <w:szCs w:val="24"/>
        </w:rPr>
        <w:t>Shrnutí předcházejícího</w:t>
      </w:r>
      <w:r w:rsidRPr="00B044F4">
        <w:rPr>
          <w:rFonts w:ascii="Garamond" w:hAnsi="Garamond" w:cs="Garamond-Bold"/>
          <w:b/>
          <w:bCs/>
          <w:sz w:val="24"/>
          <w:szCs w:val="24"/>
        </w:rPr>
        <w:t xml:space="preserve"> řízení</w:t>
      </w:r>
    </w:p>
    <w:p w14:paraId="666F6930" w14:textId="5A1CE88B" w:rsidR="00DC22C8" w:rsidRPr="00B044F4" w:rsidRDefault="00DC22C8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sz w:val="24"/>
          <w:szCs w:val="24"/>
        </w:rPr>
      </w:pPr>
      <w:r w:rsidRPr="00B044F4">
        <w:rPr>
          <w:sz w:val="24"/>
          <w:szCs w:val="24"/>
        </w:rPr>
        <w:t xml:space="preserve">Žalovaná na svém </w:t>
      </w:r>
      <w:r w:rsidR="0028510C" w:rsidRPr="00B044F4">
        <w:rPr>
          <w:sz w:val="24"/>
          <w:szCs w:val="24"/>
        </w:rPr>
        <w:t>18. jednání</w:t>
      </w:r>
      <w:r w:rsidRPr="00B044F4">
        <w:rPr>
          <w:sz w:val="24"/>
          <w:szCs w:val="24"/>
        </w:rPr>
        <w:t xml:space="preserve"> konaném dne </w:t>
      </w:r>
      <w:r w:rsidR="00E97BC9" w:rsidRPr="00B044F4">
        <w:rPr>
          <w:sz w:val="24"/>
          <w:szCs w:val="24"/>
        </w:rPr>
        <w:t>11. 11. 2020</w:t>
      </w:r>
      <w:r w:rsidRPr="00B044F4">
        <w:rPr>
          <w:sz w:val="24"/>
          <w:szCs w:val="24"/>
        </w:rPr>
        <w:t xml:space="preserve"> v rámci jednacího bloku nazvaného </w:t>
      </w:r>
      <w:r w:rsidRPr="00B044F4">
        <w:rPr>
          <w:i/>
          <w:sz w:val="24"/>
          <w:szCs w:val="24"/>
        </w:rPr>
        <w:t>Materiály z Dozorčí komise</w:t>
      </w:r>
      <w:r w:rsidRPr="00B044F4">
        <w:rPr>
          <w:sz w:val="24"/>
          <w:szCs w:val="24"/>
        </w:rPr>
        <w:t xml:space="preserve"> přijala na návrh </w:t>
      </w:r>
      <w:r w:rsidR="00F6775F" w:rsidRPr="00B044F4">
        <w:rPr>
          <w:sz w:val="24"/>
          <w:szCs w:val="24"/>
        </w:rPr>
        <w:t>své členky</w:t>
      </w:r>
      <w:r w:rsidRPr="00B044F4">
        <w:rPr>
          <w:sz w:val="24"/>
          <w:szCs w:val="24"/>
        </w:rPr>
        <w:t xml:space="preserve"> </w:t>
      </w:r>
      <w:r w:rsidR="00F7485C" w:rsidRPr="00B044F4">
        <w:rPr>
          <w:sz w:val="24"/>
          <w:szCs w:val="24"/>
        </w:rPr>
        <w:t xml:space="preserve">Ing. </w:t>
      </w:r>
      <w:r w:rsidR="00F436DD" w:rsidRPr="00B044F4">
        <w:rPr>
          <w:sz w:val="24"/>
          <w:szCs w:val="24"/>
        </w:rPr>
        <w:t>H</w:t>
      </w:r>
      <w:r w:rsidR="001C034C" w:rsidRPr="00B044F4">
        <w:rPr>
          <w:sz w:val="24"/>
          <w:szCs w:val="24"/>
        </w:rPr>
        <w:t>.</w:t>
      </w:r>
      <w:r w:rsidR="00F436DD" w:rsidRPr="00B044F4">
        <w:rPr>
          <w:sz w:val="24"/>
          <w:szCs w:val="24"/>
        </w:rPr>
        <w:t xml:space="preserve"> </w:t>
      </w:r>
      <w:r w:rsidRPr="00B044F4">
        <w:rPr>
          <w:sz w:val="24"/>
          <w:szCs w:val="24"/>
        </w:rPr>
        <w:t>L</w:t>
      </w:r>
      <w:r w:rsidR="001C034C" w:rsidRPr="00B044F4">
        <w:rPr>
          <w:sz w:val="24"/>
          <w:szCs w:val="24"/>
        </w:rPr>
        <w:t>.</w:t>
      </w:r>
      <w:r w:rsidR="00F7485C" w:rsidRPr="00B044F4">
        <w:rPr>
          <w:sz w:val="24"/>
          <w:szCs w:val="24"/>
        </w:rPr>
        <w:t>, Ph.D.</w:t>
      </w:r>
      <w:r w:rsidRPr="00B044F4">
        <w:rPr>
          <w:sz w:val="24"/>
          <w:szCs w:val="24"/>
        </w:rPr>
        <w:t xml:space="preserve"> </w:t>
      </w:r>
      <w:r w:rsidR="00F436DD" w:rsidRPr="00B044F4">
        <w:rPr>
          <w:sz w:val="24"/>
          <w:szCs w:val="24"/>
        </w:rPr>
        <w:t xml:space="preserve">usnesení č. 225/18/20, </w:t>
      </w:r>
      <w:r w:rsidRPr="00B044F4">
        <w:rPr>
          <w:sz w:val="24"/>
          <w:szCs w:val="24"/>
        </w:rPr>
        <w:t>kterým vyslovila vážné výhrad</w:t>
      </w:r>
      <w:r w:rsidR="00F436DD" w:rsidRPr="00B044F4">
        <w:rPr>
          <w:sz w:val="24"/>
          <w:szCs w:val="24"/>
        </w:rPr>
        <w:t>y k práci dozorčí komise jako</w:t>
      </w:r>
      <w:r w:rsidRPr="00B044F4">
        <w:rPr>
          <w:sz w:val="24"/>
          <w:szCs w:val="24"/>
        </w:rPr>
        <w:t xml:space="preserve"> svého poradního orgánu </w:t>
      </w:r>
      <w:r w:rsidR="00176999" w:rsidRPr="00B044F4">
        <w:rPr>
          <w:sz w:val="24"/>
          <w:szCs w:val="24"/>
        </w:rPr>
        <w:t>a </w:t>
      </w:r>
      <w:r w:rsidR="00F436DD" w:rsidRPr="00B044F4">
        <w:rPr>
          <w:sz w:val="24"/>
          <w:szCs w:val="24"/>
        </w:rPr>
        <w:t xml:space="preserve">na základě </w:t>
      </w:r>
      <w:r w:rsidR="00F436DD" w:rsidRPr="00B044F4">
        <w:rPr>
          <w:sz w:val="24"/>
          <w:szCs w:val="24"/>
        </w:rPr>
        <w:lastRenderedPageBreak/>
        <w:t xml:space="preserve">nich </w:t>
      </w:r>
      <w:r w:rsidRPr="00B044F4">
        <w:rPr>
          <w:sz w:val="24"/>
          <w:szCs w:val="24"/>
        </w:rPr>
        <w:t>dozorčí komisi odvolala. Uvedené usnesení bylo přijato hlasy 10 ze 13 přítomných členů žalované.</w:t>
      </w:r>
    </w:p>
    <w:p w14:paraId="73D326D3" w14:textId="1B6A58E4" w:rsidR="00201F67" w:rsidRPr="00B044F4" w:rsidRDefault="002032FD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i/>
          <w:sz w:val="24"/>
          <w:szCs w:val="24"/>
        </w:rPr>
      </w:pPr>
      <w:r w:rsidRPr="00B044F4">
        <w:rPr>
          <w:rFonts w:eastAsia="Calibri" w:cs="Arial"/>
          <w:sz w:val="24"/>
          <w:szCs w:val="24"/>
        </w:rPr>
        <w:t>Proti tomuto usnesení podal</w:t>
      </w:r>
      <w:r w:rsidR="00684540" w:rsidRPr="00B044F4">
        <w:rPr>
          <w:rFonts w:eastAsia="Calibri" w:cs="Arial"/>
          <w:sz w:val="24"/>
          <w:szCs w:val="24"/>
        </w:rPr>
        <w:t>i</w:t>
      </w:r>
      <w:r w:rsidRPr="00B044F4">
        <w:rPr>
          <w:rFonts w:eastAsia="Calibri" w:cs="Arial"/>
          <w:sz w:val="24"/>
          <w:szCs w:val="24"/>
        </w:rPr>
        <w:t xml:space="preserve"> čtyři z pěti odvolaných členů dozorčí komise žalobu, kterou Městský soud v Praze </w:t>
      </w:r>
      <w:r w:rsidR="00684540" w:rsidRPr="00B044F4">
        <w:rPr>
          <w:rFonts w:eastAsia="Calibri" w:cs="Arial"/>
          <w:sz w:val="24"/>
          <w:szCs w:val="24"/>
        </w:rPr>
        <w:t xml:space="preserve">(dále jen „městský soud“) </w:t>
      </w:r>
      <w:r w:rsidRPr="00B044F4">
        <w:rPr>
          <w:rFonts w:eastAsia="Calibri" w:cs="Arial"/>
          <w:sz w:val="24"/>
          <w:szCs w:val="24"/>
        </w:rPr>
        <w:t xml:space="preserve">zamítl rozsudkem ze dne </w:t>
      </w:r>
      <w:r w:rsidR="00E97BC9" w:rsidRPr="00B044F4">
        <w:rPr>
          <w:rFonts w:eastAsia="Calibri" w:cs="Arial"/>
          <w:sz w:val="24"/>
          <w:szCs w:val="24"/>
        </w:rPr>
        <w:t>3. 11. 2021</w:t>
      </w:r>
      <w:r w:rsidRPr="00B044F4">
        <w:rPr>
          <w:rFonts w:eastAsia="Calibri" w:cs="Arial"/>
          <w:sz w:val="24"/>
          <w:szCs w:val="24"/>
        </w:rPr>
        <w:t xml:space="preserve">, </w:t>
      </w:r>
      <w:r w:rsidR="00176999" w:rsidRPr="00B044F4">
        <w:rPr>
          <w:rFonts w:eastAsia="Calibri" w:cs="Arial"/>
          <w:sz w:val="24"/>
          <w:szCs w:val="24"/>
        </w:rPr>
        <w:t>č. j. </w:t>
      </w:r>
      <w:r w:rsidR="00E97BC9" w:rsidRPr="00B044F4">
        <w:rPr>
          <w:rFonts w:eastAsia="Calibri" w:cs="Arial"/>
          <w:sz w:val="24"/>
          <w:szCs w:val="24"/>
        </w:rPr>
        <w:t>8 A 1/2021</w:t>
      </w:r>
      <w:r w:rsidRPr="00B044F4">
        <w:rPr>
          <w:rFonts w:eastAsia="Calibri" w:cs="Arial"/>
          <w:sz w:val="24"/>
          <w:szCs w:val="24"/>
        </w:rPr>
        <w:noBreakHyphen/>
      </w:r>
      <w:bookmarkStart w:id="0" w:name="NRCListu"/>
      <w:r w:rsidRPr="00B044F4">
        <w:rPr>
          <w:rFonts w:eastAsia="Calibri" w:cs="Arial"/>
          <w:sz w:val="24"/>
          <w:szCs w:val="24"/>
        </w:rPr>
        <w:t>98</w:t>
      </w:r>
      <w:bookmarkEnd w:id="0"/>
      <w:r w:rsidRPr="00B044F4">
        <w:rPr>
          <w:rFonts w:eastAsia="Calibri" w:cs="Arial"/>
          <w:sz w:val="24"/>
          <w:szCs w:val="24"/>
        </w:rPr>
        <w:t>. V</w:t>
      </w:r>
      <w:r w:rsidR="004C5B08" w:rsidRPr="00B044F4">
        <w:rPr>
          <w:rFonts w:eastAsia="Calibri" w:cs="Arial"/>
          <w:sz w:val="24"/>
          <w:szCs w:val="24"/>
        </w:rPr>
        <w:t> </w:t>
      </w:r>
      <w:r w:rsidRPr="00B044F4">
        <w:rPr>
          <w:rFonts w:eastAsia="Calibri" w:cs="Arial"/>
          <w:sz w:val="24"/>
          <w:szCs w:val="24"/>
        </w:rPr>
        <w:t>odů</w:t>
      </w:r>
      <w:r w:rsidR="004C5B08" w:rsidRPr="00B044F4">
        <w:rPr>
          <w:rFonts w:eastAsia="Calibri" w:cs="Arial"/>
          <w:sz w:val="24"/>
          <w:szCs w:val="24"/>
        </w:rPr>
        <w:t xml:space="preserve">vodnění tohoto rozsudku </w:t>
      </w:r>
      <w:r w:rsidR="00684540" w:rsidRPr="00B044F4">
        <w:rPr>
          <w:rFonts w:eastAsia="Calibri" w:cs="Arial"/>
          <w:sz w:val="24"/>
          <w:szCs w:val="24"/>
        </w:rPr>
        <w:t>m</w:t>
      </w:r>
      <w:r w:rsidR="004C5B08" w:rsidRPr="00B044F4">
        <w:rPr>
          <w:rFonts w:eastAsia="Calibri" w:cs="Arial"/>
          <w:sz w:val="24"/>
          <w:szCs w:val="24"/>
        </w:rPr>
        <w:t xml:space="preserve">ěstský soud uvedl, že </w:t>
      </w:r>
      <w:r w:rsidR="000A18F7" w:rsidRPr="00B044F4">
        <w:rPr>
          <w:rFonts w:eastAsia="Calibri" w:cs="Arial"/>
          <w:sz w:val="24"/>
          <w:szCs w:val="24"/>
        </w:rPr>
        <w:t>dozorčí komise</w:t>
      </w:r>
      <w:r w:rsidR="00F436DD" w:rsidRPr="00B044F4">
        <w:rPr>
          <w:rFonts w:eastAsia="Calibri" w:cs="Arial"/>
          <w:sz w:val="24"/>
          <w:szCs w:val="24"/>
        </w:rPr>
        <w:t xml:space="preserve"> j</w:t>
      </w:r>
      <w:r w:rsidR="004E6868" w:rsidRPr="00B044F4">
        <w:rPr>
          <w:rFonts w:eastAsia="Calibri" w:cs="Arial"/>
          <w:sz w:val="24"/>
          <w:szCs w:val="24"/>
        </w:rPr>
        <w:t>ako </w:t>
      </w:r>
      <w:r w:rsidR="000A18F7" w:rsidRPr="00B044F4">
        <w:rPr>
          <w:rFonts w:eastAsia="Calibri" w:cs="Arial"/>
          <w:sz w:val="24"/>
          <w:szCs w:val="24"/>
        </w:rPr>
        <w:t xml:space="preserve">expertní orgán pomáhá </w:t>
      </w:r>
      <w:r w:rsidR="00F436DD" w:rsidRPr="00B044F4">
        <w:rPr>
          <w:rFonts w:eastAsia="Calibri" w:cs="Arial"/>
          <w:sz w:val="24"/>
          <w:szCs w:val="24"/>
        </w:rPr>
        <w:t xml:space="preserve">žalované </w:t>
      </w:r>
      <w:r w:rsidR="000A18F7" w:rsidRPr="00B044F4">
        <w:rPr>
          <w:rFonts w:eastAsia="Calibri" w:cs="Arial"/>
          <w:sz w:val="24"/>
          <w:szCs w:val="24"/>
        </w:rPr>
        <w:t xml:space="preserve">vykonávat jeden z úkolů, který je jí svěřen, konkrétně kontrolu hospodaření České televize. Na členy dozorčí komise jsou kladeny obdobné požadavky nezávislosti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0A18F7" w:rsidRPr="00B044F4">
        <w:rPr>
          <w:rFonts w:eastAsia="Calibri" w:cs="Arial"/>
          <w:sz w:val="24"/>
          <w:szCs w:val="24"/>
        </w:rPr>
        <w:t xml:space="preserve">nestrannosti jako na členy </w:t>
      </w:r>
      <w:r w:rsidR="00F7485C" w:rsidRPr="00B044F4">
        <w:rPr>
          <w:rFonts w:eastAsia="Calibri" w:cs="Arial"/>
          <w:sz w:val="24"/>
          <w:szCs w:val="24"/>
        </w:rPr>
        <w:t>žalované, jak vyplývá z ustanovení §</w:t>
      </w:r>
      <w:r w:rsidR="00E97BC9" w:rsidRPr="00B044F4">
        <w:rPr>
          <w:rFonts w:eastAsia="Calibri" w:cs="Arial"/>
          <w:sz w:val="24"/>
          <w:szCs w:val="24"/>
        </w:rPr>
        <w:t> </w:t>
      </w:r>
      <w:r w:rsidR="000A18F7" w:rsidRPr="00B044F4">
        <w:rPr>
          <w:rFonts w:eastAsia="Calibri" w:cs="Arial"/>
          <w:sz w:val="24"/>
          <w:szCs w:val="24"/>
        </w:rPr>
        <w:t xml:space="preserve">8a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AA0551" w:rsidRPr="00B044F4">
        <w:rPr>
          <w:rFonts w:eastAsia="Calibri" w:cs="Arial"/>
          <w:sz w:val="24"/>
          <w:szCs w:val="24"/>
        </w:rPr>
        <w:t xml:space="preserve">2 </w:t>
      </w:r>
      <w:r w:rsidR="000A18F7" w:rsidRPr="00B044F4">
        <w:rPr>
          <w:rFonts w:eastAsia="Calibri" w:cs="Arial"/>
          <w:sz w:val="24"/>
          <w:szCs w:val="24"/>
        </w:rPr>
        <w:t xml:space="preserve">zákona </w:t>
      </w:r>
      <w:r w:rsidR="00087B95" w:rsidRPr="00B044F4">
        <w:rPr>
          <w:rFonts w:eastAsia="Calibri" w:cs="Arial"/>
          <w:sz w:val="24"/>
          <w:szCs w:val="24"/>
        </w:rPr>
        <w:t xml:space="preserve">České národní rady </w:t>
      </w:r>
      <w:r w:rsidR="00F7485C" w:rsidRPr="00B044F4">
        <w:rPr>
          <w:rFonts w:eastAsia="Calibri" w:cs="Arial"/>
          <w:sz w:val="24"/>
          <w:szCs w:val="24"/>
        </w:rPr>
        <w:t>č. 483/1991 Sb., o České televizi, ve zněn</w:t>
      </w:r>
      <w:r w:rsidR="004E6868" w:rsidRPr="00B044F4">
        <w:rPr>
          <w:rFonts w:eastAsia="Calibri" w:cs="Arial"/>
          <w:sz w:val="24"/>
          <w:szCs w:val="24"/>
        </w:rPr>
        <w:t>í pozdějších předpisů (dále jen </w:t>
      </w:r>
      <w:r w:rsidR="00F7485C" w:rsidRPr="00B044F4">
        <w:rPr>
          <w:rFonts w:eastAsia="Calibri" w:cs="Arial"/>
          <w:sz w:val="24"/>
          <w:szCs w:val="24"/>
        </w:rPr>
        <w:t xml:space="preserve">„zákon </w:t>
      </w:r>
      <w:r w:rsidR="00176999" w:rsidRPr="00B044F4">
        <w:rPr>
          <w:rFonts w:eastAsia="Calibri" w:cs="Arial"/>
          <w:sz w:val="24"/>
          <w:szCs w:val="24"/>
        </w:rPr>
        <w:t>o </w:t>
      </w:r>
      <w:r w:rsidR="00684540" w:rsidRPr="00B044F4">
        <w:rPr>
          <w:rFonts w:eastAsia="Calibri" w:cs="Arial"/>
          <w:sz w:val="24"/>
          <w:szCs w:val="24"/>
        </w:rPr>
        <w:t>ČT</w:t>
      </w:r>
      <w:r w:rsidR="00F7485C" w:rsidRPr="00B044F4">
        <w:rPr>
          <w:rFonts w:eastAsia="Calibri" w:cs="Arial"/>
          <w:sz w:val="24"/>
          <w:szCs w:val="24"/>
        </w:rPr>
        <w:t xml:space="preserve">“). To se však týká pouze </w:t>
      </w:r>
      <w:r w:rsidR="000A18F7" w:rsidRPr="00B044F4">
        <w:rPr>
          <w:rFonts w:eastAsia="Calibri" w:cs="Arial"/>
          <w:sz w:val="24"/>
          <w:szCs w:val="24"/>
        </w:rPr>
        <w:t xml:space="preserve">vztahu </w:t>
      </w:r>
      <w:r w:rsidR="00F7485C" w:rsidRPr="00B044F4">
        <w:rPr>
          <w:rFonts w:eastAsia="Calibri" w:cs="Arial"/>
          <w:sz w:val="24"/>
          <w:szCs w:val="24"/>
        </w:rPr>
        <w:t xml:space="preserve">dozorčí komise </w:t>
      </w:r>
      <w:r w:rsidR="000A18F7" w:rsidRPr="00B044F4">
        <w:rPr>
          <w:rFonts w:eastAsia="Calibri" w:cs="Arial"/>
          <w:sz w:val="24"/>
          <w:szCs w:val="24"/>
        </w:rPr>
        <w:t xml:space="preserve">k vnějším vlivům, nikoliv </w:t>
      </w:r>
      <w:r w:rsidR="00F7485C" w:rsidRPr="00B044F4">
        <w:rPr>
          <w:rFonts w:eastAsia="Calibri" w:cs="Arial"/>
          <w:sz w:val="24"/>
          <w:szCs w:val="24"/>
        </w:rPr>
        <w:t xml:space="preserve">jejího </w:t>
      </w:r>
      <w:r w:rsidR="000A18F7" w:rsidRPr="00B044F4">
        <w:rPr>
          <w:rFonts w:eastAsia="Calibri" w:cs="Arial"/>
          <w:sz w:val="24"/>
          <w:szCs w:val="24"/>
        </w:rPr>
        <w:t>vztahu k </w:t>
      </w:r>
      <w:r w:rsidR="00F7485C" w:rsidRPr="00B044F4">
        <w:rPr>
          <w:rFonts w:eastAsia="Calibri" w:cs="Arial"/>
          <w:sz w:val="24"/>
          <w:szCs w:val="24"/>
        </w:rPr>
        <w:t>žalované</w:t>
      </w:r>
      <w:r w:rsidR="000A18F7" w:rsidRPr="00B044F4">
        <w:rPr>
          <w:rFonts w:eastAsia="Calibri" w:cs="Arial"/>
          <w:sz w:val="24"/>
          <w:szCs w:val="24"/>
        </w:rPr>
        <w:t xml:space="preserve">. </w:t>
      </w:r>
      <w:r w:rsidR="00F7485C" w:rsidRPr="00B044F4">
        <w:rPr>
          <w:rFonts w:eastAsia="Calibri" w:cs="Arial"/>
          <w:sz w:val="24"/>
          <w:szCs w:val="24"/>
        </w:rPr>
        <w:t>Pouze žalované byla totiž</w:t>
      </w:r>
      <w:r w:rsidR="000A18F7" w:rsidRPr="00B044F4">
        <w:rPr>
          <w:rFonts w:eastAsia="Calibri" w:cs="Arial"/>
          <w:sz w:val="24"/>
          <w:szCs w:val="24"/>
        </w:rPr>
        <w:t xml:space="preserve"> zákonem </w:t>
      </w:r>
      <w:r w:rsidR="00F7485C" w:rsidRPr="00B044F4">
        <w:rPr>
          <w:rFonts w:eastAsia="Calibri" w:cs="Arial"/>
          <w:sz w:val="24"/>
          <w:szCs w:val="24"/>
        </w:rPr>
        <w:t xml:space="preserve">o ČT svěřena </w:t>
      </w:r>
      <w:r w:rsidR="00DA1B82" w:rsidRPr="00B044F4">
        <w:rPr>
          <w:rFonts w:eastAsia="Calibri" w:cs="Arial"/>
          <w:sz w:val="24"/>
          <w:szCs w:val="24"/>
        </w:rPr>
        <w:t>určitá odpovědnost a </w:t>
      </w:r>
      <w:r w:rsidR="00F7485C" w:rsidRPr="00B044F4">
        <w:rPr>
          <w:rFonts w:eastAsia="Calibri" w:cs="Arial"/>
          <w:sz w:val="24"/>
          <w:szCs w:val="24"/>
        </w:rPr>
        <w:t>d</w:t>
      </w:r>
      <w:r w:rsidR="000A18F7" w:rsidRPr="00B044F4">
        <w:rPr>
          <w:rFonts w:eastAsia="Calibri" w:cs="Arial"/>
          <w:sz w:val="24"/>
          <w:szCs w:val="24"/>
        </w:rPr>
        <w:t xml:space="preserve">ozorčí komise </w:t>
      </w:r>
      <w:r w:rsidR="00F7485C" w:rsidRPr="00B044F4">
        <w:rPr>
          <w:rFonts w:eastAsia="Calibri" w:cs="Arial"/>
          <w:sz w:val="24"/>
          <w:szCs w:val="24"/>
        </w:rPr>
        <w:t xml:space="preserve">je </w:t>
      </w:r>
      <w:r w:rsidR="000A18F7" w:rsidRPr="00B044F4">
        <w:rPr>
          <w:rFonts w:eastAsia="Calibri" w:cs="Arial"/>
          <w:sz w:val="24"/>
          <w:szCs w:val="24"/>
        </w:rPr>
        <w:t xml:space="preserve">jí </w:t>
      </w:r>
      <w:r w:rsidR="00F7485C" w:rsidRPr="00B044F4">
        <w:rPr>
          <w:rFonts w:eastAsia="Calibri" w:cs="Arial"/>
          <w:sz w:val="24"/>
          <w:szCs w:val="24"/>
        </w:rPr>
        <w:t xml:space="preserve">v tom pouze nápomocna a </w:t>
      </w:r>
      <w:r w:rsidR="000A18F7" w:rsidRPr="00B044F4">
        <w:rPr>
          <w:rFonts w:eastAsia="Calibri" w:cs="Arial"/>
          <w:sz w:val="24"/>
          <w:szCs w:val="24"/>
        </w:rPr>
        <w:t>nemá v tomto ohledu samostatné postavení. Nemělo by proto žádný smysl, aby dozorčí k</w:t>
      </w:r>
      <w:r w:rsidR="00F7485C" w:rsidRPr="00B044F4">
        <w:rPr>
          <w:rFonts w:eastAsia="Calibri" w:cs="Arial"/>
          <w:sz w:val="24"/>
          <w:szCs w:val="24"/>
        </w:rPr>
        <w:t xml:space="preserve">omise byla koncipována jako </w:t>
      </w:r>
      <w:r w:rsidR="000A18F7" w:rsidRPr="00B044F4">
        <w:rPr>
          <w:rFonts w:eastAsia="Calibri" w:cs="Arial"/>
          <w:sz w:val="24"/>
          <w:szCs w:val="24"/>
        </w:rPr>
        <w:t>nezávislý orgán</w:t>
      </w:r>
      <w:r w:rsidR="00DA1B82" w:rsidRPr="00B044F4">
        <w:rPr>
          <w:rFonts w:eastAsia="Calibri" w:cs="Arial"/>
          <w:sz w:val="24"/>
          <w:szCs w:val="24"/>
        </w:rPr>
        <w:t xml:space="preserve"> na </w:t>
      </w:r>
      <w:r w:rsidR="00F7485C" w:rsidRPr="00B044F4">
        <w:rPr>
          <w:rFonts w:eastAsia="Calibri" w:cs="Arial"/>
          <w:sz w:val="24"/>
          <w:szCs w:val="24"/>
        </w:rPr>
        <w:t>nezávislé žalované. N</w:t>
      </w:r>
      <w:r w:rsidR="000A18F7" w:rsidRPr="00B044F4">
        <w:rPr>
          <w:rFonts w:eastAsia="Calibri" w:cs="Arial"/>
          <w:sz w:val="24"/>
          <w:szCs w:val="24"/>
        </w:rPr>
        <w:t xml:space="preserve">aopak je logické, že práce </w:t>
      </w:r>
      <w:r w:rsidR="00F7485C" w:rsidRPr="00B044F4">
        <w:rPr>
          <w:rFonts w:eastAsia="Calibri" w:cs="Arial"/>
          <w:sz w:val="24"/>
          <w:szCs w:val="24"/>
        </w:rPr>
        <w:t>žalované je</w:t>
      </w:r>
      <w:r w:rsidR="000A18F7" w:rsidRPr="00B044F4">
        <w:rPr>
          <w:rFonts w:eastAsia="Calibri" w:cs="Arial"/>
          <w:sz w:val="24"/>
          <w:szCs w:val="24"/>
        </w:rPr>
        <w:t xml:space="preserve"> s </w:t>
      </w:r>
      <w:r w:rsidR="00F7485C" w:rsidRPr="00B044F4">
        <w:rPr>
          <w:rFonts w:eastAsia="Calibri" w:cs="Arial"/>
          <w:sz w:val="24"/>
          <w:szCs w:val="24"/>
        </w:rPr>
        <w:t xml:space="preserve">činností dozorčí komise úzce provázána, a proto je </w:t>
      </w:r>
      <w:r w:rsidR="000A18F7" w:rsidRPr="00B044F4">
        <w:rPr>
          <w:rFonts w:eastAsia="Calibri" w:cs="Arial"/>
          <w:sz w:val="24"/>
          <w:szCs w:val="24"/>
        </w:rPr>
        <w:t xml:space="preserve">stěžejní, aby </w:t>
      </w:r>
      <w:r w:rsidR="00F7485C" w:rsidRPr="00B044F4">
        <w:rPr>
          <w:rFonts w:eastAsia="Calibri" w:cs="Arial"/>
          <w:sz w:val="24"/>
          <w:szCs w:val="24"/>
        </w:rPr>
        <w:t>žalovaná</w:t>
      </w:r>
      <w:r w:rsidR="000A18F7" w:rsidRPr="00B044F4">
        <w:rPr>
          <w:rFonts w:eastAsia="Calibri" w:cs="Arial"/>
          <w:sz w:val="24"/>
          <w:szCs w:val="24"/>
        </w:rPr>
        <w:t xml:space="preserve"> měla k dozorčí komisi důvěru, protož</w:t>
      </w:r>
      <w:r w:rsidR="00DA1B82" w:rsidRPr="00B044F4">
        <w:rPr>
          <w:rFonts w:eastAsia="Calibri" w:cs="Arial"/>
          <w:sz w:val="24"/>
          <w:szCs w:val="24"/>
        </w:rPr>
        <w:t>e právě s její </w:t>
      </w:r>
      <w:r w:rsidR="00F7485C" w:rsidRPr="00B044F4">
        <w:rPr>
          <w:rFonts w:eastAsia="Calibri" w:cs="Arial"/>
          <w:sz w:val="24"/>
          <w:szCs w:val="24"/>
        </w:rPr>
        <w:t xml:space="preserve">pomocí </w:t>
      </w:r>
      <w:r w:rsidR="000A18F7" w:rsidRPr="00B044F4">
        <w:rPr>
          <w:rFonts w:eastAsia="Calibri" w:cs="Arial"/>
          <w:sz w:val="24"/>
          <w:szCs w:val="24"/>
        </w:rPr>
        <w:t xml:space="preserve">plní </w:t>
      </w:r>
      <w:r w:rsidR="00F7485C" w:rsidRPr="00B044F4">
        <w:rPr>
          <w:rFonts w:eastAsia="Calibri" w:cs="Arial"/>
          <w:sz w:val="24"/>
          <w:szCs w:val="24"/>
        </w:rPr>
        <w:t xml:space="preserve">své zákonem </w:t>
      </w:r>
      <w:r w:rsidR="000A18F7" w:rsidRPr="00B044F4">
        <w:rPr>
          <w:rFonts w:eastAsia="Calibri" w:cs="Arial"/>
          <w:sz w:val="24"/>
          <w:szCs w:val="24"/>
        </w:rPr>
        <w:t>svěřené úkoly.</w:t>
      </w:r>
    </w:p>
    <w:p w14:paraId="0D3DEBE7" w14:textId="00BBC3B6" w:rsidR="00201F67" w:rsidRPr="00B044F4" w:rsidRDefault="00201F67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i/>
          <w:sz w:val="24"/>
          <w:szCs w:val="24"/>
        </w:rPr>
      </w:pPr>
      <w:r w:rsidRPr="00B044F4">
        <w:rPr>
          <w:sz w:val="24"/>
          <w:szCs w:val="24"/>
        </w:rPr>
        <w:t xml:space="preserve">Městský soud tedy dospěl </w:t>
      </w:r>
      <w:r w:rsidR="00176999" w:rsidRPr="00B044F4">
        <w:rPr>
          <w:sz w:val="24"/>
          <w:szCs w:val="24"/>
        </w:rPr>
        <w:t>k</w:t>
      </w:r>
      <w:r w:rsidR="00DA1B82" w:rsidRPr="00B044F4">
        <w:rPr>
          <w:sz w:val="24"/>
          <w:szCs w:val="24"/>
        </w:rPr>
        <w:t xml:space="preserve"> </w:t>
      </w:r>
      <w:r w:rsidR="00F7485C" w:rsidRPr="00B044F4">
        <w:rPr>
          <w:sz w:val="24"/>
          <w:szCs w:val="24"/>
        </w:rPr>
        <w:t>závěru, že přiměřená</w:t>
      </w:r>
      <w:r w:rsidRPr="00B044F4">
        <w:rPr>
          <w:sz w:val="24"/>
          <w:szCs w:val="24"/>
        </w:rPr>
        <w:t xml:space="preserve"> aplikace </w:t>
      </w:r>
      <w:r w:rsidR="00E97BC9" w:rsidRPr="00B044F4">
        <w:rPr>
          <w:sz w:val="24"/>
          <w:szCs w:val="24"/>
        </w:rPr>
        <w:t>§</w:t>
      </w:r>
      <w:r w:rsidR="00DA1B82" w:rsidRPr="00B044F4">
        <w:rPr>
          <w:sz w:val="24"/>
          <w:szCs w:val="24"/>
        </w:rPr>
        <w:t xml:space="preserve"> </w:t>
      </w:r>
      <w:r w:rsidRPr="00B044F4">
        <w:rPr>
          <w:sz w:val="24"/>
          <w:szCs w:val="24"/>
        </w:rPr>
        <w:t xml:space="preserve">6 </w:t>
      </w:r>
      <w:r w:rsidR="00DA1B82" w:rsidRPr="00B044F4">
        <w:rPr>
          <w:sz w:val="24"/>
          <w:szCs w:val="24"/>
        </w:rPr>
        <w:t xml:space="preserve">odst. </w:t>
      </w:r>
      <w:r w:rsidRPr="00B044F4">
        <w:rPr>
          <w:sz w:val="24"/>
          <w:szCs w:val="24"/>
        </w:rPr>
        <w:t xml:space="preserve">1 </w:t>
      </w:r>
      <w:r w:rsidR="00176999" w:rsidRPr="00B044F4">
        <w:rPr>
          <w:sz w:val="24"/>
          <w:szCs w:val="24"/>
        </w:rPr>
        <w:t>a</w:t>
      </w:r>
      <w:r w:rsidR="00DA1B82" w:rsidRPr="00B044F4">
        <w:rPr>
          <w:sz w:val="24"/>
          <w:szCs w:val="24"/>
        </w:rPr>
        <w:t xml:space="preserve"> </w:t>
      </w:r>
      <w:r w:rsidRPr="00B044F4">
        <w:rPr>
          <w:sz w:val="24"/>
          <w:szCs w:val="24"/>
        </w:rPr>
        <w:t xml:space="preserve">2 zákona </w:t>
      </w:r>
      <w:r w:rsidR="00DA1B82" w:rsidRPr="00B044F4">
        <w:rPr>
          <w:sz w:val="24"/>
          <w:szCs w:val="24"/>
        </w:rPr>
        <w:t>o ČT </w:t>
      </w:r>
      <w:r w:rsidRPr="00B044F4">
        <w:rPr>
          <w:sz w:val="24"/>
          <w:szCs w:val="24"/>
        </w:rPr>
        <w:t>v případě zániku funkce člena dozorčí komise znamená</w:t>
      </w:r>
      <w:r w:rsidR="00DA1B82" w:rsidRPr="00B044F4">
        <w:rPr>
          <w:sz w:val="24"/>
          <w:szCs w:val="24"/>
        </w:rPr>
        <w:t>, že tato ustanovení nemají být </w:t>
      </w:r>
      <w:r w:rsidRPr="00B044F4">
        <w:rPr>
          <w:sz w:val="24"/>
          <w:szCs w:val="24"/>
        </w:rPr>
        <w:t xml:space="preserve">aplikována stejně, ale naopak s ohledem na specifickou povahu funkce člena dozorčí komise, a tedy se zohledněním jiných účelů, které zákon </w:t>
      </w:r>
      <w:r w:rsidR="00F7485C" w:rsidRPr="00B044F4">
        <w:rPr>
          <w:sz w:val="24"/>
          <w:szCs w:val="24"/>
        </w:rPr>
        <w:t xml:space="preserve">o ČT </w:t>
      </w:r>
      <w:r w:rsidRPr="00B044F4">
        <w:rPr>
          <w:sz w:val="24"/>
          <w:szCs w:val="24"/>
        </w:rPr>
        <w:t xml:space="preserve">v daném případě sleduje. V případě dozorčí komise není dán požadavek nezávislosti na </w:t>
      </w:r>
      <w:r w:rsidR="00F7485C" w:rsidRPr="00B044F4">
        <w:rPr>
          <w:sz w:val="24"/>
          <w:szCs w:val="24"/>
        </w:rPr>
        <w:t>žalované</w:t>
      </w:r>
      <w:r w:rsidRPr="00B044F4">
        <w:rPr>
          <w:sz w:val="24"/>
          <w:szCs w:val="24"/>
        </w:rPr>
        <w:t xml:space="preserve">, </w:t>
      </w:r>
      <w:r w:rsidR="00F7485C" w:rsidRPr="00B044F4">
        <w:rPr>
          <w:sz w:val="24"/>
          <w:szCs w:val="24"/>
        </w:rPr>
        <w:t xml:space="preserve">a proto není </w:t>
      </w:r>
      <w:r w:rsidRPr="00B044F4">
        <w:rPr>
          <w:sz w:val="24"/>
          <w:szCs w:val="24"/>
        </w:rPr>
        <w:t>účelné, aby členové dozorčí komise měli st</w:t>
      </w:r>
      <w:r w:rsidR="00F7485C" w:rsidRPr="00B044F4">
        <w:rPr>
          <w:sz w:val="24"/>
          <w:szCs w:val="24"/>
        </w:rPr>
        <w:t>ejné záruky setrvání ve funkci vůči žalované</w:t>
      </w:r>
      <w:r w:rsidRPr="00B044F4">
        <w:rPr>
          <w:sz w:val="24"/>
          <w:szCs w:val="24"/>
        </w:rPr>
        <w:t xml:space="preserve"> jako členové </w:t>
      </w:r>
      <w:r w:rsidR="00F7485C" w:rsidRPr="00B044F4">
        <w:rPr>
          <w:sz w:val="24"/>
          <w:szCs w:val="24"/>
        </w:rPr>
        <w:t xml:space="preserve">žalované </w:t>
      </w:r>
      <w:r w:rsidRPr="00B044F4">
        <w:rPr>
          <w:sz w:val="24"/>
          <w:szCs w:val="24"/>
        </w:rPr>
        <w:t xml:space="preserve">vůči Poslanecké sněmovně. Platí tedy, že na základě </w:t>
      </w:r>
      <w:r w:rsidR="00E97BC9" w:rsidRPr="00B044F4">
        <w:rPr>
          <w:sz w:val="24"/>
          <w:szCs w:val="24"/>
        </w:rPr>
        <w:t>§ </w:t>
      </w:r>
      <w:r w:rsidRPr="00B044F4">
        <w:rPr>
          <w:sz w:val="24"/>
          <w:szCs w:val="24"/>
        </w:rPr>
        <w:t xml:space="preserve">8a </w:t>
      </w:r>
      <w:r w:rsidR="00176999" w:rsidRPr="00B044F4">
        <w:rPr>
          <w:sz w:val="24"/>
          <w:szCs w:val="24"/>
        </w:rPr>
        <w:t>odst. </w:t>
      </w:r>
      <w:r w:rsidRPr="00B044F4">
        <w:rPr>
          <w:sz w:val="24"/>
          <w:szCs w:val="24"/>
        </w:rPr>
        <w:t>2 zákona</w:t>
      </w:r>
      <w:r w:rsidR="00684540" w:rsidRPr="00B044F4">
        <w:rPr>
          <w:sz w:val="24"/>
          <w:szCs w:val="24"/>
        </w:rPr>
        <w:t xml:space="preserve"> o ČT</w:t>
      </w:r>
      <w:r w:rsidR="00AA0551" w:rsidRPr="00B044F4">
        <w:rPr>
          <w:sz w:val="24"/>
          <w:szCs w:val="24"/>
        </w:rPr>
        <w:t xml:space="preserve"> </w:t>
      </w:r>
      <w:r w:rsidRPr="00B044F4">
        <w:rPr>
          <w:sz w:val="24"/>
          <w:szCs w:val="24"/>
        </w:rPr>
        <w:t xml:space="preserve">ve spojení </w:t>
      </w:r>
      <w:r w:rsidR="00176999" w:rsidRPr="00B044F4">
        <w:rPr>
          <w:sz w:val="24"/>
          <w:szCs w:val="24"/>
        </w:rPr>
        <w:t>s </w:t>
      </w:r>
      <w:r w:rsidR="00E97BC9" w:rsidRPr="00B044F4">
        <w:rPr>
          <w:sz w:val="24"/>
          <w:szCs w:val="24"/>
        </w:rPr>
        <w:t>§ </w:t>
      </w:r>
      <w:r w:rsidRPr="00B044F4">
        <w:rPr>
          <w:sz w:val="24"/>
          <w:szCs w:val="24"/>
        </w:rPr>
        <w:t xml:space="preserve">6 </w:t>
      </w:r>
      <w:r w:rsidR="00176999" w:rsidRPr="00B044F4">
        <w:rPr>
          <w:sz w:val="24"/>
          <w:szCs w:val="24"/>
        </w:rPr>
        <w:t>odst. </w:t>
      </w:r>
      <w:r w:rsidRPr="00B044F4">
        <w:rPr>
          <w:sz w:val="24"/>
          <w:szCs w:val="24"/>
        </w:rPr>
        <w:t xml:space="preserve">1 </w:t>
      </w:r>
      <w:r w:rsidR="00176999" w:rsidRPr="00B044F4">
        <w:rPr>
          <w:sz w:val="24"/>
          <w:szCs w:val="24"/>
        </w:rPr>
        <w:t>písm. </w:t>
      </w:r>
      <w:r w:rsidRPr="00B044F4">
        <w:rPr>
          <w:sz w:val="24"/>
          <w:szCs w:val="24"/>
        </w:rPr>
        <w:t xml:space="preserve">c) </w:t>
      </w:r>
      <w:r w:rsidR="00AA0551" w:rsidRPr="00B044F4">
        <w:rPr>
          <w:sz w:val="24"/>
          <w:szCs w:val="24"/>
        </w:rPr>
        <w:t>téhož zákona užitého přiměřeně</w:t>
      </w:r>
      <w:r w:rsidRPr="00B044F4">
        <w:rPr>
          <w:sz w:val="24"/>
          <w:szCs w:val="24"/>
        </w:rPr>
        <w:t xml:space="preserve"> může </w:t>
      </w:r>
      <w:r w:rsidR="00AA0551" w:rsidRPr="00B044F4">
        <w:rPr>
          <w:sz w:val="24"/>
          <w:szCs w:val="24"/>
        </w:rPr>
        <w:t>žalovaná</w:t>
      </w:r>
      <w:r w:rsidRPr="00B044F4">
        <w:rPr>
          <w:sz w:val="24"/>
          <w:szCs w:val="24"/>
        </w:rPr>
        <w:t xml:space="preserve"> odvolat člena dozorčí komise v zá</w:t>
      </w:r>
      <w:r w:rsidR="004946C8" w:rsidRPr="00B044F4">
        <w:rPr>
          <w:sz w:val="24"/>
          <w:szCs w:val="24"/>
        </w:rPr>
        <w:t>sadě z jakéhokoliv důvodu, například</w:t>
      </w:r>
      <w:r w:rsidRPr="00B044F4">
        <w:rPr>
          <w:sz w:val="24"/>
          <w:szCs w:val="24"/>
        </w:rPr>
        <w:t xml:space="preserve"> </w:t>
      </w:r>
      <w:r w:rsidR="00AA0551" w:rsidRPr="00B044F4">
        <w:rPr>
          <w:sz w:val="24"/>
          <w:szCs w:val="24"/>
        </w:rPr>
        <w:t>kvůli subjektivní ztrátě</w:t>
      </w:r>
      <w:r w:rsidRPr="00B044F4">
        <w:rPr>
          <w:sz w:val="24"/>
          <w:szCs w:val="24"/>
        </w:rPr>
        <w:t xml:space="preserve"> důvěry nebo dojmu, že dozorčí komise vykonává své úkoly nedostatečně či v rozporu s představou </w:t>
      </w:r>
      <w:r w:rsidR="00AA0551" w:rsidRPr="00B044F4">
        <w:rPr>
          <w:sz w:val="24"/>
          <w:szCs w:val="24"/>
        </w:rPr>
        <w:t>žalované. P</w:t>
      </w:r>
      <w:r w:rsidRPr="00B044F4">
        <w:rPr>
          <w:sz w:val="24"/>
          <w:szCs w:val="24"/>
        </w:rPr>
        <w:t xml:space="preserve">řitom </w:t>
      </w:r>
      <w:r w:rsidR="004946C8" w:rsidRPr="00B044F4">
        <w:rPr>
          <w:sz w:val="24"/>
          <w:szCs w:val="24"/>
        </w:rPr>
        <w:t xml:space="preserve">je </w:t>
      </w:r>
      <w:r w:rsidRPr="00B044F4">
        <w:rPr>
          <w:sz w:val="24"/>
          <w:szCs w:val="24"/>
        </w:rPr>
        <w:t>ale třeba dbát mezí vyplývajících zejména z ústavního pořádku, které takov</w:t>
      </w:r>
      <w:r w:rsidR="00AA0551" w:rsidRPr="00B044F4">
        <w:rPr>
          <w:sz w:val="24"/>
          <w:szCs w:val="24"/>
        </w:rPr>
        <w:t>é správní uvážení má, a to například</w:t>
      </w:r>
      <w:r w:rsidRPr="00B044F4">
        <w:rPr>
          <w:sz w:val="24"/>
          <w:szCs w:val="24"/>
        </w:rPr>
        <w:t xml:space="preserve"> zákazu libovůle, principu rovnosti, zákazu diskriminace či příkazu</w:t>
      </w:r>
      <w:r w:rsidR="00AA0551" w:rsidRPr="00B044F4">
        <w:rPr>
          <w:sz w:val="24"/>
          <w:szCs w:val="24"/>
        </w:rPr>
        <w:t xml:space="preserve"> zachovávat lidskou důstojnost.</w:t>
      </w:r>
      <w:r w:rsidR="001C3FEB" w:rsidRPr="00B044F4">
        <w:rPr>
          <w:sz w:val="24"/>
          <w:szCs w:val="24"/>
        </w:rPr>
        <w:t xml:space="preserve"> V této souvislosti městský soud odkázal na rozsudek ze dne 4. 7. 2018, č. j. 10 As 60/2018-45, v něm Nejvyšší správní soud dospěl k závěru, že akademický senát může podat rektorovi návrh na odvolání děkana fakulty i v případě narušení vztahu vzáj</w:t>
      </w:r>
      <w:r w:rsidR="00DA1B82" w:rsidRPr="00B044F4">
        <w:rPr>
          <w:sz w:val="24"/>
          <w:szCs w:val="24"/>
        </w:rPr>
        <w:t>emné důvěry či jen proto, že má </w:t>
      </w:r>
      <w:r w:rsidR="001C3FEB" w:rsidRPr="00B044F4">
        <w:rPr>
          <w:sz w:val="24"/>
          <w:szCs w:val="24"/>
        </w:rPr>
        <w:t xml:space="preserve">rozdílné názory na správu fakulty. </w:t>
      </w:r>
    </w:p>
    <w:p w14:paraId="04102A78" w14:textId="24DFF99A" w:rsidR="0090771F" w:rsidRPr="00B044F4" w:rsidRDefault="008828F4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sz w:val="24"/>
          <w:szCs w:val="24"/>
        </w:rPr>
      </w:pPr>
      <w:r w:rsidRPr="00B044F4">
        <w:rPr>
          <w:rFonts w:eastAsia="Calibri" w:cs="Arial"/>
          <w:sz w:val="24"/>
          <w:szCs w:val="24"/>
        </w:rPr>
        <w:t xml:space="preserve">Městský soud se neztotožnil ani s námitkou žalobců, podle nichž žalovaná neměla pravomoc odvolat dozorčí komisi jako celek, nýbrž nanejvýš jen její jednotlivé členy. </w:t>
      </w:r>
      <w:r w:rsidR="00DA1B82" w:rsidRPr="00B044F4">
        <w:rPr>
          <w:rFonts w:eastAsia="Calibri" w:cs="Arial"/>
          <w:sz w:val="24"/>
          <w:szCs w:val="24"/>
        </w:rPr>
        <w:t>Za situace, kdy má </w:t>
      </w:r>
      <w:r w:rsidR="00087B95" w:rsidRPr="00B044F4">
        <w:rPr>
          <w:rFonts w:eastAsia="Calibri" w:cs="Arial"/>
          <w:sz w:val="24"/>
          <w:szCs w:val="24"/>
        </w:rPr>
        <w:t>žalovaná</w:t>
      </w:r>
      <w:r w:rsidR="005B443D" w:rsidRPr="00B044F4">
        <w:rPr>
          <w:rFonts w:eastAsia="Calibri" w:cs="Arial"/>
          <w:sz w:val="24"/>
          <w:szCs w:val="24"/>
        </w:rPr>
        <w:t xml:space="preserve"> pravomoc odvolat člena dozorčí komise </w:t>
      </w:r>
      <w:r w:rsidR="00176999" w:rsidRPr="00B044F4">
        <w:rPr>
          <w:rFonts w:eastAsia="Calibri" w:cs="Arial"/>
          <w:sz w:val="24"/>
          <w:szCs w:val="24"/>
        </w:rPr>
        <w:t>s </w:t>
      </w:r>
      <w:r w:rsidR="005B443D" w:rsidRPr="00B044F4">
        <w:rPr>
          <w:rFonts w:eastAsia="Calibri" w:cs="Arial"/>
          <w:sz w:val="24"/>
          <w:szCs w:val="24"/>
        </w:rPr>
        <w:t xml:space="preserve">určitými omezeními </w:t>
      </w:r>
      <w:r w:rsidR="00176999" w:rsidRPr="00B044F4">
        <w:rPr>
          <w:rFonts w:eastAsia="Calibri" w:cs="Arial"/>
          <w:sz w:val="24"/>
          <w:szCs w:val="24"/>
        </w:rPr>
        <w:t>v</w:t>
      </w:r>
      <w:r w:rsidR="004E6868" w:rsidRPr="00B044F4">
        <w:rPr>
          <w:rFonts w:eastAsia="Calibri" w:cs="Arial"/>
          <w:sz w:val="24"/>
          <w:szCs w:val="24"/>
        </w:rPr>
        <w:t xml:space="preserve"> </w:t>
      </w:r>
      <w:r w:rsidR="005B443D" w:rsidRPr="00B044F4">
        <w:rPr>
          <w:rFonts w:eastAsia="Calibri" w:cs="Arial"/>
          <w:sz w:val="24"/>
          <w:szCs w:val="24"/>
        </w:rPr>
        <w:t xml:space="preserve">zásadě </w:t>
      </w:r>
      <w:r w:rsidR="00176999" w:rsidRPr="00B044F4">
        <w:rPr>
          <w:rFonts w:eastAsia="Calibri" w:cs="Arial"/>
          <w:sz w:val="24"/>
          <w:szCs w:val="24"/>
        </w:rPr>
        <w:t>z </w:t>
      </w:r>
      <w:r w:rsidR="005B443D" w:rsidRPr="00B044F4">
        <w:rPr>
          <w:rFonts w:eastAsia="Calibri" w:cs="Arial"/>
          <w:sz w:val="24"/>
          <w:szCs w:val="24"/>
        </w:rPr>
        <w:t xml:space="preserve">jakéhokoliv důvodu, totiž není </w:t>
      </w:r>
      <w:r w:rsidR="00BA5628" w:rsidRPr="00B044F4">
        <w:rPr>
          <w:rFonts w:eastAsia="Calibri" w:cs="Arial"/>
          <w:sz w:val="24"/>
          <w:szCs w:val="24"/>
        </w:rPr>
        <w:t>zapotřebí</w:t>
      </w:r>
      <w:r w:rsidR="005B443D" w:rsidRPr="00B044F4">
        <w:rPr>
          <w:rFonts w:eastAsia="Calibri" w:cs="Arial"/>
          <w:sz w:val="24"/>
          <w:szCs w:val="24"/>
        </w:rPr>
        <w:t xml:space="preserve">, aby bylo odůvodněno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5B443D" w:rsidRPr="00B044F4">
        <w:rPr>
          <w:rFonts w:eastAsia="Calibri" w:cs="Arial"/>
          <w:sz w:val="24"/>
          <w:szCs w:val="24"/>
        </w:rPr>
        <w:t xml:space="preserve">doloženo naplnění zákonných </w:t>
      </w:r>
      <w:r w:rsidR="00BA5628" w:rsidRPr="00B044F4">
        <w:rPr>
          <w:rFonts w:eastAsia="Calibri" w:cs="Arial"/>
          <w:sz w:val="24"/>
          <w:szCs w:val="24"/>
        </w:rPr>
        <w:t>předpokladů</w:t>
      </w:r>
      <w:r w:rsidR="005B443D" w:rsidRPr="00B044F4">
        <w:rPr>
          <w:rFonts w:eastAsia="Calibri" w:cs="Arial"/>
          <w:sz w:val="24"/>
          <w:szCs w:val="24"/>
        </w:rPr>
        <w:t xml:space="preserve"> pro odvolání ve vztahu ke každému jedn</w:t>
      </w:r>
      <w:r w:rsidR="00087B95" w:rsidRPr="00B044F4">
        <w:rPr>
          <w:rFonts w:eastAsia="Calibri" w:cs="Arial"/>
          <w:sz w:val="24"/>
          <w:szCs w:val="24"/>
        </w:rPr>
        <w:t>otlivému členovi dozorčí komise</w:t>
      </w:r>
      <w:r w:rsidR="005B443D" w:rsidRPr="00B044F4">
        <w:rPr>
          <w:rFonts w:eastAsia="Calibri" w:cs="Arial"/>
          <w:sz w:val="24"/>
          <w:szCs w:val="24"/>
        </w:rPr>
        <w:t xml:space="preserve">. Je </w:t>
      </w:r>
      <w:r w:rsidR="00087B95" w:rsidRPr="00B044F4">
        <w:rPr>
          <w:rFonts w:eastAsia="Calibri" w:cs="Arial"/>
          <w:sz w:val="24"/>
          <w:szCs w:val="24"/>
        </w:rPr>
        <w:t xml:space="preserve">proto </w:t>
      </w:r>
      <w:r w:rsidR="005B443D" w:rsidRPr="00B044F4">
        <w:rPr>
          <w:rFonts w:eastAsia="Calibri" w:cs="Arial"/>
          <w:sz w:val="24"/>
          <w:szCs w:val="24"/>
        </w:rPr>
        <w:t>zcela př</w:t>
      </w:r>
      <w:r w:rsidR="00087B95" w:rsidRPr="00B044F4">
        <w:rPr>
          <w:rFonts w:eastAsia="Calibri" w:cs="Arial"/>
          <w:sz w:val="24"/>
          <w:szCs w:val="24"/>
        </w:rPr>
        <w:t>ípustné</w:t>
      </w:r>
      <w:r w:rsidR="005B443D" w:rsidRPr="00B044F4">
        <w:rPr>
          <w:rFonts w:eastAsia="Calibri" w:cs="Arial"/>
          <w:sz w:val="24"/>
          <w:szCs w:val="24"/>
        </w:rPr>
        <w:t xml:space="preserve">, že </w:t>
      </w:r>
      <w:r w:rsidR="00087B95" w:rsidRPr="00B044F4">
        <w:rPr>
          <w:rFonts w:eastAsia="Calibri" w:cs="Arial"/>
          <w:sz w:val="24"/>
          <w:szCs w:val="24"/>
        </w:rPr>
        <w:t>žalovaná</w:t>
      </w:r>
      <w:r w:rsidR="005B443D" w:rsidRPr="00B044F4">
        <w:rPr>
          <w:rFonts w:eastAsia="Calibri" w:cs="Arial"/>
          <w:sz w:val="24"/>
          <w:szCs w:val="24"/>
        </w:rPr>
        <w:t xml:space="preserve"> </w:t>
      </w:r>
      <w:r w:rsidR="00087B95" w:rsidRPr="00B044F4">
        <w:rPr>
          <w:rFonts w:eastAsia="Calibri" w:cs="Arial"/>
          <w:sz w:val="24"/>
          <w:szCs w:val="24"/>
        </w:rPr>
        <w:t>vyjádří</w:t>
      </w:r>
      <w:r w:rsidR="005B443D" w:rsidRPr="00B044F4">
        <w:rPr>
          <w:rFonts w:eastAsia="Calibri" w:cs="Arial"/>
          <w:sz w:val="24"/>
          <w:szCs w:val="24"/>
        </w:rPr>
        <w:t xml:space="preserve"> svou nespokojenost </w:t>
      </w:r>
      <w:r w:rsidR="00176999" w:rsidRPr="00B044F4">
        <w:rPr>
          <w:rFonts w:eastAsia="Calibri" w:cs="Arial"/>
          <w:sz w:val="24"/>
          <w:szCs w:val="24"/>
        </w:rPr>
        <w:t>s </w:t>
      </w:r>
      <w:r w:rsidR="005B443D" w:rsidRPr="00B044F4">
        <w:rPr>
          <w:rFonts w:eastAsia="Calibri" w:cs="Arial"/>
          <w:sz w:val="24"/>
          <w:szCs w:val="24"/>
        </w:rPr>
        <w:t xml:space="preserve">dozorčí komisí jako celkem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087B95" w:rsidRPr="00B044F4">
        <w:rPr>
          <w:rFonts w:eastAsia="Calibri" w:cs="Arial"/>
          <w:sz w:val="24"/>
          <w:szCs w:val="24"/>
        </w:rPr>
        <w:t>jako celek ji odvolá</w:t>
      </w:r>
      <w:r w:rsidR="005B443D" w:rsidRPr="00B044F4">
        <w:rPr>
          <w:rFonts w:eastAsia="Calibri" w:cs="Arial"/>
          <w:sz w:val="24"/>
          <w:szCs w:val="24"/>
        </w:rPr>
        <w:t>. Pokud t</w:t>
      </w:r>
      <w:r w:rsidR="00087B95" w:rsidRPr="00B044F4">
        <w:rPr>
          <w:rFonts w:eastAsia="Calibri" w:cs="Arial"/>
          <w:sz w:val="24"/>
          <w:szCs w:val="24"/>
        </w:rPr>
        <w:t>edy</w:t>
      </w:r>
      <w:r w:rsidR="005B443D" w:rsidRPr="00B044F4">
        <w:rPr>
          <w:rFonts w:eastAsia="Calibri" w:cs="Arial"/>
          <w:sz w:val="24"/>
          <w:szCs w:val="24"/>
        </w:rPr>
        <w:t xml:space="preserve"> měla </w:t>
      </w:r>
      <w:r w:rsidR="00087B95" w:rsidRPr="00B044F4">
        <w:rPr>
          <w:rFonts w:eastAsia="Calibri" w:cs="Arial"/>
          <w:sz w:val="24"/>
          <w:szCs w:val="24"/>
        </w:rPr>
        <w:t>žalovaná</w:t>
      </w:r>
      <w:r w:rsidR="005B443D" w:rsidRPr="00B044F4">
        <w:rPr>
          <w:rFonts w:eastAsia="Calibri" w:cs="Arial"/>
          <w:sz w:val="24"/>
          <w:szCs w:val="24"/>
        </w:rPr>
        <w:t xml:space="preserve">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5B443D" w:rsidRPr="00B044F4">
        <w:rPr>
          <w:rFonts w:eastAsia="Calibri" w:cs="Arial"/>
          <w:sz w:val="24"/>
          <w:szCs w:val="24"/>
        </w:rPr>
        <w:t>daném případě bez dalšího pravomoc odvolat každého jednotlivého člena</w:t>
      </w:r>
      <w:r w:rsidR="00087B95" w:rsidRPr="00B044F4">
        <w:rPr>
          <w:rFonts w:eastAsia="Calibri" w:cs="Arial"/>
          <w:sz w:val="24"/>
          <w:szCs w:val="24"/>
        </w:rPr>
        <w:t xml:space="preserve"> dozorčí komise</w:t>
      </w:r>
      <w:r w:rsidR="005B443D" w:rsidRPr="00B044F4">
        <w:rPr>
          <w:rFonts w:eastAsia="Calibri" w:cs="Arial"/>
          <w:sz w:val="24"/>
          <w:szCs w:val="24"/>
        </w:rPr>
        <w:t xml:space="preserve">, potom měla pravomoc </w:t>
      </w:r>
      <w:r w:rsidR="00176999" w:rsidRPr="00B044F4">
        <w:rPr>
          <w:rFonts w:eastAsia="Calibri" w:cs="Arial"/>
          <w:sz w:val="24"/>
          <w:szCs w:val="24"/>
        </w:rPr>
        <w:t>k </w:t>
      </w:r>
      <w:r w:rsidR="005B443D" w:rsidRPr="00B044F4">
        <w:rPr>
          <w:rFonts w:eastAsia="Calibri" w:cs="Arial"/>
          <w:sz w:val="24"/>
          <w:szCs w:val="24"/>
        </w:rPr>
        <w:t xml:space="preserve">odvolání celé dozorčí komise, která není </w:t>
      </w:r>
      <w:r w:rsidR="00087B95" w:rsidRPr="00B044F4">
        <w:rPr>
          <w:rFonts w:eastAsia="Calibri" w:cs="Arial"/>
          <w:sz w:val="24"/>
          <w:szCs w:val="24"/>
        </w:rPr>
        <w:t xml:space="preserve">nic jiného </w:t>
      </w:r>
      <w:r w:rsidR="005B443D" w:rsidRPr="00B044F4">
        <w:rPr>
          <w:rFonts w:eastAsia="Calibri" w:cs="Arial"/>
          <w:sz w:val="24"/>
          <w:szCs w:val="24"/>
        </w:rPr>
        <w:t xml:space="preserve">než souhrnem svých jednotlivých členů. Nesprávná je rovněž úvaha žalobců </w:t>
      </w:r>
      <w:r w:rsidR="00176999" w:rsidRPr="00B044F4">
        <w:rPr>
          <w:rFonts w:eastAsia="Calibri" w:cs="Arial"/>
          <w:sz w:val="24"/>
          <w:szCs w:val="24"/>
        </w:rPr>
        <w:t>o </w:t>
      </w:r>
      <w:r w:rsidR="005B443D" w:rsidRPr="00B044F4">
        <w:rPr>
          <w:rFonts w:eastAsia="Calibri" w:cs="Arial"/>
          <w:sz w:val="24"/>
          <w:szCs w:val="24"/>
        </w:rPr>
        <w:t xml:space="preserve">tom, že nemožnost odvolat dozorčí komisi jako celek vyplývá </w:t>
      </w:r>
      <w:r w:rsidR="00176999" w:rsidRPr="00B044F4">
        <w:rPr>
          <w:rFonts w:eastAsia="Calibri" w:cs="Arial"/>
          <w:sz w:val="24"/>
          <w:szCs w:val="24"/>
        </w:rPr>
        <w:t>z </w:t>
      </w:r>
      <w:r w:rsidR="005B443D" w:rsidRPr="00B044F4">
        <w:rPr>
          <w:rFonts w:eastAsia="Calibri" w:cs="Arial"/>
          <w:sz w:val="24"/>
          <w:szCs w:val="24"/>
        </w:rPr>
        <w:t xml:space="preserve">toho, že </w:t>
      </w:r>
      <w:r w:rsidR="00E97BC9" w:rsidRPr="00B044F4">
        <w:rPr>
          <w:rFonts w:eastAsia="Calibri" w:cs="Arial"/>
          <w:sz w:val="24"/>
          <w:szCs w:val="24"/>
        </w:rPr>
        <w:t>§ </w:t>
      </w:r>
      <w:r w:rsidR="005B443D" w:rsidRPr="00B044F4">
        <w:rPr>
          <w:rFonts w:eastAsia="Calibri" w:cs="Arial"/>
          <w:sz w:val="24"/>
          <w:szCs w:val="24"/>
        </w:rPr>
        <w:t xml:space="preserve">8a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5B443D" w:rsidRPr="00B044F4">
        <w:rPr>
          <w:rFonts w:eastAsia="Calibri" w:cs="Arial"/>
          <w:sz w:val="24"/>
          <w:szCs w:val="24"/>
        </w:rPr>
        <w:t xml:space="preserve">3 zákona </w:t>
      </w:r>
      <w:r w:rsidR="00176999" w:rsidRPr="00B044F4">
        <w:rPr>
          <w:rFonts w:eastAsia="Calibri" w:cs="Arial"/>
          <w:sz w:val="24"/>
          <w:szCs w:val="24"/>
        </w:rPr>
        <w:t>o </w:t>
      </w:r>
      <w:r w:rsidR="005B443D" w:rsidRPr="00B044F4">
        <w:rPr>
          <w:rFonts w:eastAsia="Calibri" w:cs="Arial"/>
          <w:sz w:val="24"/>
          <w:szCs w:val="24"/>
        </w:rPr>
        <w:t xml:space="preserve">ČT odkazuje pouze na </w:t>
      </w:r>
      <w:r w:rsidR="00E97BC9" w:rsidRPr="00B044F4">
        <w:rPr>
          <w:rFonts w:eastAsia="Calibri" w:cs="Arial"/>
          <w:sz w:val="24"/>
          <w:szCs w:val="24"/>
        </w:rPr>
        <w:t>§ </w:t>
      </w:r>
      <w:r w:rsidR="005B443D" w:rsidRPr="00B044F4">
        <w:rPr>
          <w:rFonts w:eastAsia="Calibri" w:cs="Arial"/>
          <w:sz w:val="24"/>
          <w:szCs w:val="24"/>
        </w:rPr>
        <w:t xml:space="preserve">6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5B443D" w:rsidRPr="00B044F4">
        <w:rPr>
          <w:rFonts w:eastAsia="Calibri" w:cs="Arial"/>
          <w:sz w:val="24"/>
          <w:szCs w:val="24"/>
        </w:rPr>
        <w:t xml:space="preserve">1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5B443D" w:rsidRPr="00B044F4">
        <w:rPr>
          <w:rFonts w:eastAsia="Calibri" w:cs="Arial"/>
          <w:sz w:val="24"/>
          <w:szCs w:val="24"/>
        </w:rPr>
        <w:t>2</w:t>
      </w:r>
      <w:r w:rsidR="00376CB6" w:rsidRPr="00B044F4">
        <w:rPr>
          <w:rFonts w:eastAsia="Calibri" w:cs="Arial"/>
          <w:sz w:val="24"/>
          <w:szCs w:val="24"/>
        </w:rPr>
        <w:t>,</w:t>
      </w:r>
      <w:r w:rsidR="005B443D" w:rsidRPr="00B044F4">
        <w:rPr>
          <w:rFonts w:eastAsia="Calibri" w:cs="Arial"/>
          <w:sz w:val="24"/>
          <w:szCs w:val="24"/>
        </w:rPr>
        <w:t xml:space="preserve">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5B443D" w:rsidRPr="00B044F4">
        <w:rPr>
          <w:rFonts w:eastAsia="Calibri" w:cs="Arial"/>
          <w:sz w:val="24"/>
          <w:szCs w:val="24"/>
        </w:rPr>
        <w:t xml:space="preserve">nikoliv na </w:t>
      </w:r>
      <w:r w:rsidR="00E97BC9" w:rsidRPr="00B044F4">
        <w:rPr>
          <w:rFonts w:eastAsia="Calibri" w:cs="Arial"/>
          <w:sz w:val="24"/>
          <w:szCs w:val="24"/>
        </w:rPr>
        <w:t>§ </w:t>
      </w:r>
      <w:r w:rsidR="005B443D" w:rsidRPr="00B044F4">
        <w:rPr>
          <w:rFonts w:eastAsia="Calibri" w:cs="Arial"/>
          <w:sz w:val="24"/>
          <w:szCs w:val="24"/>
        </w:rPr>
        <w:t xml:space="preserve">6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5B443D" w:rsidRPr="00B044F4">
        <w:rPr>
          <w:rFonts w:eastAsia="Calibri" w:cs="Arial"/>
          <w:sz w:val="24"/>
          <w:szCs w:val="24"/>
        </w:rPr>
        <w:t xml:space="preserve">3 </w:t>
      </w:r>
      <w:r w:rsidR="00087B95" w:rsidRPr="00B044F4">
        <w:rPr>
          <w:rFonts w:eastAsia="Calibri" w:cs="Arial"/>
          <w:sz w:val="24"/>
          <w:szCs w:val="24"/>
        </w:rPr>
        <w:t xml:space="preserve">téhož </w:t>
      </w:r>
      <w:r w:rsidR="005B443D" w:rsidRPr="00B044F4">
        <w:rPr>
          <w:rFonts w:eastAsia="Calibri" w:cs="Arial"/>
          <w:sz w:val="24"/>
          <w:szCs w:val="24"/>
        </w:rPr>
        <w:t xml:space="preserve">zákona. Za situace, kdy členové dozorčí komise mohou být odvoláni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5B443D" w:rsidRPr="00B044F4">
        <w:rPr>
          <w:rFonts w:eastAsia="Calibri" w:cs="Arial"/>
          <w:sz w:val="24"/>
          <w:szCs w:val="24"/>
        </w:rPr>
        <w:t xml:space="preserve">zásadě </w:t>
      </w:r>
      <w:r w:rsidR="00176999" w:rsidRPr="00B044F4">
        <w:rPr>
          <w:rFonts w:eastAsia="Calibri" w:cs="Arial"/>
          <w:sz w:val="24"/>
          <w:szCs w:val="24"/>
        </w:rPr>
        <w:t>z </w:t>
      </w:r>
      <w:r w:rsidR="005B443D" w:rsidRPr="00B044F4">
        <w:rPr>
          <w:rFonts w:eastAsia="Calibri" w:cs="Arial"/>
          <w:sz w:val="24"/>
          <w:szCs w:val="24"/>
        </w:rPr>
        <w:t xml:space="preserve">jakéhokoliv důvodu, není třeba dále stanovit,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5B443D" w:rsidRPr="00B044F4">
        <w:rPr>
          <w:rFonts w:eastAsia="Calibri" w:cs="Arial"/>
          <w:sz w:val="24"/>
          <w:szCs w:val="24"/>
        </w:rPr>
        <w:t>jakých případech může být doz</w:t>
      </w:r>
      <w:r w:rsidR="00087B95" w:rsidRPr="00B044F4">
        <w:rPr>
          <w:rFonts w:eastAsia="Calibri" w:cs="Arial"/>
          <w:sz w:val="24"/>
          <w:szCs w:val="24"/>
        </w:rPr>
        <w:t>orčí komise odvolána jako celek. T</w:t>
      </w:r>
      <w:r w:rsidR="00157E27" w:rsidRPr="00B044F4">
        <w:rPr>
          <w:rFonts w:eastAsia="Calibri" w:cs="Arial"/>
          <w:sz w:val="24"/>
          <w:szCs w:val="24"/>
        </w:rPr>
        <w:t>aková úprava by </w:t>
      </w:r>
      <w:r w:rsidR="005B443D" w:rsidRPr="00B044F4">
        <w:rPr>
          <w:rFonts w:eastAsia="Calibri" w:cs="Arial"/>
          <w:sz w:val="24"/>
          <w:szCs w:val="24"/>
        </w:rPr>
        <w:t>totiž neměla žádnou přidanou hodnotu.</w:t>
      </w:r>
    </w:p>
    <w:p w14:paraId="08121BD1" w14:textId="1A397175" w:rsidR="0090771F" w:rsidRPr="00B044F4" w:rsidRDefault="0090771F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sz w:val="24"/>
          <w:szCs w:val="24"/>
        </w:rPr>
      </w:pPr>
      <w:r w:rsidRPr="00B044F4">
        <w:rPr>
          <w:sz w:val="24"/>
          <w:szCs w:val="24"/>
        </w:rPr>
        <w:t xml:space="preserve">Ani s námitkou absence formálních náležitostí </w:t>
      </w:r>
      <w:r w:rsidR="00087B95" w:rsidRPr="00B044F4">
        <w:rPr>
          <w:sz w:val="24"/>
          <w:szCs w:val="24"/>
        </w:rPr>
        <w:t xml:space="preserve">žalobou </w:t>
      </w:r>
      <w:r w:rsidRPr="00B044F4">
        <w:rPr>
          <w:sz w:val="24"/>
          <w:szCs w:val="24"/>
        </w:rPr>
        <w:t>napadeného rozhodnutí (zejména</w:t>
      </w:r>
      <w:r w:rsidR="00087B95" w:rsidRPr="00B044F4">
        <w:rPr>
          <w:sz w:val="24"/>
          <w:szCs w:val="24"/>
        </w:rPr>
        <w:t xml:space="preserve"> jeho</w:t>
      </w:r>
      <w:r w:rsidRPr="00B044F4">
        <w:rPr>
          <w:sz w:val="24"/>
          <w:szCs w:val="24"/>
        </w:rPr>
        <w:t xml:space="preserve"> odůvodnění) se městský soud neztotožnil. Odvolání dozorčí komise </w:t>
      </w:r>
      <w:r w:rsidR="00087B95" w:rsidRPr="00B044F4">
        <w:rPr>
          <w:sz w:val="24"/>
          <w:szCs w:val="24"/>
        </w:rPr>
        <w:t>žalovanou</w:t>
      </w:r>
      <w:r w:rsidRPr="00B044F4">
        <w:rPr>
          <w:sz w:val="24"/>
          <w:szCs w:val="24"/>
        </w:rPr>
        <w:t xml:space="preserve"> je totiž velmi </w:t>
      </w:r>
      <w:r w:rsidRPr="00B044F4">
        <w:rPr>
          <w:sz w:val="24"/>
          <w:szCs w:val="24"/>
        </w:rPr>
        <w:lastRenderedPageBreak/>
        <w:t>specifický akt, který není vydáván ve standardním správním řízení, nýbrž v zásadě bez</w:t>
      </w:r>
      <w:r w:rsidR="00087B95" w:rsidRPr="00B044F4">
        <w:rPr>
          <w:sz w:val="24"/>
          <w:szCs w:val="24"/>
        </w:rPr>
        <w:t xml:space="preserve"> procedury</w:t>
      </w:r>
      <w:r w:rsidRPr="00B044F4">
        <w:rPr>
          <w:sz w:val="24"/>
          <w:szCs w:val="24"/>
        </w:rPr>
        <w:t xml:space="preserve"> na základě úpravy obsažené </w:t>
      </w:r>
      <w:r w:rsidR="00176999" w:rsidRPr="00B044F4">
        <w:rPr>
          <w:sz w:val="24"/>
          <w:szCs w:val="24"/>
        </w:rPr>
        <w:t>v </w:t>
      </w:r>
      <w:r w:rsidRPr="00B044F4">
        <w:rPr>
          <w:sz w:val="24"/>
          <w:szCs w:val="24"/>
        </w:rPr>
        <w:t xml:space="preserve">zákoně </w:t>
      </w:r>
      <w:r w:rsidR="00176999" w:rsidRPr="00B044F4">
        <w:rPr>
          <w:sz w:val="24"/>
          <w:szCs w:val="24"/>
        </w:rPr>
        <w:t>o </w:t>
      </w:r>
      <w:r w:rsidRPr="00B044F4">
        <w:rPr>
          <w:sz w:val="24"/>
          <w:szCs w:val="24"/>
        </w:rPr>
        <w:t xml:space="preserve">ČT. Na rozhodnutí </w:t>
      </w:r>
      <w:r w:rsidR="00087B95" w:rsidRPr="00B044F4">
        <w:rPr>
          <w:sz w:val="24"/>
          <w:szCs w:val="24"/>
        </w:rPr>
        <w:t xml:space="preserve">žalované </w:t>
      </w:r>
      <w:r w:rsidRPr="00B044F4">
        <w:rPr>
          <w:sz w:val="24"/>
          <w:szCs w:val="24"/>
        </w:rPr>
        <w:t>tudíž nelze klást ani nároky jako na rozhodnutí</w:t>
      </w:r>
      <w:r w:rsidR="00087B95" w:rsidRPr="00B044F4">
        <w:rPr>
          <w:sz w:val="24"/>
          <w:szCs w:val="24"/>
        </w:rPr>
        <w:t xml:space="preserve"> vydané</w:t>
      </w:r>
      <w:r w:rsidRPr="00B044F4">
        <w:rPr>
          <w:sz w:val="24"/>
          <w:szCs w:val="24"/>
        </w:rPr>
        <w:t xml:space="preserve"> ve správním řízení. S ohledem na zákaz libovůle či nahodilosti </w:t>
      </w:r>
      <w:r w:rsidR="00157E27" w:rsidRPr="00B044F4">
        <w:rPr>
          <w:sz w:val="24"/>
          <w:szCs w:val="24"/>
        </w:rPr>
        <w:t>tak </w:t>
      </w:r>
      <w:r w:rsidR="00087B95" w:rsidRPr="00B044F4">
        <w:rPr>
          <w:sz w:val="24"/>
          <w:szCs w:val="24"/>
        </w:rPr>
        <w:t>bylo</w:t>
      </w:r>
      <w:r w:rsidRPr="00B044F4">
        <w:rPr>
          <w:sz w:val="24"/>
          <w:szCs w:val="24"/>
        </w:rPr>
        <w:t xml:space="preserve"> postačující, že v</w:t>
      </w:r>
      <w:r w:rsidR="00087B95" w:rsidRPr="00B044F4">
        <w:rPr>
          <w:sz w:val="24"/>
          <w:szCs w:val="24"/>
        </w:rPr>
        <w:t> </w:t>
      </w:r>
      <w:r w:rsidRPr="00B044F4">
        <w:rPr>
          <w:sz w:val="24"/>
          <w:szCs w:val="24"/>
        </w:rPr>
        <w:t>rozhodnutí</w:t>
      </w:r>
      <w:r w:rsidR="00087B95" w:rsidRPr="00B044F4">
        <w:rPr>
          <w:sz w:val="24"/>
          <w:szCs w:val="24"/>
        </w:rPr>
        <w:t xml:space="preserve"> žalované</w:t>
      </w:r>
      <w:r w:rsidRPr="00B044F4">
        <w:rPr>
          <w:sz w:val="24"/>
          <w:szCs w:val="24"/>
        </w:rPr>
        <w:t xml:space="preserve"> </w:t>
      </w:r>
      <w:r w:rsidR="00087B95" w:rsidRPr="00B044F4">
        <w:rPr>
          <w:sz w:val="24"/>
          <w:szCs w:val="24"/>
        </w:rPr>
        <w:t>byl</w:t>
      </w:r>
      <w:r w:rsidRPr="00B044F4">
        <w:rPr>
          <w:sz w:val="24"/>
          <w:szCs w:val="24"/>
        </w:rPr>
        <w:t xml:space="preserve"> alespoň vyjádřen důvod odvolání dozorčí komise, </w:t>
      </w:r>
      <w:r w:rsidR="00087B95" w:rsidRPr="00B044F4">
        <w:rPr>
          <w:sz w:val="24"/>
          <w:szCs w:val="24"/>
        </w:rPr>
        <w:t>který spočíval ve</w:t>
      </w:r>
      <w:r w:rsidRPr="00B044F4">
        <w:rPr>
          <w:sz w:val="24"/>
          <w:szCs w:val="24"/>
        </w:rPr>
        <w:t xml:space="preserve"> vyslovení vážných výhrad k její práci</w:t>
      </w:r>
      <w:r w:rsidR="00087B95" w:rsidRPr="00B044F4">
        <w:rPr>
          <w:sz w:val="24"/>
          <w:szCs w:val="24"/>
        </w:rPr>
        <w:t>. Z</w:t>
      </w:r>
      <w:r w:rsidRPr="00B044F4">
        <w:rPr>
          <w:sz w:val="24"/>
          <w:szCs w:val="24"/>
        </w:rPr>
        <w:t xml:space="preserve"> dalších podkladů </w:t>
      </w:r>
      <w:r w:rsidR="00087B95" w:rsidRPr="00B044F4">
        <w:rPr>
          <w:sz w:val="24"/>
          <w:szCs w:val="24"/>
        </w:rPr>
        <w:t xml:space="preserve">přitom </w:t>
      </w:r>
      <w:r w:rsidRPr="00B044F4">
        <w:rPr>
          <w:sz w:val="24"/>
          <w:szCs w:val="24"/>
        </w:rPr>
        <w:t xml:space="preserve">vyplývá, že </w:t>
      </w:r>
      <w:r w:rsidR="00A349FF" w:rsidRPr="00B044F4">
        <w:rPr>
          <w:sz w:val="24"/>
          <w:szCs w:val="24"/>
        </w:rPr>
        <w:t>usnesení žalované</w:t>
      </w:r>
      <w:r w:rsidRPr="00B044F4">
        <w:rPr>
          <w:sz w:val="24"/>
          <w:szCs w:val="24"/>
        </w:rPr>
        <w:t xml:space="preserve"> nebylo nahodilé či svévolné.</w:t>
      </w:r>
    </w:p>
    <w:p w14:paraId="1F9CF892" w14:textId="301FAA6C" w:rsidR="005B443D" w:rsidRPr="00B044F4" w:rsidRDefault="00FA67D3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sz w:val="24"/>
          <w:szCs w:val="24"/>
        </w:rPr>
      </w:pPr>
      <w:r w:rsidRPr="00B044F4">
        <w:rPr>
          <w:rFonts w:eastAsia="Calibri" w:cs="Arial"/>
          <w:sz w:val="24"/>
          <w:szCs w:val="24"/>
        </w:rPr>
        <w:t xml:space="preserve">Městský soud </w:t>
      </w:r>
      <w:r w:rsidR="00087B95" w:rsidRPr="00B044F4">
        <w:rPr>
          <w:rFonts w:eastAsia="Calibri" w:cs="Arial"/>
          <w:sz w:val="24"/>
          <w:szCs w:val="24"/>
        </w:rPr>
        <w:t>nepřisvědčil ani</w:t>
      </w:r>
      <w:r w:rsidR="00176999" w:rsidRPr="00B044F4">
        <w:rPr>
          <w:rFonts w:eastAsia="Calibri" w:cs="Arial"/>
          <w:sz w:val="24"/>
          <w:szCs w:val="24"/>
        </w:rPr>
        <w:t> </w:t>
      </w:r>
      <w:r w:rsidR="00087B95" w:rsidRPr="00B044F4">
        <w:rPr>
          <w:rFonts w:eastAsia="Calibri" w:cs="Arial"/>
          <w:sz w:val="24"/>
          <w:szCs w:val="24"/>
        </w:rPr>
        <w:t>námitce</w:t>
      </w:r>
      <w:r w:rsidRPr="00B044F4">
        <w:rPr>
          <w:rFonts w:eastAsia="Calibri" w:cs="Arial"/>
          <w:sz w:val="24"/>
          <w:szCs w:val="24"/>
        </w:rPr>
        <w:t xml:space="preserve">, podle níž je rozhodnutí </w:t>
      </w:r>
      <w:r w:rsidR="00087B95" w:rsidRPr="00B044F4">
        <w:rPr>
          <w:rFonts w:eastAsia="Calibri" w:cs="Arial"/>
          <w:sz w:val="24"/>
          <w:szCs w:val="24"/>
        </w:rPr>
        <w:t xml:space="preserve">žalované </w:t>
      </w:r>
      <w:r w:rsidRPr="00B044F4">
        <w:rPr>
          <w:rFonts w:eastAsia="Calibri" w:cs="Arial"/>
          <w:sz w:val="24"/>
          <w:szCs w:val="24"/>
        </w:rPr>
        <w:t>nezákonné, neboť bylo přijato v rozporu s</w:t>
      </w:r>
      <w:r w:rsidR="00087B95" w:rsidRPr="00B044F4">
        <w:rPr>
          <w:rFonts w:eastAsia="Calibri" w:cs="Arial"/>
          <w:sz w:val="24"/>
          <w:szCs w:val="24"/>
        </w:rPr>
        <w:t xml:space="preserve"> čl. 6 odst. 2 jejího jednacího řádu, když bylo </w:t>
      </w:r>
      <w:r w:rsidRPr="00B044F4">
        <w:rPr>
          <w:rFonts w:eastAsia="Calibri" w:cs="Arial"/>
          <w:sz w:val="24"/>
          <w:szCs w:val="24"/>
        </w:rPr>
        <w:t xml:space="preserve">zařazeno na pořad jednání až v jeho průběhu. </w:t>
      </w:r>
      <w:r w:rsidR="00C00F80" w:rsidRPr="00B044F4">
        <w:rPr>
          <w:rFonts w:eastAsia="Calibri" w:cs="Arial"/>
          <w:sz w:val="24"/>
          <w:szCs w:val="24"/>
        </w:rPr>
        <w:t xml:space="preserve">Městský soud dal žalobcům zapravdu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tom, že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daném případě byl skutečně porušen </w:t>
      </w:r>
      <w:r w:rsidR="00176999" w:rsidRPr="00B044F4">
        <w:rPr>
          <w:rFonts w:eastAsia="Calibri" w:cs="Arial"/>
          <w:sz w:val="24"/>
          <w:szCs w:val="24"/>
        </w:rPr>
        <w:t>čl. </w:t>
      </w:r>
      <w:r w:rsidR="00C00F80" w:rsidRPr="00B044F4">
        <w:rPr>
          <w:rFonts w:eastAsia="Calibri" w:cs="Arial"/>
          <w:sz w:val="24"/>
          <w:szCs w:val="24"/>
        </w:rPr>
        <w:t xml:space="preserve">6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C00F80" w:rsidRPr="00B044F4">
        <w:rPr>
          <w:rFonts w:eastAsia="Calibri" w:cs="Arial"/>
          <w:sz w:val="24"/>
          <w:szCs w:val="24"/>
        </w:rPr>
        <w:t xml:space="preserve">2 jednacího řádu </w:t>
      </w:r>
      <w:r w:rsidR="00087B95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, neboť příslušný bod programu (návrh následně přijatého </w:t>
      </w:r>
      <w:r w:rsidR="00D015D4" w:rsidRPr="00B044F4">
        <w:rPr>
          <w:rFonts w:eastAsia="Calibri" w:cs="Arial"/>
          <w:sz w:val="24"/>
          <w:szCs w:val="24"/>
        </w:rPr>
        <w:t xml:space="preserve">žalobou </w:t>
      </w:r>
      <w:r w:rsidR="00C00F80" w:rsidRPr="00B044F4">
        <w:rPr>
          <w:rFonts w:eastAsia="Calibri" w:cs="Arial"/>
          <w:sz w:val="24"/>
          <w:szCs w:val="24"/>
        </w:rPr>
        <w:t xml:space="preserve">napadeného usnesení) byl zařazen na program jednání na návrh členky </w:t>
      </w:r>
      <w:r w:rsidR="00A349FF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 </w:t>
      </w:r>
      <w:r w:rsidR="00D015D4" w:rsidRPr="00B044F4">
        <w:rPr>
          <w:rFonts w:eastAsia="Calibri" w:cs="Arial"/>
          <w:sz w:val="24"/>
          <w:szCs w:val="24"/>
        </w:rPr>
        <w:t>H</w:t>
      </w:r>
      <w:r w:rsidR="00754B04" w:rsidRPr="00B044F4">
        <w:rPr>
          <w:rFonts w:eastAsia="Calibri" w:cs="Arial"/>
          <w:sz w:val="24"/>
          <w:szCs w:val="24"/>
        </w:rPr>
        <w:t>.</w:t>
      </w:r>
      <w:r w:rsidR="00D015D4" w:rsidRPr="00B044F4">
        <w:rPr>
          <w:rFonts w:eastAsia="Calibri" w:cs="Arial"/>
          <w:sz w:val="24"/>
          <w:szCs w:val="24"/>
        </w:rPr>
        <w:t xml:space="preserve"> </w:t>
      </w:r>
      <w:r w:rsidR="00C00F80" w:rsidRPr="00B044F4">
        <w:rPr>
          <w:rFonts w:eastAsia="Calibri" w:cs="Arial"/>
          <w:sz w:val="24"/>
          <w:szCs w:val="24"/>
        </w:rPr>
        <w:t>L</w:t>
      </w:r>
      <w:r w:rsidR="00754B04" w:rsidRPr="00B044F4">
        <w:rPr>
          <w:rFonts w:eastAsia="Calibri" w:cs="Arial"/>
          <w:sz w:val="24"/>
          <w:szCs w:val="24"/>
        </w:rPr>
        <w:t>.</w:t>
      </w:r>
      <w:r w:rsidR="00C00F80" w:rsidRPr="00B044F4">
        <w:rPr>
          <w:rFonts w:eastAsia="Calibri" w:cs="Arial"/>
          <w:sz w:val="24"/>
          <w:szCs w:val="24"/>
        </w:rPr>
        <w:t xml:space="preserve"> učiněný až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>průběhu jednán</w:t>
      </w:r>
      <w:r w:rsidR="00D015D4" w:rsidRPr="00B044F4">
        <w:rPr>
          <w:rFonts w:eastAsia="Calibri" w:cs="Arial"/>
          <w:sz w:val="24"/>
          <w:szCs w:val="24"/>
        </w:rPr>
        <w:t xml:space="preserve">í </w:t>
      </w:r>
      <w:r w:rsidR="00A349FF" w:rsidRPr="00B044F4">
        <w:rPr>
          <w:rFonts w:eastAsia="Calibri" w:cs="Arial"/>
          <w:sz w:val="24"/>
          <w:szCs w:val="24"/>
        </w:rPr>
        <w:t>žalované</w:t>
      </w:r>
      <w:r w:rsidR="00D015D4" w:rsidRPr="00B044F4">
        <w:rPr>
          <w:rFonts w:eastAsia="Calibri" w:cs="Arial"/>
          <w:sz w:val="24"/>
          <w:szCs w:val="24"/>
        </w:rPr>
        <w:t>, nikoliv na jeho začátku</w:t>
      </w:r>
      <w:r w:rsidR="00157E27" w:rsidRPr="00B044F4">
        <w:rPr>
          <w:rFonts w:eastAsia="Calibri" w:cs="Arial"/>
          <w:sz w:val="24"/>
          <w:szCs w:val="24"/>
        </w:rPr>
        <w:t>. Tato </w:t>
      </w:r>
      <w:r w:rsidR="00C00F80" w:rsidRPr="00B044F4">
        <w:rPr>
          <w:rFonts w:eastAsia="Calibri" w:cs="Arial"/>
          <w:sz w:val="24"/>
          <w:szCs w:val="24"/>
        </w:rPr>
        <w:t xml:space="preserve">skutečnost </w:t>
      </w:r>
      <w:r w:rsidR="00D015D4" w:rsidRPr="00B044F4">
        <w:rPr>
          <w:rFonts w:eastAsia="Calibri" w:cs="Arial"/>
          <w:sz w:val="24"/>
          <w:szCs w:val="24"/>
        </w:rPr>
        <w:t>však</w:t>
      </w:r>
      <w:r w:rsidR="00C00F80" w:rsidRPr="00B044F4">
        <w:rPr>
          <w:rFonts w:eastAsia="Calibri" w:cs="Arial"/>
          <w:sz w:val="24"/>
          <w:szCs w:val="24"/>
        </w:rPr>
        <w:t xml:space="preserve"> sama </w:t>
      </w:r>
      <w:r w:rsidR="00176999" w:rsidRPr="00B044F4">
        <w:rPr>
          <w:rFonts w:eastAsia="Calibri" w:cs="Arial"/>
          <w:sz w:val="24"/>
          <w:szCs w:val="24"/>
        </w:rPr>
        <w:t>o </w:t>
      </w:r>
      <w:r w:rsidR="00C00F80" w:rsidRPr="00B044F4">
        <w:rPr>
          <w:rFonts w:eastAsia="Calibri" w:cs="Arial"/>
          <w:sz w:val="24"/>
          <w:szCs w:val="24"/>
        </w:rPr>
        <w:t>sobě nezakládá nezákonnost rozhodnutí</w:t>
      </w:r>
      <w:r w:rsidR="00D015D4" w:rsidRPr="00B044F4">
        <w:rPr>
          <w:rFonts w:eastAsia="Calibri" w:cs="Arial"/>
          <w:sz w:val="24"/>
          <w:szCs w:val="24"/>
        </w:rPr>
        <w:t xml:space="preserve"> žalované</w:t>
      </w:r>
      <w:r w:rsidR="00157E27" w:rsidRPr="00B044F4">
        <w:rPr>
          <w:rFonts w:eastAsia="Calibri" w:cs="Arial"/>
          <w:sz w:val="24"/>
          <w:szCs w:val="24"/>
        </w:rPr>
        <w:t>. Důvodem pro </w:t>
      </w:r>
      <w:r w:rsidR="00D015D4" w:rsidRPr="00B044F4">
        <w:rPr>
          <w:rFonts w:eastAsia="Calibri" w:cs="Arial"/>
          <w:sz w:val="24"/>
          <w:szCs w:val="24"/>
        </w:rPr>
        <w:t>jeho zrušení</w:t>
      </w:r>
      <w:r w:rsidR="00C00F80" w:rsidRPr="00B044F4">
        <w:rPr>
          <w:rFonts w:eastAsia="Calibri" w:cs="Arial"/>
          <w:sz w:val="24"/>
          <w:szCs w:val="24"/>
        </w:rPr>
        <w:t xml:space="preserve"> </w:t>
      </w:r>
      <w:r w:rsidR="00D015D4" w:rsidRPr="00B044F4">
        <w:rPr>
          <w:rFonts w:eastAsia="Calibri" w:cs="Arial"/>
          <w:sz w:val="24"/>
          <w:szCs w:val="24"/>
        </w:rPr>
        <w:t>by</w:t>
      </w:r>
      <w:r w:rsidR="00C00F80" w:rsidRPr="00B044F4">
        <w:rPr>
          <w:rFonts w:eastAsia="Calibri" w:cs="Arial"/>
          <w:sz w:val="24"/>
          <w:szCs w:val="24"/>
        </w:rPr>
        <w:t xml:space="preserve"> totiž </w:t>
      </w:r>
      <w:r w:rsidR="00D015D4" w:rsidRPr="00B044F4">
        <w:rPr>
          <w:rFonts w:eastAsia="Calibri" w:cs="Arial"/>
          <w:sz w:val="24"/>
          <w:szCs w:val="24"/>
        </w:rPr>
        <w:t xml:space="preserve">mohly být </w:t>
      </w:r>
      <w:r w:rsidR="00C00F80" w:rsidRPr="00B044F4">
        <w:rPr>
          <w:rFonts w:eastAsia="Calibri" w:cs="Arial"/>
          <w:sz w:val="24"/>
          <w:szCs w:val="24"/>
        </w:rPr>
        <w:t xml:space="preserve">jen takové procesní vady, které </w:t>
      </w:r>
      <w:r w:rsidR="00D015D4" w:rsidRPr="00B044F4">
        <w:rPr>
          <w:rFonts w:eastAsia="Calibri" w:cs="Arial"/>
          <w:sz w:val="24"/>
          <w:szCs w:val="24"/>
        </w:rPr>
        <w:t>by měly</w:t>
      </w:r>
      <w:r w:rsidR="00C00F80" w:rsidRPr="00B044F4">
        <w:rPr>
          <w:rFonts w:eastAsia="Calibri" w:cs="Arial"/>
          <w:sz w:val="24"/>
          <w:szCs w:val="24"/>
        </w:rPr>
        <w:t xml:space="preserve"> za následek </w:t>
      </w:r>
      <w:r w:rsidR="00157E27" w:rsidRPr="00B044F4">
        <w:rPr>
          <w:rFonts w:eastAsia="Calibri" w:cs="Arial"/>
          <w:sz w:val="24"/>
          <w:szCs w:val="24"/>
        </w:rPr>
        <w:t>jeho </w:t>
      </w:r>
      <w:r w:rsidR="00D015D4" w:rsidRPr="00B044F4">
        <w:rPr>
          <w:rFonts w:eastAsia="Calibri" w:cs="Arial"/>
          <w:sz w:val="24"/>
          <w:szCs w:val="24"/>
        </w:rPr>
        <w:t>nezákonnost</w:t>
      </w:r>
      <w:r w:rsidR="00C00F80" w:rsidRPr="00B044F4">
        <w:rPr>
          <w:rFonts w:eastAsia="Calibri" w:cs="Arial"/>
          <w:sz w:val="24"/>
          <w:szCs w:val="24"/>
        </w:rPr>
        <w:t xml:space="preserve">. Uvedené procesní pochybení </w:t>
      </w:r>
      <w:r w:rsidR="00D015D4" w:rsidRPr="00B044F4">
        <w:rPr>
          <w:rFonts w:eastAsia="Calibri" w:cs="Arial"/>
          <w:sz w:val="24"/>
          <w:szCs w:val="24"/>
        </w:rPr>
        <w:t>však</w:t>
      </w:r>
      <w:r w:rsidR="00C00F80" w:rsidRPr="00B044F4">
        <w:rPr>
          <w:rFonts w:eastAsia="Calibri" w:cs="Arial"/>
          <w:sz w:val="24"/>
          <w:szCs w:val="24"/>
        </w:rPr>
        <w:t xml:space="preserve"> takovouto vadou není. Ze zápisu </w:t>
      </w:r>
      <w:r w:rsidR="00176999" w:rsidRPr="00B044F4">
        <w:rPr>
          <w:rFonts w:eastAsia="Calibri" w:cs="Arial"/>
          <w:sz w:val="24"/>
          <w:szCs w:val="24"/>
        </w:rPr>
        <w:t>z </w:t>
      </w:r>
      <w:r w:rsidR="00157E27" w:rsidRPr="00B044F4">
        <w:rPr>
          <w:rFonts w:eastAsia="Calibri" w:cs="Arial"/>
          <w:sz w:val="24"/>
          <w:szCs w:val="24"/>
        </w:rPr>
        <w:t>18. </w:t>
      </w:r>
      <w:r w:rsidR="00C00F80" w:rsidRPr="00B044F4">
        <w:rPr>
          <w:rFonts w:eastAsia="Calibri" w:cs="Arial"/>
          <w:sz w:val="24"/>
          <w:szCs w:val="24"/>
        </w:rPr>
        <w:t xml:space="preserve">jednání </w:t>
      </w:r>
      <w:r w:rsidR="00D015D4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 ze dne </w:t>
      </w:r>
      <w:r w:rsidR="00E97BC9" w:rsidRPr="00B044F4">
        <w:rPr>
          <w:rFonts w:eastAsia="Calibri" w:cs="Arial"/>
          <w:sz w:val="24"/>
          <w:szCs w:val="24"/>
        </w:rPr>
        <w:t>11. 11. 2020</w:t>
      </w:r>
      <w:r w:rsidR="00C00F80" w:rsidRPr="00B044F4">
        <w:rPr>
          <w:rFonts w:eastAsia="Calibri" w:cs="Arial"/>
          <w:sz w:val="24"/>
          <w:szCs w:val="24"/>
        </w:rPr>
        <w:t xml:space="preserve"> vyplývá, že p</w:t>
      </w:r>
      <w:r w:rsidR="004E6868" w:rsidRPr="00B044F4">
        <w:rPr>
          <w:rFonts w:eastAsia="Calibri" w:cs="Arial"/>
          <w:sz w:val="24"/>
          <w:szCs w:val="24"/>
        </w:rPr>
        <w:t>rojednání uvedeného návrhu bylo </w:t>
      </w:r>
      <w:r w:rsidR="00C00F80" w:rsidRPr="00B044F4">
        <w:rPr>
          <w:rFonts w:eastAsia="Calibri" w:cs="Arial"/>
          <w:sz w:val="24"/>
          <w:szCs w:val="24"/>
        </w:rPr>
        <w:t xml:space="preserve">přítomno celkem 13 </w:t>
      </w:r>
      <w:r w:rsidR="00176999" w:rsidRPr="00B044F4">
        <w:rPr>
          <w:rFonts w:eastAsia="Calibri" w:cs="Arial"/>
          <w:sz w:val="24"/>
          <w:szCs w:val="24"/>
        </w:rPr>
        <w:t>z </w:t>
      </w:r>
      <w:r w:rsidR="00C00F80" w:rsidRPr="00B044F4">
        <w:rPr>
          <w:rFonts w:eastAsia="Calibri" w:cs="Arial"/>
          <w:sz w:val="24"/>
          <w:szCs w:val="24"/>
        </w:rPr>
        <w:t xml:space="preserve">15 členů </w:t>
      </w:r>
      <w:r w:rsidR="00D015D4" w:rsidRPr="00B044F4">
        <w:rPr>
          <w:rFonts w:eastAsia="Calibri" w:cs="Arial"/>
          <w:sz w:val="24"/>
          <w:szCs w:val="24"/>
        </w:rPr>
        <w:t xml:space="preserve">žalované a celkem </w:t>
      </w:r>
      <w:r w:rsidR="00C00F80" w:rsidRPr="00B044F4">
        <w:rPr>
          <w:rFonts w:eastAsia="Calibri" w:cs="Arial"/>
          <w:sz w:val="24"/>
          <w:szCs w:val="24"/>
        </w:rPr>
        <w:t xml:space="preserve">10 </w:t>
      </w:r>
      <w:r w:rsidR="00D015D4" w:rsidRPr="00B044F4">
        <w:rPr>
          <w:rFonts w:eastAsia="Calibri" w:cs="Arial"/>
          <w:sz w:val="24"/>
          <w:szCs w:val="24"/>
        </w:rPr>
        <w:t>z nich</w:t>
      </w:r>
      <w:r w:rsidR="00C00F80" w:rsidRPr="00B044F4">
        <w:rPr>
          <w:rFonts w:eastAsia="Calibri" w:cs="Arial"/>
          <w:sz w:val="24"/>
          <w:szCs w:val="24"/>
        </w:rPr>
        <w:t xml:space="preserve"> návrh podpořilo. </w:t>
      </w:r>
      <w:r w:rsidR="00176999" w:rsidRPr="00B044F4">
        <w:rPr>
          <w:rFonts w:eastAsia="Calibri" w:cs="Arial"/>
          <w:sz w:val="24"/>
          <w:szCs w:val="24"/>
        </w:rPr>
        <w:t>O </w:t>
      </w:r>
      <w:r w:rsidR="00C00F80" w:rsidRPr="00B044F4">
        <w:rPr>
          <w:rFonts w:eastAsia="Calibri" w:cs="Arial"/>
          <w:sz w:val="24"/>
          <w:szCs w:val="24"/>
        </w:rPr>
        <w:t xml:space="preserve">odvolání dozorčí komise je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souladu </w:t>
      </w:r>
      <w:r w:rsidR="00176999" w:rsidRPr="00B044F4">
        <w:rPr>
          <w:rFonts w:eastAsia="Calibri" w:cs="Arial"/>
          <w:sz w:val="24"/>
          <w:szCs w:val="24"/>
        </w:rPr>
        <w:t>s </w:t>
      </w:r>
      <w:r w:rsidR="00E97BC9" w:rsidRPr="00B044F4">
        <w:rPr>
          <w:rFonts w:eastAsia="Calibri" w:cs="Arial"/>
          <w:sz w:val="24"/>
          <w:szCs w:val="24"/>
        </w:rPr>
        <w:t>§ </w:t>
      </w:r>
      <w:r w:rsidR="00C00F80" w:rsidRPr="00B044F4">
        <w:rPr>
          <w:rFonts w:eastAsia="Calibri" w:cs="Arial"/>
          <w:sz w:val="24"/>
          <w:szCs w:val="24"/>
        </w:rPr>
        <w:t xml:space="preserve">7 </w:t>
      </w:r>
      <w:r w:rsidR="00176999" w:rsidRPr="00B044F4">
        <w:rPr>
          <w:rFonts w:eastAsia="Calibri" w:cs="Arial"/>
          <w:sz w:val="24"/>
          <w:szCs w:val="24"/>
        </w:rPr>
        <w:t>odst. </w:t>
      </w:r>
      <w:r w:rsidR="00C00F80" w:rsidRPr="00B044F4">
        <w:rPr>
          <w:rFonts w:eastAsia="Calibri" w:cs="Arial"/>
          <w:sz w:val="24"/>
          <w:szCs w:val="24"/>
        </w:rPr>
        <w:t xml:space="preserve">2 zákona </w:t>
      </w:r>
      <w:r w:rsidR="00D015D4" w:rsidRPr="00B044F4">
        <w:rPr>
          <w:rFonts w:eastAsia="Calibri" w:cs="Arial"/>
          <w:sz w:val="24"/>
          <w:szCs w:val="24"/>
        </w:rPr>
        <w:t xml:space="preserve">o ČT </w:t>
      </w:r>
      <w:r w:rsidR="00C00F80" w:rsidRPr="00B044F4">
        <w:rPr>
          <w:rFonts w:eastAsia="Calibri" w:cs="Arial"/>
          <w:sz w:val="24"/>
          <w:szCs w:val="24"/>
        </w:rPr>
        <w:t xml:space="preserve">rozhodováno nadpoloviční většinou hlasů všech členů </w:t>
      </w:r>
      <w:r w:rsidR="00D015D4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, tedy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dané době bylo třeba </w:t>
      </w:r>
      <w:r w:rsidR="00D015D4" w:rsidRPr="00B044F4">
        <w:rPr>
          <w:rFonts w:eastAsia="Calibri" w:cs="Arial"/>
          <w:sz w:val="24"/>
          <w:szCs w:val="24"/>
        </w:rPr>
        <w:t xml:space="preserve">pro schválení takového návrhu </w:t>
      </w:r>
      <w:r w:rsidR="00C00F80" w:rsidRPr="00B044F4">
        <w:rPr>
          <w:rFonts w:eastAsia="Calibri" w:cs="Arial"/>
          <w:sz w:val="24"/>
          <w:szCs w:val="24"/>
        </w:rPr>
        <w:t xml:space="preserve">alespoň 8 hlasů.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případě, že by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D015D4" w:rsidRPr="00B044F4">
        <w:rPr>
          <w:rFonts w:eastAsia="Calibri" w:cs="Arial"/>
          <w:sz w:val="24"/>
          <w:szCs w:val="24"/>
        </w:rPr>
        <w:t>dané</w:t>
      </w:r>
      <w:r w:rsidR="00C00F80" w:rsidRPr="00B044F4">
        <w:rPr>
          <w:rFonts w:eastAsia="Calibri" w:cs="Arial"/>
          <w:sz w:val="24"/>
          <w:szCs w:val="24"/>
        </w:rPr>
        <w:t xml:space="preserve"> věci mohlo být rozhodováno </w:t>
      </w:r>
      <w:r w:rsidR="00D015D4" w:rsidRPr="00B044F4">
        <w:rPr>
          <w:rFonts w:eastAsia="Calibri" w:cs="Arial"/>
          <w:sz w:val="24"/>
          <w:szCs w:val="24"/>
        </w:rPr>
        <w:t xml:space="preserve">jen </w:t>
      </w:r>
      <w:r w:rsidR="00C00F80" w:rsidRPr="00B044F4">
        <w:rPr>
          <w:rFonts w:eastAsia="Calibri" w:cs="Arial"/>
          <w:sz w:val="24"/>
          <w:szCs w:val="24"/>
        </w:rPr>
        <w:t xml:space="preserve">prostou většinou přítomných členů </w:t>
      </w:r>
      <w:r w:rsidR="00D015D4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 (při zachování </w:t>
      </w:r>
      <w:r w:rsidR="00D015D4" w:rsidRPr="00B044F4">
        <w:rPr>
          <w:rFonts w:eastAsia="Calibri" w:cs="Arial"/>
          <w:sz w:val="24"/>
          <w:szCs w:val="24"/>
        </w:rPr>
        <w:t xml:space="preserve">její usnášeníschopnosti) a </w:t>
      </w:r>
      <w:r w:rsidR="00C00F80" w:rsidRPr="00B044F4">
        <w:rPr>
          <w:rFonts w:eastAsia="Calibri" w:cs="Arial"/>
          <w:sz w:val="24"/>
          <w:szCs w:val="24"/>
        </w:rPr>
        <w:t xml:space="preserve">určitý bod </w:t>
      </w:r>
      <w:r w:rsidR="00D015D4" w:rsidRPr="00B044F4">
        <w:rPr>
          <w:rFonts w:eastAsia="Calibri" w:cs="Arial"/>
          <w:sz w:val="24"/>
          <w:szCs w:val="24"/>
        </w:rPr>
        <w:t xml:space="preserve">by byl </w:t>
      </w:r>
      <w:r w:rsidR="00C00F80" w:rsidRPr="00B044F4">
        <w:rPr>
          <w:rFonts w:eastAsia="Calibri" w:cs="Arial"/>
          <w:sz w:val="24"/>
          <w:szCs w:val="24"/>
        </w:rPr>
        <w:t xml:space="preserve">do programu zařazen </w:t>
      </w:r>
      <w:r w:rsidR="00D015D4" w:rsidRPr="00B044F4">
        <w:rPr>
          <w:rFonts w:eastAsia="Calibri" w:cs="Arial"/>
          <w:sz w:val="24"/>
          <w:szCs w:val="24"/>
        </w:rPr>
        <w:t>v rozporu s jednacím řádem až dodatečně</w:t>
      </w:r>
      <w:r w:rsidR="00C00F80" w:rsidRPr="00B044F4">
        <w:rPr>
          <w:rFonts w:eastAsia="Calibri" w:cs="Arial"/>
          <w:sz w:val="24"/>
          <w:szCs w:val="24"/>
        </w:rPr>
        <w:t xml:space="preserve">, mohla </w:t>
      </w:r>
      <w:r w:rsidR="00D015D4" w:rsidRPr="00B044F4">
        <w:rPr>
          <w:rFonts w:eastAsia="Calibri" w:cs="Arial"/>
          <w:sz w:val="24"/>
          <w:szCs w:val="24"/>
        </w:rPr>
        <w:t>by</w:t>
      </w:r>
      <w:r w:rsidR="00C00F80" w:rsidRPr="00B044F4">
        <w:rPr>
          <w:rFonts w:eastAsia="Calibri" w:cs="Arial"/>
          <w:sz w:val="24"/>
          <w:szCs w:val="24"/>
        </w:rPr>
        <w:t xml:space="preserve"> za spe</w:t>
      </w:r>
      <w:r w:rsidR="00D015D4" w:rsidRPr="00B044F4">
        <w:rPr>
          <w:rFonts w:eastAsia="Calibri" w:cs="Arial"/>
          <w:sz w:val="24"/>
          <w:szCs w:val="24"/>
        </w:rPr>
        <w:t>cifických okolností taková vada</w:t>
      </w:r>
      <w:r w:rsidR="00C00F80" w:rsidRPr="00B044F4">
        <w:rPr>
          <w:rFonts w:eastAsia="Calibri" w:cs="Arial"/>
          <w:sz w:val="24"/>
          <w:szCs w:val="24"/>
        </w:rPr>
        <w:t xml:space="preserve"> způsobit nezákonnost </w:t>
      </w:r>
      <w:r w:rsidR="00D015D4" w:rsidRPr="00B044F4">
        <w:rPr>
          <w:rFonts w:eastAsia="Calibri" w:cs="Arial"/>
          <w:sz w:val="24"/>
          <w:szCs w:val="24"/>
        </w:rPr>
        <w:t>rozhodnutí. Taková situace by nastala</w:t>
      </w:r>
      <w:r w:rsidR="00C00F80" w:rsidRPr="00B044F4">
        <w:rPr>
          <w:rFonts w:eastAsia="Calibri" w:cs="Arial"/>
          <w:sz w:val="24"/>
          <w:szCs w:val="24"/>
        </w:rPr>
        <w:t xml:space="preserve">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případě, že by část </w:t>
      </w:r>
      <w:r w:rsidR="00D015D4" w:rsidRPr="00B044F4">
        <w:rPr>
          <w:rFonts w:eastAsia="Calibri" w:cs="Arial"/>
          <w:sz w:val="24"/>
          <w:szCs w:val="24"/>
        </w:rPr>
        <w:t>členů žalované</w:t>
      </w:r>
      <w:r w:rsidR="00C00F80" w:rsidRPr="00B044F4">
        <w:rPr>
          <w:rFonts w:eastAsia="Calibri" w:cs="Arial"/>
          <w:sz w:val="24"/>
          <w:szCs w:val="24"/>
        </w:rPr>
        <w:t xml:space="preserve"> využila nepřítomnosti svých kolegů </w:t>
      </w:r>
      <w:r w:rsidR="00176999" w:rsidRPr="00B044F4">
        <w:rPr>
          <w:rFonts w:eastAsia="Calibri" w:cs="Arial"/>
          <w:sz w:val="24"/>
          <w:szCs w:val="24"/>
        </w:rPr>
        <w:t>a </w:t>
      </w:r>
      <w:r w:rsidR="00C00F80" w:rsidRPr="00B044F4">
        <w:rPr>
          <w:rFonts w:eastAsia="Calibri" w:cs="Arial"/>
          <w:sz w:val="24"/>
          <w:szCs w:val="24"/>
        </w:rPr>
        <w:t xml:space="preserve">do programu </w:t>
      </w:r>
      <w:r w:rsidR="00D015D4" w:rsidRPr="00B044F4">
        <w:rPr>
          <w:rFonts w:eastAsia="Calibri" w:cs="Arial"/>
          <w:sz w:val="24"/>
          <w:szCs w:val="24"/>
        </w:rPr>
        <w:t xml:space="preserve">jednání by </w:t>
      </w:r>
      <w:r w:rsidR="00157E27" w:rsidRPr="00B044F4">
        <w:rPr>
          <w:rFonts w:eastAsia="Calibri" w:cs="Arial"/>
          <w:sz w:val="24"/>
          <w:szCs w:val="24"/>
        </w:rPr>
        <w:t>zařadila nový bod, který by 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 xml:space="preserve">důsledku snížení kvora byla schopna prosadit.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D015D4" w:rsidRPr="00B044F4">
        <w:rPr>
          <w:rFonts w:eastAsia="Calibri" w:cs="Arial"/>
          <w:sz w:val="24"/>
          <w:szCs w:val="24"/>
        </w:rPr>
        <w:t>posuzovaném případě však</w:t>
      </w:r>
      <w:r w:rsidR="00C00F80" w:rsidRPr="00B044F4">
        <w:rPr>
          <w:rFonts w:eastAsia="Calibri" w:cs="Arial"/>
          <w:sz w:val="24"/>
          <w:szCs w:val="24"/>
        </w:rPr>
        <w:t xml:space="preserve"> hlasovací kvorum vyplývalo ze zákona (nadp</w:t>
      </w:r>
      <w:r w:rsidR="00D015D4" w:rsidRPr="00B044F4">
        <w:rPr>
          <w:rFonts w:eastAsia="Calibri" w:cs="Arial"/>
          <w:sz w:val="24"/>
          <w:szCs w:val="24"/>
        </w:rPr>
        <w:t xml:space="preserve">oloviční většina všech členů), a proto </w:t>
      </w:r>
      <w:r w:rsidR="00C00F80" w:rsidRPr="00B044F4">
        <w:rPr>
          <w:rFonts w:eastAsia="Calibri" w:cs="Arial"/>
          <w:sz w:val="24"/>
          <w:szCs w:val="24"/>
        </w:rPr>
        <w:t xml:space="preserve">pochybení, </w:t>
      </w:r>
      <w:r w:rsidR="00157E27" w:rsidRPr="00B044F4">
        <w:rPr>
          <w:rFonts w:eastAsia="Calibri" w:cs="Arial"/>
          <w:sz w:val="24"/>
          <w:szCs w:val="24"/>
        </w:rPr>
        <w:t xml:space="preserve">k </w:t>
      </w:r>
      <w:r w:rsidR="00D015D4" w:rsidRPr="00B044F4">
        <w:rPr>
          <w:rFonts w:eastAsia="Calibri" w:cs="Arial"/>
          <w:sz w:val="24"/>
          <w:szCs w:val="24"/>
        </w:rPr>
        <w:t xml:space="preserve">němuž došlo, </w:t>
      </w:r>
      <w:r w:rsidR="00C00F80" w:rsidRPr="00B044F4">
        <w:rPr>
          <w:rFonts w:eastAsia="Calibri" w:cs="Arial"/>
          <w:sz w:val="24"/>
          <w:szCs w:val="24"/>
        </w:rPr>
        <w:t xml:space="preserve">nemohlo </w:t>
      </w:r>
      <w:r w:rsidR="00176999" w:rsidRPr="00B044F4">
        <w:rPr>
          <w:rFonts w:eastAsia="Calibri" w:cs="Arial"/>
          <w:sz w:val="24"/>
          <w:szCs w:val="24"/>
        </w:rPr>
        <w:t>k </w:t>
      </w:r>
      <w:r w:rsidR="00C00F80" w:rsidRPr="00B044F4">
        <w:rPr>
          <w:rFonts w:eastAsia="Calibri" w:cs="Arial"/>
          <w:sz w:val="24"/>
          <w:szCs w:val="24"/>
        </w:rPr>
        <w:t>na</w:t>
      </w:r>
      <w:r w:rsidR="00D015D4" w:rsidRPr="00B044F4">
        <w:rPr>
          <w:rFonts w:eastAsia="Calibri" w:cs="Arial"/>
          <w:sz w:val="24"/>
          <w:szCs w:val="24"/>
        </w:rPr>
        <w:t>stíněné nezákonnosti vést. Navíc</w:t>
      </w:r>
      <w:r w:rsidR="00C00F80" w:rsidRPr="00B044F4">
        <w:rPr>
          <w:rFonts w:eastAsia="Calibri" w:cs="Arial"/>
          <w:sz w:val="24"/>
          <w:szCs w:val="24"/>
        </w:rPr>
        <w:t xml:space="preserve"> na jednání </w:t>
      </w:r>
      <w:r w:rsidR="00D015D4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 byla </w:t>
      </w:r>
      <w:r w:rsidR="00176999" w:rsidRPr="00B044F4">
        <w:rPr>
          <w:rFonts w:eastAsia="Calibri" w:cs="Arial"/>
          <w:sz w:val="24"/>
          <w:szCs w:val="24"/>
        </w:rPr>
        <w:t>v </w:t>
      </w:r>
      <w:r w:rsidR="00C00F80" w:rsidRPr="00B044F4">
        <w:rPr>
          <w:rFonts w:eastAsia="Calibri" w:cs="Arial"/>
          <w:sz w:val="24"/>
          <w:szCs w:val="24"/>
        </w:rPr>
        <w:t>dané době přít</w:t>
      </w:r>
      <w:r w:rsidR="00D015D4" w:rsidRPr="00B044F4">
        <w:rPr>
          <w:rFonts w:eastAsia="Calibri" w:cs="Arial"/>
          <w:sz w:val="24"/>
          <w:szCs w:val="24"/>
        </w:rPr>
        <w:t>omna velká většina jejích členů, a</w:t>
      </w:r>
      <w:r w:rsidR="00C00F80" w:rsidRPr="00B044F4">
        <w:rPr>
          <w:rFonts w:eastAsia="Calibri" w:cs="Arial"/>
          <w:sz w:val="24"/>
          <w:szCs w:val="24"/>
        </w:rPr>
        <w:t xml:space="preserve"> dodatečné zařazení </w:t>
      </w:r>
      <w:r w:rsidR="00D015D4" w:rsidRPr="00B044F4">
        <w:rPr>
          <w:rFonts w:eastAsia="Calibri" w:cs="Arial"/>
          <w:sz w:val="24"/>
          <w:szCs w:val="24"/>
        </w:rPr>
        <w:t xml:space="preserve">inkriminovaného </w:t>
      </w:r>
      <w:r w:rsidR="00C00F80" w:rsidRPr="00B044F4">
        <w:rPr>
          <w:rFonts w:eastAsia="Calibri" w:cs="Arial"/>
          <w:sz w:val="24"/>
          <w:szCs w:val="24"/>
        </w:rPr>
        <w:t xml:space="preserve">bodu tudíž fakticky ničí práva nepoškodilo. Konečně na </w:t>
      </w:r>
      <w:r w:rsidR="00D015D4" w:rsidRPr="00B044F4">
        <w:rPr>
          <w:rFonts w:eastAsia="Calibri" w:cs="Arial"/>
          <w:sz w:val="24"/>
          <w:szCs w:val="24"/>
        </w:rPr>
        <w:t xml:space="preserve">předmětném </w:t>
      </w:r>
      <w:r w:rsidR="00C00F80" w:rsidRPr="00B044F4">
        <w:rPr>
          <w:rFonts w:eastAsia="Calibri" w:cs="Arial"/>
          <w:sz w:val="24"/>
          <w:szCs w:val="24"/>
        </w:rPr>
        <w:t xml:space="preserve">jednání </w:t>
      </w:r>
      <w:r w:rsidR="00D015D4" w:rsidRPr="00B044F4">
        <w:rPr>
          <w:rFonts w:eastAsia="Calibri" w:cs="Arial"/>
          <w:sz w:val="24"/>
          <w:szCs w:val="24"/>
        </w:rPr>
        <w:t>žalované</w:t>
      </w:r>
      <w:r w:rsidR="00C00F80" w:rsidRPr="00B044F4">
        <w:rPr>
          <w:rFonts w:eastAsia="Calibri" w:cs="Arial"/>
          <w:sz w:val="24"/>
          <w:szCs w:val="24"/>
        </w:rPr>
        <w:t xml:space="preserve"> byl přítomen t</w:t>
      </w:r>
      <w:r w:rsidR="00D015D4" w:rsidRPr="00B044F4">
        <w:rPr>
          <w:rFonts w:eastAsia="Calibri" w:cs="Arial"/>
          <w:sz w:val="24"/>
          <w:szCs w:val="24"/>
        </w:rPr>
        <w:t>ehdejší předseda dozorčí komise, když její</w:t>
      </w:r>
      <w:r w:rsidR="00C00F80" w:rsidRPr="00B044F4">
        <w:rPr>
          <w:rFonts w:eastAsia="Calibri" w:cs="Arial"/>
          <w:sz w:val="24"/>
          <w:szCs w:val="24"/>
        </w:rPr>
        <w:t xml:space="preserve"> ostatní členové neměli podle zákona </w:t>
      </w:r>
      <w:r w:rsidR="00D015D4" w:rsidRPr="00B044F4">
        <w:rPr>
          <w:rFonts w:eastAsia="Calibri" w:cs="Arial"/>
          <w:sz w:val="24"/>
          <w:szCs w:val="24"/>
        </w:rPr>
        <w:t xml:space="preserve">o ČT </w:t>
      </w:r>
      <w:r w:rsidR="00C00F80" w:rsidRPr="00B044F4">
        <w:rPr>
          <w:rFonts w:eastAsia="Calibri" w:cs="Arial"/>
          <w:sz w:val="24"/>
          <w:szCs w:val="24"/>
        </w:rPr>
        <w:t xml:space="preserve">ani jednacího řádu garantováno právo se </w:t>
      </w:r>
      <w:r w:rsidR="00D015D4" w:rsidRPr="00B044F4">
        <w:rPr>
          <w:rFonts w:eastAsia="Calibri" w:cs="Arial"/>
          <w:sz w:val="24"/>
          <w:szCs w:val="24"/>
        </w:rPr>
        <w:t xml:space="preserve">tohoto jednání </w:t>
      </w:r>
      <w:r w:rsidR="00376CB6" w:rsidRPr="00B044F4">
        <w:rPr>
          <w:rFonts w:eastAsia="Calibri" w:cs="Arial"/>
          <w:sz w:val="24"/>
          <w:szCs w:val="24"/>
        </w:rPr>
        <w:t>z</w:t>
      </w:r>
      <w:r w:rsidR="00C00F80" w:rsidRPr="00B044F4">
        <w:rPr>
          <w:rFonts w:eastAsia="Calibri" w:cs="Arial"/>
          <w:sz w:val="24"/>
          <w:szCs w:val="24"/>
        </w:rPr>
        <w:t>účastnit.</w:t>
      </w:r>
    </w:p>
    <w:p w14:paraId="70F07EA6" w14:textId="492D276D" w:rsidR="007C26F4" w:rsidRPr="00B044F4" w:rsidRDefault="007C26F4" w:rsidP="0058316B">
      <w:pPr>
        <w:pStyle w:val="mmstd"/>
        <w:numPr>
          <w:ilvl w:val="0"/>
          <w:numId w:val="4"/>
        </w:numPr>
        <w:tabs>
          <w:tab w:val="clear" w:pos="738"/>
          <w:tab w:val="left" w:pos="426"/>
        </w:tabs>
        <w:spacing w:before="0" w:after="240" w:line="240" w:lineRule="auto"/>
        <w:ind w:left="0"/>
        <w:rPr>
          <w:rFonts w:eastAsia="Calibri" w:cs="Arial"/>
          <w:sz w:val="24"/>
          <w:szCs w:val="24"/>
        </w:rPr>
      </w:pPr>
      <w:r w:rsidRPr="00B044F4">
        <w:rPr>
          <w:rFonts w:eastAsia="Calibri" w:cs="Arial"/>
          <w:sz w:val="24"/>
          <w:szCs w:val="24"/>
        </w:rPr>
        <w:t>Závěrem městský soud uvedl, že proti žalobou napad</w:t>
      </w:r>
      <w:r w:rsidR="00157E27" w:rsidRPr="00B044F4">
        <w:rPr>
          <w:rFonts w:eastAsia="Calibri" w:cs="Arial"/>
          <w:sz w:val="24"/>
          <w:szCs w:val="24"/>
        </w:rPr>
        <w:t>enému rozhodnutí nemohlo být </w:t>
      </w:r>
      <w:r w:rsidRPr="00B044F4">
        <w:rPr>
          <w:rFonts w:eastAsia="Calibri" w:cs="Arial"/>
          <w:sz w:val="24"/>
          <w:szCs w:val="24"/>
        </w:rPr>
        <w:t>podáno odvolání k Poslanecké sněmovně. Žalována je to</w:t>
      </w:r>
      <w:r w:rsidR="00157E27" w:rsidRPr="00B044F4">
        <w:rPr>
          <w:rFonts w:eastAsia="Calibri" w:cs="Arial"/>
          <w:sz w:val="24"/>
          <w:szCs w:val="24"/>
        </w:rPr>
        <w:t>tiž nezávislým orgánem, jímž se </w:t>
      </w:r>
      <w:r w:rsidRPr="00B044F4">
        <w:rPr>
          <w:rFonts w:eastAsia="Calibri" w:cs="Arial"/>
          <w:sz w:val="24"/>
          <w:szCs w:val="24"/>
        </w:rPr>
        <w:t>uplatňuje právo veřejnosti na kontrolu činnosti České televize. Poslanecká sněmovna jako politický orgán proto není v nadřízeném postavení vůči žalo</w:t>
      </w:r>
      <w:r w:rsidR="00157E27" w:rsidRPr="00B044F4">
        <w:rPr>
          <w:rFonts w:eastAsia="Calibri" w:cs="Arial"/>
          <w:sz w:val="24"/>
          <w:szCs w:val="24"/>
        </w:rPr>
        <w:t>vané a nemůže přezkoumávat její </w:t>
      </w:r>
      <w:r w:rsidRPr="00B044F4">
        <w:rPr>
          <w:rFonts w:eastAsia="Calibri" w:cs="Arial"/>
          <w:sz w:val="24"/>
          <w:szCs w:val="24"/>
        </w:rPr>
        <w:t xml:space="preserve">akty. Z tohoto důvodu je odvolání proti rozhodnutí žalované </w:t>
      </w:r>
      <w:r w:rsidR="00157E27" w:rsidRPr="00B044F4">
        <w:rPr>
          <w:rFonts w:eastAsia="Calibri" w:cs="Arial"/>
          <w:sz w:val="24"/>
          <w:szCs w:val="24"/>
        </w:rPr>
        <w:t>implicitně vyloučeno.</w:t>
      </w:r>
    </w:p>
    <w:p w14:paraId="3CE11E2B" w14:textId="3C42CA14" w:rsidR="00613ADE" w:rsidRPr="00B044F4" w:rsidRDefault="00241C32" w:rsidP="0058316B">
      <w:pPr>
        <w:pStyle w:val="mmstd"/>
        <w:spacing w:before="0" w:after="240" w:line="240" w:lineRule="auto"/>
        <w:ind w:firstLine="0"/>
        <w:jc w:val="center"/>
        <w:rPr>
          <w:sz w:val="24"/>
          <w:szCs w:val="24"/>
        </w:rPr>
      </w:pPr>
      <w:r w:rsidRPr="00B044F4">
        <w:rPr>
          <w:rFonts w:cs="Garamond-Bold"/>
          <w:b/>
          <w:bCs/>
          <w:sz w:val="24"/>
          <w:szCs w:val="24"/>
        </w:rPr>
        <w:t xml:space="preserve">II. </w:t>
      </w:r>
      <w:r w:rsidR="00D015D4" w:rsidRPr="00B044F4">
        <w:rPr>
          <w:rFonts w:cs="Garamond-Bold"/>
          <w:b/>
          <w:bCs/>
          <w:sz w:val="24"/>
          <w:szCs w:val="24"/>
        </w:rPr>
        <w:t>Obsah k</w:t>
      </w:r>
      <w:r w:rsidRPr="00B044F4">
        <w:rPr>
          <w:rFonts w:cs="Garamond-Bold"/>
          <w:b/>
          <w:bCs/>
          <w:sz w:val="24"/>
          <w:szCs w:val="24"/>
        </w:rPr>
        <w:t>asační stížnost</w:t>
      </w:r>
      <w:r w:rsidR="00D015D4" w:rsidRPr="00B044F4">
        <w:rPr>
          <w:rFonts w:cs="Garamond-Bold"/>
          <w:b/>
          <w:bCs/>
          <w:sz w:val="24"/>
          <w:szCs w:val="24"/>
        </w:rPr>
        <w:t>i</w:t>
      </w:r>
      <w:r w:rsidRPr="00B044F4">
        <w:rPr>
          <w:rFonts w:cs="Garamond-Bold"/>
          <w:b/>
          <w:bCs/>
          <w:sz w:val="24"/>
          <w:szCs w:val="24"/>
        </w:rPr>
        <w:t xml:space="preserve"> </w:t>
      </w:r>
      <w:r w:rsidR="00176999" w:rsidRPr="00B044F4">
        <w:rPr>
          <w:rFonts w:cs="Garamond-Bold"/>
          <w:b/>
          <w:bCs/>
          <w:sz w:val="24"/>
          <w:szCs w:val="24"/>
        </w:rPr>
        <w:t>a </w:t>
      </w:r>
      <w:r w:rsidR="002A193E" w:rsidRPr="00B044F4">
        <w:rPr>
          <w:rFonts w:cs="Garamond-Bold"/>
          <w:b/>
          <w:bCs/>
          <w:sz w:val="24"/>
          <w:szCs w:val="24"/>
        </w:rPr>
        <w:t>dalších podání účastníků řízení</w:t>
      </w:r>
    </w:p>
    <w:p w14:paraId="234F3A14" w14:textId="6BF6034B" w:rsidR="00613ADE" w:rsidRPr="00B044F4" w:rsidRDefault="00241C32" w:rsidP="00825119">
      <w:pPr>
        <w:pStyle w:val="mmstd"/>
        <w:numPr>
          <w:ilvl w:val="0"/>
          <w:numId w:val="5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rFonts w:cs="Arial"/>
          <w:sz w:val="24"/>
          <w:szCs w:val="24"/>
        </w:rPr>
        <w:t xml:space="preserve">Proti tomuto </w:t>
      </w:r>
      <w:r w:rsidR="006117F2" w:rsidRPr="00B044F4">
        <w:rPr>
          <w:rFonts w:cs="Arial"/>
          <w:sz w:val="24"/>
          <w:szCs w:val="24"/>
        </w:rPr>
        <w:t xml:space="preserve">rozsudku městského </w:t>
      </w:r>
      <w:r w:rsidRPr="00B044F4">
        <w:rPr>
          <w:rFonts w:cs="Arial"/>
          <w:sz w:val="24"/>
          <w:szCs w:val="24"/>
        </w:rPr>
        <w:t>soudu podal</w:t>
      </w:r>
      <w:r w:rsidR="006117F2" w:rsidRPr="00B044F4">
        <w:rPr>
          <w:rFonts w:cs="Arial"/>
          <w:sz w:val="24"/>
          <w:szCs w:val="24"/>
        </w:rPr>
        <w:t>i</w:t>
      </w:r>
      <w:r w:rsidRPr="00B044F4">
        <w:rPr>
          <w:rFonts w:cs="Arial"/>
          <w:sz w:val="24"/>
          <w:szCs w:val="24"/>
        </w:rPr>
        <w:t xml:space="preserve"> </w:t>
      </w:r>
      <w:r w:rsidR="001451D6" w:rsidRPr="00B044F4">
        <w:rPr>
          <w:rFonts w:cs="Arial"/>
          <w:sz w:val="24"/>
          <w:szCs w:val="24"/>
        </w:rPr>
        <w:t xml:space="preserve">žalobci </w:t>
      </w:r>
      <w:r w:rsidRPr="00B044F4">
        <w:rPr>
          <w:rFonts w:cs="Arial"/>
          <w:sz w:val="24"/>
          <w:szCs w:val="24"/>
        </w:rPr>
        <w:t>(dále též „stěžovatel</w:t>
      </w:r>
      <w:r w:rsidR="001451D6" w:rsidRPr="00B044F4">
        <w:rPr>
          <w:rFonts w:cs="Arial"/>
          <w:sz w:val="24"/>
          <w:szCs w:val="24"/>
        </w:rPr>
        <w:t>é</w:t>
      </w:r>
      <w:r w:rsidRPr="00B044F4">
        <w:rPr>
          <w:rFonts w:cs="Arial"/>
          <w:sz w:val="24"/>
          <w:szCs w:val="24"/>
        </w:rPr>
        <w:t>“) včasnou kasační stížnost z</w:t>
      </w:r>
      <w:r w:rsidR="00170034" w:rsidRPr="00B044F4">
        <w:rPr>
          <w:rFonts w:cs="Arial"/>
          <w:sz w:val="24"/>
          <w:szCs w:val="24"/>
        </w:rPr>
        <w:t> </w:t>
      </w:r>
      <w:r w:rsidRPr="00B044F4">
        <w:rPr>
          <w:rFonts w:cs="Arial"/>
          <w:sz w:val="24"/>
          <w:szCs w:val="24"/>
        </w:rPr>
        <w:t>důvod</w:t>
      </w:r>
      <w:r w:rsidR="007F31F7" w:rsidRPr="00B044F4">
        <w:rPr>
          <w:rFonts w:cs="Arial"/>
          <w:sz w:val="24"/>
          <w:szCs w:val="24"/>
        </w:rPr>
        <w:t>ů</w:t>
      </w:r>
      <w:r w:rsidR="00170034" w:rsidRPr="00B044F4">
        <w:rPr>
          <w:rFonts w:cs="Arial"/>
          <w:sz w:val="24"/>
          <w:szCs w:val="24"/>
        </w:rPr>
        <w:t xml:space="preserve"> </w:t>
      </w:r>
      <w:r w:rsidR="00A349FF" w:rsidRPr="00B044F4">
        <w:rPr>
          <w:rFonts w:cs="Arial"/>
          <w:sz w:val="24"/>
          <w:szCs w:val="24"/>
        </w:rPr>
        <w:t>po</w:t>
      </w:r>
      <w:r w:rsidR="00170034" w:rsidRPr="00B044F4">
        <w:rPr>
          <w:rFonts w:cs="Arial"/>
          <w:sz w:val="24"/>
          <w:szCs w:val="24"/>
        </w:rPr>
        <w:t>dle</w:t>
      </w:r>
      <w:r w:rsidR="0057707C" w:rsidRPr="00B044F4">
        <w:rPr>
          <w:rFonts w:cs="Arial"/>
          <w:sz w:val="24"/>
          <w:szCs w:val="24"/>
        </w:rPr>
        <w:t xml:space="preserve"> </w:t>
      </w:r>
      <w:r w:rsidR="00E97BC9" w:rsidRPr="00B044F4">
        <w:rPr>
          <w:rFonts w:cs="Arial"/>
          <w:sz w:val="24"/>
          <w:szCs w:val="24"/>
        </w:rPr>
        <w:t>§ </w:t>
      </w:r>
      <w:r w:rsidRPr="00B044F4">
        <w:rPr>
          <w:rFonts w:cs="Arial"/>
          <w:sz w:val="24"/>
          <w:szCs w:val="24"/>
        </w:rPr>
        <w:t>103 odst. 1 písm. </w:t>
      </w:r>
      <w:r w:rsidR="003C4D95" w:rsidRPr="00B044F4">
        <w:rPr>
          <w:rFonts w:cs="Arial"/>
          <w:sz w:val="24"/>
          <w:szCs w:val="24"/>
        </w:rPr>
        <w:t>a</w:t>
      </w:r>
      <w:r w:rsidR="005502F9" w:rsidRPr="00B044F4">
        <w:rPr>
          <w:rFonts w:cs="Arial"/>
          <w:sz w:val="24"/>
          <w:szCs w:val="24"/>
        </w:rPr>
        <w:t>)</w:t>
      </w:r>
      <w:r w:rsidRPr="00B044F4">
        <w:rPr>
          <w:rFonts w:cs="Arial"/>
          <w:sz w:val="24"/>
          <w:szCs w:val="24"/>
        </w:rPr>
        <w:t xml:space="preserve"> </w:t>
      </w:r>
      <w:r w:rsidR="00176999" w:rsidRPr="00B044F4">
        <w:rPr>
          <w:rFonts w:cs="Arial"/>
          <w:sz w:val="24"/>
          <w:szCs w:val="24"/>
        </w:rPr>
        <w:t>a </w:t>
      </w:r>
      <w:r w:rsidR="00170034" w:rsidRPr="00B044F4">
        <w:rPr>
          <w:rFonts w:cs="Arial"/>
          <w:sz w:val="24"/>
          <w:szCs w:val="24"/>
        </w:rPr>
        <w:t xml:space="preserve">d) </w:t>
      </w:r>
      <w:r w:rsidRPr="00B044F4">
        <w:rPr>
          <w:rFonts w:cs="Arial"/>
          <w:sz w:val="24"/>
          <w:szCs w:val="24"/>
        </w:rPr>
        <w:t>zákona č. 150/2002</w:t>
      </w:r>
      <w:r w:rsidR="00176999" w:rsidRPr="00B044F4">
        <w:rPr>
          <w:rFonts w:cs="Arial"/>
          <w:sz w:val="24"/>
          <w:szCs w:val="24"/>
        </w:rPr>
        <w:t> Sb.</w:t>
      </w:r>
      <w:r w:rsidRPr="00B044F4">
        <w:rPr>
          <w:rFonts w:cs="Arial"/>
          <w:sz w:val="24"/>
          <w:szCs w:val="24"/>
        </w:rPr>
        <w:t>, soudní řád správní (dále jen „</w:t>
      </w:r>
      <w:r w:rsidR="00E97BC9" w:rsidRPr="00B044F4">
        <w:rPr>
          <w:rFonts w:cs="Arial"/>
          <w:sz w:val="24"/>
          <w:szCs w:val="24"/>
        </w:rPr>
        <w:t>s. ř. s.</w:t>
      </w:r>
      <w:r w:rsidRPr="00B044F4">
        <w:rPr>
          <w:rFonts w:cs="Arial"/>
          <w:sz w:val="24"/>
          <w:szCs w:val="24"/>
        </w:rPr>
        <w:t xml:space="preserve">“). </w:t>
      </w:r>
    </w:p>
    <w:p w14:paraId="05C96D3B" w14:textId="4E4DE7B8" w:rsidR="00EB37F4" w:rsidRPr="00B044F4" w:rsidRDefault="00241C32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V kasační stížnosti stěžovatel</w:t>
      </w:r>
      <w:r w:rsidR="006117F2" w:rsidRPr="00B044F4">
        <w:rPr>
          <w:sz w:val="24"/>
          <w:szCs w:val="24"/>
        </w:rPr>
        <w:t>é</w:t>
      </w:r>
      <w:r w:rsidR="00096C43" w:rsidRPr="00B044F4">
        <w:rPr>
          <w:sz w:val="24"/>
          <w:szCs w:val="24"/>
        </w:rPr>
        <w:t xml:space="preserve"> namít</w:t>
      </w:r>
      <w:r w:rsidR="00D11A82" w:rsidRPr="00B044F4">
        <w:rPr>
          <w:sz w:val="24"/>
          <w:szCs w:val="24"/>
        </w:rPr>
        <w:t>li</w:t>
      </w:r>
      <w:r w:rsidR="00096C43" w:rsidRPr="00B044F4">
        <w:rPr>
          <w:sz w:val="24"/>
          <w:szCs w:val="24"/>
        </w:rPr>
        <w:t>, že</w:t>
      </w:r>
      <w:r w:rsidR="001E0DA2" w:rsidRPr="00B044F4">
        <w:t xml:space="preserve"> </w:t>
      </w:r>
      <w:r w:rsidR="001E0DA2" w:rsidRPr="00B044F4">
        <w:rPr>
          <w:sz w:val="24"/>
          <w:szCs w:val="24"/>
        </w:rPr>
        <w:t xml:space="preserve">městský soud nesprávně posoudil právní otázku, když neadekvátním výkladem slova „přiměřeně“ dovodil pravomoc </w:t>
      </w:r>
      <w:r w:rsidR="00D11A82" w:rsidRPr="00B044F4">
        <w:rPr>
          <w:sz w:val="24"/>
          <w:szCs w:val="24"/>
        </w:rPr>
        <w:t>žalované</w:t>
      </w:r>
      <w:r w:rsidR="001E0DA2" w:rsidRPr="00B044F4">
        <w:rPr>
          <w:sz w:val="24"/>
          <w:szCs w:val="24"/>
        </w:rPr>
        <w:t xml:space="preserve"> odvolávat členy </w:t>
      </w:r>
      <w:r w:rsidR="00854CB6" w:rsidRPr="00B044F4">
        <w:rPr>
          <w:sz w:val="24"/>
          <w:szCs w:val="24"/>
        </w:rPr>
        <w:t>d</w:t>
      </w:r>
      <w:r w:rsidR="001E0DA2" w:rsidRPr="00B044F4">
        <w:rPr>
          <w:sz w:val="24"/>
          <w:szCs w:val="24"/>
        </w:rPr>
        <w:t>ozorčí komise bez toho, že by byly naplněny zákonné podmínky pro jejich odvolání</w:t>
      </w:r>
      <w:r w:rsidR="00D11A82" w:rsidRPr="00B044F4">
        <w:rPr>
          <w:sz w:val="24"/>
          <w:szCs w:val="24"/>
        </w:rPr>
        <w:t>,</w:t>
      </w:r>
      <w:r w:rsidR="001E0DA2" w:rsidRPr="00B044F4">
        <w:rPr>
          <w:sz w:val="24"/>
          <w:szCs w:val="24"/>
        </w:rPr>
        <w:t xml:space="preserve"> </w:t>
      </w:r>
      <w:r w:rsidR="00176999" w:rsidRPr="00B044F4">
        <w:rPr>
          <w:sz w:val="24"/>
          <w:szCs w:val="24"/>
        </w:rPr>
        <w:t>a </w:t>
      </w:r>
      <w:r w:rsidR="001E0DA2" w:rsidRPr="00B044F4">
        <w:rPr>
          <w:sz w:val="24"/>
          <w:szCs w:val="24"/>
        </w:rPr>
        <w:t xml:space="preserve">také pravomoc odvolat </w:t>
      </w:r>
      <w:r w:rsidR="00854CB6" w:rsidRPr="00B044F4">
        <w:rPr>
          <w:sz w:val="24"/>
          <w:szCs w:val="24"/>
        </w:rPr>
        <w:t>d</w:t>
      </w:r>
      <w:r w:rsidR="00D11A82" w:rsidRPr="00B044F4">
        <w:rPr>
          <w:sz w:val="24"/>
          <w:szCs w:val="24"/>
        </w:rPr>
        <w:t>ozorčí komisi jako celek</w:t>
      </w:r>
      <w:r w:rsidR="001E0DA2" w:rsidRPr="00B044F4">
        <w:rPr>
          <w:sz w:val="24"/>
          <w:szCs w:val="24"/>
        </w:rPr>
        <w:t xml:space="preserve">. Stěžovatelé trvají na tom, že tyto pravomoci </w:t>
      </w:r>
      <w:r w:rsidR="00D11A82" w:rsidRPr="00B044F4">
        <w:rPr>
          <w:sz w:val="24"/>
          <w:szCs w:val="24"/>
        </w:rPr>
        <w:t xml:space="preserve">žalované </w:t>
      </w:r>
      <w:r w:rsidR="001E0DA2" w:rsidRPr="00B044F4">
        <w:rPr>
          <w:sz w:val="24"/>
          <w:szCs w:val="24"/>
        </w:rPr>
        <w:t xml:space="preserve">podle zákona </w:t>
      </w:r>
      <w:r w:rsidR="00B967BA" w:rsidRPr="00B044F4">
        <w:rPr>
          <w:sz w:val="24"/>
          <w:szCs w:val="24"/>
        </w:rPr>
        <w:t xml:space="preserve">o ČT </w:t>
      </w:r>
      <w:r w:rsidR="001E0DA2" w:rsidRPr="00B044F4">
        <w:rPr>
          <w:sz w:val="24"/>
          <w:szCs w:val="24"/>
        </w:rPr>
        <w:t xml:space="preserve">nenáleží, </w:t>
      </w:r>
      <w:r w:rsidR="00176999" w:rsidRPr="00B044F4">
        <w:rPr>
          <w:sz w:val="24"/>
          <w:szCs w:val="24"/>
        </w:rPr>
        <w:t>a z </w:t>
      </w:r>
      <w:r w:rsidR="001E0DA2" w:rsidRPr="00B044F4">
        <w:rPr>
          <w:sz w:val="24"/>
          <w:szCs w:val="24"/>
        </w:rPr>
        <w:t xml:space="preserve">toho důvodu je jí vydané usnesení nezákonné </w:t>
      </w:r>
      <w:r w:rsidR="00176999" w:rsidRPr="00B044F4">
        <w:rPr>
          <w:sz w:val="24"/>
          <w:szCs w:val="24"/>
        </w:rPr>
        <w:t>a </w:t>
      </w:r>
      <w:r w:rsidR="001E0DA2" w:rsidRPr="00B044F4">
        <w:rPr>
          <w:sz w:val="24"/>
          <w:szCs w:val="24"/>
        </w:rPr>
        <w:t>mělo být městským soudem zrušeno.</w:t>
      </w:r>
      <w:r w:rsidR="00D11A82" w:rsidRPr="00B044F4">
        <w:rPr>
          <w:sz w:val="24"/>
          <w:szCs w:val="24"/>
        </w:rPr>
        <w:t xml:space="preserve"> Ten </w:t>
      </w:r>
      <w:r w:rsidR="00854CB6" w:rsidRPr="00B044F4">
        <w:rPr>
          <w:sz w:val="24"/>
          <w:szCs w:val="24"/>
        </w:rPr>
        <w:t xml:space="preserve">totiž opomíjí skutečnost, že zatímco 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4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3 </w:t>
      </w:r>
      <w:r w:rsidR="00176999" w:rsidRPr="00B044F4">
        <w:rPr>
          <w:sz w:val="24"/>
          <w:szCs w:val="24"/>
        </w:rPr>
        <w:t>a 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5 zákona </w:t>
      </w:r>
      <w:r w:rsidR="00176999" w:rsidRPr="00B044F4">
        <w:rPr>
          <w:sz w:val="24"/>
          <w:szCs w:val="24"/>
        </w:rPr>
        <w:t>o </w:t>
      </w:r>
      <w:r w:rsidR="00854CB6" w:rsidRPr="00B044F4">
        <w:rPr>
          <w:sz w:val="24"/>
          <w:szCs w:val="24"/>
        </w:rPr>
        <w:t xml:space="preserve">ČT, na která </w:t>
      </w:r>
      <w:r w:rsidR="00D11A82" w:rsidRPr="00B044F4">
        <w:rPr>
          <w:sz w:val="24"/>
          <w:szCs w:val="24"/>
        </w:rPr>
        <w:t xml:space="preserve">nyní </w:t>
      </w:r>
      <w:r w:rsidR="00854CB6" w:rsidRPr="00B044F4">
        <w:rPr>
          <w:sz w:val="24"/>
          <w:szCs w:val="24"/>
        </w:rPr>
        <w:t xml:space="preserve">vykládané ustanovení odkazuje slovem „obdobně“, lze doslovně vztáhnout na členy dozorčí komise, přičemž 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4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3 obsahuje výčet předpokladů pro výkon funkce </w:t>
      </w:r>
      <w:r w:rsidR="00176999" w:rsidRPr="00B044F4">
        <w:rPr>
          <w:sz w:val="24"/>
          <w:szCs w:val="24"/>
        </w:rPr>
        <w:t>a 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5 </w:t>
      </w:r>
      <w:r w:rsidR="00854CB6" w:rsidRPr="00B044F4">
        <w:rPr>
          <w:sz w:val="24"/>
          <w:szCs w:val="24"/>
        </w:rPr>
        <w:lastRenderedPageBreak/>
        <w:t xml:space="preserve">zákaz neslučitelnosti funkcí, </w:t>
      </w:r>
      <w:r w:rsidR="00D11A82" w:rsidRPr="00B044F4">
        <w:rPr>
          <w:sz w:val="24"/>
          <w:szCs w:val="24"/>
        </w:rPr>
        <w:t xml:space="preserve">ustanovení 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6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1 </w:t>
      </w:r>
      <w:r w:rsidR="00176999" w:rsidRPr="00B044F4">
        <w:rPr>
          <w:sz w:val="24"/>
          <w:szCs w:val="24"/>
        </w:rPr>
        <w:t>a </w:t>
      </w:r>
      <w:r w:rsidR="00854CB6" w:rsidRPr="00B044F4">
        <w:rPr>
          <w:sz w:val="24"/>
          <w:szCs w:val="24"/>
        </w:rPr>
        <w:t xml:space="preserve">2 zákona </w:t>
      </w:r>
      <w:r w:rsidR="00176999" w:rsidRPr="00B044F4">
        <w:rPr>
          <w:sz w:val="24"/>
          <w:szCs w:val="24"/>
        </w:rPr>
        <w:t>o </w:t>
      </w:r>
      <w:r w:rsidR="00854CB6" w:rsidRPr="00B044F4">
        <w:rPr>
          <w:sz w:val="24"/>
          <w:szCs w:val="24"/>
        </w:rPr>
        <w:t xml:space="preserve">ČT nelze na členy dozorčí komise použít doslovně, protože odkazuje na specifika související </w:t>
      </w:r>
      <w:r w:rsidR="00176999" w:rsidRPr="00B044F4">
        <w:rPr>
          <w:sz w:val="24"/>
          <w:szCs w:val="24"/>
        </w:rPr>
        <w:t>s </w:t>
      </w:r>
      <w:r w:rsidR="00D11A82" w:rsidRPr="00B044F4">
        <w:rPr>
          <w:sz w:val="24"/>
          <w:szCs w:val="24"/>
        </w:rPr>
        <w:t>žalovanou</w:t>
      </w:r>
      <w:r w:rsidR="00854CB6" w:rsidRPr="00B044F4">
        <w:rPr>
          <w:sz w:val="24"/>
          <w:szCs w:val="24"/>
        </w:rPr>
        <w:t xml:space="preserve">, </w:t>
      </w:r>
      <w:r w:rsidR="00176999" w:rsidRPr="00B044F4">
        <w:rPr>
          <w:sz w:val="24"/>
          <w:szCs w:val="24"/>
        </w:rPr>
        <w:t>a </w:t>
      </w:r>
      <w:r w:rsidR="00157E27" w:rsidRPr="00B044F4">
        <w:rPr>
          <w:sz w:val="24"/>
          <w:szCs w:val="24"/>
        </w:rPr>
        <w:t>to konkrétně ve </w:t>
      </w:r>
      <w:r w:rsidR="00854CB6" w:rsidRPr="00B044F4">
        <w:rPr>
          <w:sz w:val="24"/>
          <w:szCs w:val="24"/>
        </w:rPr>
        <w:t xml:space="preserve">vztahu </w:t>
      </w:r>
      <w:r w:rsidR="00176999" w:rsidRPr="00B044F4">
        <w:rPr>
          <w:sz w:val="24"/>
          <w:szCs w:val="24"/>
        </w:rPr>
        <w:t>k </w:t>
      </w:r>
      <w:r w:rsidR="00854CB6" w:rsidRPr="00B044F4">
        <w:rPr>
          <w:sz w:val="24"/>
          <w:szCs w:val="24"/>
        </w:rPr>
        <w:t>předsedovi Poslanecké sněmovny [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6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1 </w:t>
      </w:r>
      <w:r w:rsidR="00176999" w:rsidRPr="00B044F4">
        <w:rPr>
          <w:sz w:val="24"/>
          <w:szCs w:val="24"/>
        </w:rPr>
        <w:t>písm. </w:t>
      </w:r>
      <w:r w:rsidR="00854CB6" w:rsidRPr="00B044F4">
        <w:rPr>
          <w:sz w:val="24"/>
          <w:szCs w:val="24"/>
        </w:rPr>
        <w:t xml:space="preserve">b)] </w:t>
      </w:r>
      <w:r w:rsidR="00176999" w:rsidRPr="00B044F4">
        <w:rPr>
          <w:sz w:val="24"/>
          <w:szCs w:val="24"/>
        </w:rPr>
        <w:t>a </w:t>
      </w:r>
      <w:r w:rsidR="00854CB6" w:rsidRPr="00B044F4">
        <w:rPr>
          <w:sz w:val="24"/>
          <w:szCs w:val="24"/>
        </w:rPr>
        <w:t xml:space="preserve">ve vztahu </w:t>
      </w:r>
      <w:r w:rsidR="00176999" w:rsidRPr="00B044F4">
        <w:rPr>
          <w:sz w:val="24"/>
          <w:szCs w:val="24"/>
        </w:rPr>
        <w:t>k </w:t>
      </w:r>
      <w:r w:rsidR="00854CB6" w:rsidRPr="00B044F4">
        <w:rPr>
          <w:sz w:val="24"/>
          <w:szCs w:val="24"/>
        </w:rPr>
        <w:t>Poslanecké sněmovně samotné (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6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2). Jinak řečeno, zatímco </w:t>
      </w:r>
      <w:r w:rsidR="00176999" w:rsidRPr="00B044F4">
        <w:rPr>
          <w:sz w:val="24"/>
          <w:szCs w:val="24"/>
        </w:rPr>
        <w:t>v 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4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3 </w:t>
      </w:r>
      <w:r w:rsidR="00176999" w:rsidRPr="00B044F4">
        <w:rPr>
          <w:sz w:val="24"/>
          <w:szCs w:val="24"/>
        </w:rPr>
        <w:t>a 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5 zákona </w:t>
      </w:r>
      <w:r w:rsidR="00176999" w:rsidRPr="00B044F4">
        <w:rPr>
          <w:sz w:val="24"/>
          <w:szCs w:val="24"/>
        </w:rPr>
        <w:t>o </w:t>
      </w:r>
      <w:r w:rsidR="00854CB6" w:rsidRPr="00B044F4">
        <w:rPr>
          <w:sz w:val="24"/>
          <w:szCs w:val="24"/>
        </w:rPr>
        <w:t xml:space="preserve">ČT stačí nahradit </w:t>
      </w:r>
      <w:r w:rsidR="00D11A82" w:rsidRPr="00B044F4">
        <w:rPr>
          <w:sz w:val="24"/>
          <w:szCs w:val="24"/>
        </w:rPr>
        <w:t>žalovanou</w:t>
      </w:r>
      <w:r w:rsidR="00854CB6" w:rsidRPr="00B044F4">
        <w:rPr>
          <w:sz w:val="24"/>
          <w:szCs w:val="24"/>
        </w:rPr>
        <w:t xml:space="preserve"> za dozorčí komisi, </w:t>
      </w:r>
      <w:r w:rsidR="00176999" w:rsidRPr="00B044F4">
        <w:rPr>
          <w:sz w:val="24"/>
          <w:szCs w:val="24"/>
        </w:rPr>
        <w:t>v </w:t>
      </w:r>
      <w:r w:rsidR="00E97BC9" w:rsidRPr="00B044F4">
        <w:rPr>
          <w:sz w:val="24"/>
          <w:szCs w:val="24"/>
        </w:rPr>
        <w:t>§ </w:t>
      </w:r>
      <w:r w:rsidR="00376CB6" w:rsidRPr="00B044F4">
        <w:rPr>
          <w:sz w:val="24"/>
          <w:szCs w:val="24"/>
        </w:rPr>
        <w:t>6 odst. 1 a 2</w:t>
      </w:r>
      <w:r w:rsidR="00854CB6" w:rsidRPr="00B044F4">
        <w:rPr>
          <w:sz w:val="24"/>
          <w:szCs w:val="24"/>
        </w:rPr>
        <w:t xml:space="preserve"> zákona </w:t>
      </w:r>
      <w:r w:rsidR="00176999" w:rsidRPr="00B044F4">
        <w:rPr>
          <w:sz w:val="24"/>
          <w:szCs w:val="24"/>
        </w:rPr>
        <w:t>o </w:t>
      </w:r>
      <w:r w:rsidR="00854CB6" w:rsidRPr="00B044F4">
        <w:rPr>
          <w:sz w:val="24"/>
          <w:szCs w:val="24"/>
        </w:rPr>
        <w:t>ČT musí b</w:t>
      </w:r>
      <w:r w:rsidR="00376CB6" w:rsidRPr="00B044F4">
        <w:rPr>
          <w:sz w:val="24"/>
          <w:szCs w:val="24"/>
        </w:rPr>
        <w:t>ýt pro potřeby aplikování těchto</w:t>
      </w:r>
      <w:r w:rsidR="00854CB6" w:rsidRPr="00B044F4">
        <w:rPr>
          <w:sz w:val="24"/>
          <w:szCs w:val="24"/>
        </w:rPr>
        <w:t xml:space="preserve"> ustanovení na dozorčí komisi zaměněny </w:t>
      </w:r>
      <w:r w:rsidR="00176999" w:rsidRPr="00B044F4">
        <w:rPr>
          <w:sz w:val="24"/>
          <w:szCs w:val="24"/>
        </w:rPr>
        <w:t>i </w:t>
      </w:r>
      <w:r w:rsidR="00854CB6" w:rsidRPr="00B044F4">
        <w:rPr>
          <w:sz w:val="24"/>
          <w:szCs w:val="24"/>
        </w:rPr>
        <w:t xml:space="preserve">další části normativního textu. </w:t>
      </w:r>
      <w:r w:rsidR="00176999" w:rsidRPr="00B044F4">
        <w:rPr>
          <w:sz w:val="24"/>
          <w:szCs w:val="24"/>
        </w:rPr>
        <w:t>V </w:t>
      </w:r>
      <w:r w:rsidR="00854CB6" w:rsidRPr="00B044F4">
        <w:rPr>
          <w:sz w:val="24"/>
          <w:szCs w:val="24"/>
        </w:rPr>
        <w:t xml:space="preserve">prvním případě tedy to, co platí pro </w:t>
      </w:r>
      <w:r w:rsidR="00D11A82" w:rsidRPr="00B044F4">
        <w:rPr>
          <w:sz w:val="24"/>
          <w:szCs w:val="24"/>
        </w:rPr>
        <w:t>žalovanou</w:t>
      </w:r>
      <w:r w:rsidR="00854CB6" w:rsidRPr="00B044F4">
        <w:rPr>
          <w:sz w:val="24"/>
          <w:szCs w:val="24"/>
        </w:rPr>
        <w:t xml:space="preserve">, platí ve stejném znění </w:t>
      </w:r>
      <w:r w:rsidR="00176999" w:rsidRPr="00B044F4">
        <w:rPr>
          <w:sz w:val="24"/>
          <w:szCs w:val="24"/>
        </w:rPr>
        <w:t>i </w:t>
      </w:r>
      <w:r w:rsidR="00854CB6" w:rsidRPr="00B044F4">
        <w:rPr>
          <w:sz w:val="24"/>
          <w:szCs w:val="24"/>
        </w:rPr>
        <w:t xml:space="preserve">pro dozorčí komisi, </w:t>
      </w:r>
      <w:r w:rsidR="00176999" w:rsidRPr="00B044F4">
        <w:rPr>
          <w:sz w:val="24"/>
          <w:szCs w:val="24"/>
        </w:rPr>
        <w:t>a </w:t>
      </w:r>
      <w:r w:rsidR="00854CB6" w:rsidRPr="00B044F4">
        <w:rPr>
          <w:sz w:val="24"/>
          <w:szCs w:val="24"/>
        </w:rPr>
        <w:t xml:space="preserve">proto je ze strany zákonodárce zcela namístě použití slova </w:t>
      </w:r>
      <w:r w:rsidR="00157E27" w:rsidRPr="00B044F4">
        <w:rPr>
          <w:sz w:val="24"/>
          <w:szCs w:val="24"/>
        </w:rPr>
        <w:t>„obdobně“. Ve druhém případě je </w:t>
      </w:r>
      <w:r w:rsidR="00854CB6" w:rsidRPr="00B044F4">
        <w:rPr>
          <w:sz w:val="24"/>
          <w:szCs w:val="24"/>
        </w:rPr>
        <w:t xml:space="preserve">zapotřebí znění ustanovení přizpůsobit </w:t>
      </w:r>
      <w:r w:rsidR="00176999" w:rsidRPr="00B044F4">
        <w:rPr>
          <w:sz w:val="24"/>
          <w:szCs w:val="24"/>
        </w:rPr>
        <w:t>s </w:t>
      </w:r>
      <w:r w:rsidR="00854CB6" w:rsidRPr="00B044F4">
        <w:rPr>
          <w:sz w:val="24"/>
          <w:szCs w:val="24"/>
        </w:rPr>
        <w:t xml:space="preserve">ohledem na ustanovení </w:t>
      </w:r>
      <w:r w:rsidR="00E97BC9" w:rsidRPr="00B044F4">
        <w:rPr>
          <w:sz w:val="24"/>
          <w:szCs w:val="24"/>
        </w:rPr>
        <w:t>§ </w:t>
      </w:r>
      <w:r w:rsidR="00854CB6" w:rsidRPr="00B044F4">
        <w:rPr>
          <w:sz w:val="24"/>
          <w:szCs w:val="24"/>
        </w:rPr>
        <w:t xml:space="preserve">8a </w:t>
      </w:r>
      <w:r w:rsidR="00176999" w:rsidRPr="00B044F4">
        <w:rPr>
          <w:sz w:val="24"/>
          <w:szCs w:val="24"/>
        </w:rPr>
        <w:t>odst. </w:t>
      </w:r>
      <w:r w:rsidR="00854CB6" w:rsidRPr="00B044F4">
        <w:rPr>
          <w:sz w:val="24"/>
          <w:szCs w:val="24"/>
        </w:rPr>
        <w:t xml:space="preserve">2 zákona </w:t>
      </w:r>
      <w:r w:rsidR="00176999" w:rsidRPr="00B044F4">
        <w:rPr>
          <w:sz w:val="24"/>
          <w:szCs w:val="24"/>
        </w:rPr>
        <w:t>o </w:t>
      </w:r>
      <w:r w:rsidR="00854CB6" w:rsidRPr="00B044F4">
        <w:rPr>
          <w:sz w:val="24"/>
          <w:szCs w:val="24"/>
        </w:rPr>
        <w:t xml:space="preserve">ČT, podle kterého jsou členové dozorčí komise odvoláváni </w:t>
      </w:r>
      <w:r w:rsidR="00D11A82" w:rsidRPr="00B044F4">
        <w:rPr>
          <w:sz w:val="24"/>
          <w:szCs w:val="24"/>
        </w:rPr>
        <w:t>žalovanou</w:t>
      </w:r>
      <w:r w:rsidR="00854CB6" w:rsidRPr="00B044F4">
        <w:rPr>
          <w:sz w:val="24"/>
          <w:szCs w:val="24"/>
        </w:rPr>
        <w:t>, nikoliv Poslaneckou sněmovnou (</w:t>
      </w:r>
      <w:r w:rsidR="00176999" w:rsidRPr="00B044F4">
        <w:rPr>
          <w:sz w:val="24"/>
          <w:szCs w:val="24"/>
        </w:rPr>
        <w:t>z </w:t>
      </w:r>
      <w:r w:rsidR="00854CB6" w:rsidRPr="00B044F4">
        <w:rPr>
          <w:sz w:val="24"/>
          <w:szCs w:val="24"/>
        </w:rPr>
        <w:t xml:space="preserve">čehož také plyne, že rovněž písemně učiněné vzdání se funkce </w:t>
      </w:r>
      <w:r w:rsidR="00D11A82" w:rsidRPr="00B044F4">
        <w:rPr>
          <w:sz w:val="24"/>
          <w:szCs w:val="24"/>
        </w:rPr>
        <w:t xml:space="preserve">člena dozorčí komise </w:t>
      </w:r>
      <w:r w:rsidR="00854CB6" w:rsidRPr="00B044F4">
        <w:rPr>
          <w:sz w:val="24"/>
          <w:szCs w:val="24"/>
        </w:rPr>
        <w:t xml:space="preserve">nebude doručováno předsedovi Poslanecké sněmovny), </w:t>
      </w:r>
      <w:r w:rsidR="00176999" w:rsidRPr="00B044F4">
        <w:rPr>
          <w:sz w:val="24"/>
          <w:szCs w:val="24"/>
        </w:rPr>
        <w:t>a z </w:t>
      </w:r>
      <w:r w:rsidR="00854CB6" w:rsidRPr="00B044F4">
        <w:rPr>
          <w:sz w:val="24"/>
          <w:szCs w:val="24"/>
        </w:rPr>
        <w:t>tohoto důvodu je ze strany zákonodárce zcela přirozené použití slova „přiměřeně“.</w:t>
      </w:r>
      <w:r w:rsidR="00F912AA" w:rsidRPr="00B044F4">
        <w:rPr>
          <w:sz w:val="24"/>
          <w:szCs w:val="24"/>
        </w:rPr>
        <w:t xml:space="preserve"> </w:t>
      </w:r>
      <w:r w:rsidR="00176999" w:rsidRPr="00B044F4">
        <w:rPr>
          <w:sz w:val="24"/>
          <w:szCs w:val="24"/>
        </w:rPr>
        <w:t>I </w:t>
      </w:r>
      <w:r w:rsidR="00375E33" w:rsidRPr="00B044F4">
        <w:rPr>
          <w:sz w:val="24"/>
          <w:szCs w:val="24"/>
        </w:rPr>
        <w:t xml:space="preserve">pokud by </w:t>
      </w:r>
      <w:r w:rsidR="00F912AA" w:rsidRPr="00B044F4">
        <w:rPr>
          <w:sz w:val="24"/>
          <w:szCs w:val="24"/>
        </w:rPr>
        <w:t>byl akceptován</w:t>
      </w:r>
      <w:r w:rsidR="00375E33" w:rsidRPr="00B044F4">
        <w:rPr>
          <w:sz w:val="24"/>
          <w:szCs w:val="24"/>
        </w:rPr>
        <w:t xml:space="preserve"> výklad, podle nějž použití </w:t>
      </w:r>
      <w:r w:rsidR="00854CB6" w:rsidRPr="00B044F4">
        <w:rPr>
          <w:sz w:val="24"/>
          <w:szCs w:val="24"/>
        </w:rPr>
        <w:t>slov</w:t>
      </w:r>
      <w:r w:rsidR="00375E33" w:rsidRPr="00B044F4">
        <w:rPr>
          <w:sz w:val="24"/>
          <w:szCs w:val="24"/>
        </w:rPr>
        <w:t>a</w:t>
      </w:r>
      <w:r w:rsidR="00854CB6" w:rsidRPr="00B044F4">
        <w:rPr>
          <w:sz w:val="24"/>
          <w:szCs w:val="24"/>
        </w:rPr>
        <w:t xml:space="preserve"> „přiměřeně“ </w:t>
      </w:r>
      <w:r w:rsidR="00176999" w:rsidRPr="00B044F4">
        <w:rPr>
          <w:sz w:val="24"/>
          <w:szCs w:val="24"/>
        </w:rPr>
        <w:t>v </w:t>
      </w:r>
      <w:r w:rsidR="00854CB6" w:rsidRPr="00B044F4">
        <w:rPr>
          <w:sz w:val="24"/>
          <w:szCs w:val="24"/>
        </w:rPr>
        <w:t xml:space="preserve">textu </w:t>
      </w:r>
      <w:r w:rsidR="00D11A82" w:rsidRPr="00B044F4">
        <w:rPr>
          <w:sz w:val="24"/>
          <w:szCs w:val="24"/>
        </w:rPr>
        <w:t xml:space="preserve">§ 8a odst. </w:t>
      </w:r>
      <w:r w:rsidR="00F912AA" w:rsidRPr="00B044F4">
        <w:rPr>
          <w:sz w:val="24"/>
          <w:szCs w:val="24"/>
        </w:rPr>
        <w:t>3</w:t>
      </w:r>
      <w:r w:rsidR="00376CB6" w:rsidRPr="00B044F4">
        <w:rPr>
          <w:sz w:val="24"/>
          <w:szCs w:val="24"/>
        </w:rPr>
        <w:t xml:space="preserve"> věty třetí</w:t>
      </w:r>
      <w:r w:rsidR="00F912AA" w:rsidRPr="00B044F4">
        <w:rPr>
          <w:sz w:val="24"/>
          <w:szCs w:val="24"/>
        </w:rPr>
        <w:t xml:space="preserve"> zákona o ČT</w:t>
      </w:r>
      <w:r w:rsidR="00157E27" w:rsidRPr="00B044F4">
        <w:rPr>
          <w:sz w:val="24"/>
          <w:szCs w:val="24"/>
        </w:rPr>
        <w:t xml:space="preserve"> umožňuje odchýlit se </w:t>
      </w:r>
      <w:r w:rsidR="00854CB6" w:rsidRPr="00B044F4">
        <w:rPr>
          <w:sz w:val="24"/>
          <w:szCs w:val="24"/>
        </w:rPr>
        <w:t>od textu ustanovení, na které je odkazováno ve větší míř</w:t>
      </w:r>
      <w:r w:rsidR="00157E27" w:rsidRPr="00B044F4">
        <w:rPr>
          <w:sz w:val="24"/>
          <w:szCs w:val="24"/>
        </w:rPr>
        <w:t>e, než je naznačeno výše, nelze </w:t>
      </w:r>
      <w:r w:rsidR="00176999" w:rsidRPr="00B044F4">
        <w:rPr>
          <w:sz w:val="24"/>
          <w:szCs w:val="24"/>
        </w:rPr>
        <w:t>v </w:t>
      </w:r>
      <w:r w:rsidR="00854CB6" w:rsidRPr="00B044F4">
        <w:rPr>
          <w:sz w:val="24"/>
          <w:szCs w:val="24"/>
        </w:rPr>
        <w:t xml:space="preserve">žádném případě dovozovat absolutní negaci principu enumerativnosti veřejnoprávních pretenzí, jak učinil </w:t>
      </w:r>
      <w:r w:rsidR="00375E33" w:rsidRPr="00B044F4">
        <w:rPr>
          <w:sz w:val="24"/>
          <w:szCs w:val="24"/>
        </w:rPr>
        <w:t>m</w:t>
      </w:r>
      <w:r w:rsidR="00854CB6" w:rsidRPr="00B044F4">
        <w:rPr>
          <w:sz w:val="24"/>
          <w:szCs w:val="24"/>
        </w:rPr>
        <w:t xml:space="preserve">ěstský soud. </w:t>
      </w:r>
      <w:r w:rsidR="00176999" w:rsidRPr="00B044F4">
        <w:rPr>
          <w:sz w:val="24"/>
          <w:szCs w:val="24"/>
        </w:rPr>
        <w:t>I </w:t>
      </w:r>
      <w:r w:rsidR="00854CB6" w:rsidRPr="00B044F4">
        <w:rPr>
          <w:sz w:val="24"/>
          <w:szCs w:val="24"/>
        </w:rPr>
        <w:t xml:space="preserve">extenzivní výklad předmětné normy vycházející </w:t>
      </w:r>
      <w:r w:rsidR="00176999" w:rsidRPr="00B044F4">
        <w:rPr>
          <w:sz w:val="24"/>
          <w:szCs w:val="24"/>
        </w:rPr>
        <w:t>z </w:t>
      </w:r>
      <w:r w:rsidR="00854CB6" w:rsidRPr="00B044F4">
        <w:rPr>
          <w:sz w:val="24"/>
          <w:szCs w:val="24"/>
        </w:rPr>
        <w:t xml:space="preserve">použití slova „přiměřeně“ </w:t>
      </w:r>
      <w:r w:rsidR="00176999" w:rsidRPr="00B044F4">
        <w:rPr>
          <w:sz w:val="24"/>
          <w:szCs w:val="24"/>
        </w:rPr>
        <w:t>v </w:t>
      </w:r>
      <w:r w:rsidR="00854CB6" w:rsidRPr="00B044F4">
        <w:rPr>
          <w:sz w:val="24"/>
          <w:szCs w:val="24"/>
        </w:rPr>
        <w:t xml:space="preserve">odkazu na ni totiž musí vycházet </w:t>
      </w:r>
      <w:r w:rsidR="00176999" w:rsidRPr="00B044F4">
        <w:rPr>
          <w:sz w:val="24"/>
          <w:szCs w:val="24"/>
        </w:rPr>
        <w:t>z </w:t>
      </w:r>
      <w:r w:rsidR="00854CB6" w:rsidRPr="00B044F4">
        <w:rPr>
          <w:sz w:val="24"/>
          <w:szCs w:val="24"/>
        </w:rPr>
        <w:t xml:space="preserve">normy samotné, resp. </w:t>
      </w:r>
      <w:r w:rsidR="00176999" w:rsidRPr="00B044F4">
        <w:rPr>
          <w:sz w:val="24"/>
          <w:szCs w:val="24"/>
        </w:rPr>
        <w:t>z </w:t>
      </w:r>
      <w:r w:rsidR="00854CB6" w:rsidRPr="00B044F4">
        <w:rPr>
          <w:sz w:val="24"/>
          <w:szCs w:val="24"/>
        </w:rPr>
        <w:t xml:space="preserve">jejích částí, kterými jsou </w:t>
      </w:r>
      <w:r w:rsidR="00176999" w:rsidRPr="00B044F4">
        <w:rPr>
          <w:sz w:val="24"/>
          <w:szCs w:val="24"/>
        </w:rPr>
        <w:t>v </w:t>
      </w:r>
      <w:r w:rsidR="00854CB6" w:rsidRPr="00B044F4">
        <w:rPr>
          <w:sz w:val="24"/>
          <w:szCs w:val="24"/>
        </w:rPr>
        <w:t xml:space="preserve">tomto případě jednotlivé důvody pro odvolání člena </w:t>
      </w:r>
      <w:r w:rsidR="00F912AA" w:rsidRPr="00B044F4">
        <w:rPr>
          <w:sz w:val="24"/>
          <w:szCs w:val="24"/>
        </w:rPr>
        <w:t>žalované</w:t>
      </w:r>
      <w:r w:rsidR="00854CB6" w:rsidRPr="00B044F4">
        <w:rPr>
          <w:sz w:val="24"/>
          <w:szCs w:val="24"/>
        </w:rPr>
        <w:t xml:space="preserve"> (resp. člena </w:t>
      </w:r>
      <w:r w:rsidR="00375E33" w:rsidRPr="00B044F4">
        <w:rPr>
          <w:sz w:val="24"/>
          <w:szCs w:val="24"/>
        </w:rPr>
        <w:t>d</w:t>
      </w:r>
      <w:r w:rsidR="00854CB6" w:rsidRPr="00B044F4">
        <w:rPr>
          <w:sz w:val="24"/>
          <w:szCs w:val="24"/>
        </w:rPr>
        <w:t xml:space="preserve">ozorčí komise). Přiměřené použití normy, která zakládá důvody pro odvolání </w:t>
      </w:r>
      <w:r w:rsidR="00176999" w:rsidRPr="00B044F4">
        <w:rPr>
          <w:sz w:val="24"/>
          <w:szCs w:val="24"/>
        </w:rPr>
        <w:t>z </w:t>
      </w:r>
      <w:r w:rsidR="00854CB6" w:rsidRPr="00B044F4">
        <w:rPr>
          <w:sz w:val="24"/>
          <w:szCs w:val="24"/>
        </w:rPr>
        <w:t xml:space="preserve">funkce, nemůže znamenat prakticky její nepoužití. Postrádá smysl, aby zákonodárce odkazoval na normu </w:t>
      </w:r>
      <w:r w:rsidR="00176999" w:rsidRPr="00B044F4">
        <w:rPr>
          <w:sz w:val="24"/>
          <w:szCs w:val="24"/>
        </w:rPr>
        <w:t>s</w:t>
      </w:r>
      <w:r w:rsidR="00157E27" w:rsidRPr="00B044F4">
        <w:rPr>
          <w:sz w:val="24"/>
          <w:szCs w:val="24"/>
        </w:rPr>
        <w:t xml:space="preserve"> tím, aby nebyla </w:t>
      </w:r>
      <w:r w:rsidR="00376CB6" w:rsidRPr="00B044F4">
        <w:rPr>
          <w:sz w:val="24"/>
          <w:szCs w:val="24"/>
        </w:rPr>
        <w:t>aplikována</w:t>
      </w:r>
      <w:r w:rsidR="00854CB6" w:rsidRPr="00B044F4">
        <w:rPr>
          <w:sz w:val="24"/>
          <w:szCs w:val="24"/>
        </w:rPr>
        <w:t>.</w:t>
      </w:r>
    </w:p>
    <w:p w14:paraId="3406C462" w14:textId="02F0CCAA" w:rsidR="006117F2" w:rsidRPr="00B044F4" w:rsidRDefault="00E558A7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Stěžovatelé dále namítli, že žalobou napadené usnesení postrádá v rozporu s § 68 zákona </w:t>
      </w:r>
      <w:r w:rsidR="00157E27" w:rsidRPr="00B044F4">
        <w:rPr>
          <w:sz w:val="24"/>
          <w:szCs w:val="24"/>
        </w:rPr>
        <w:t>č. </w:t>
      </w:r>
      <w:r w:rsidRPr="00B044F4">
        <w:rPr>
          <w:sz w:val="24"/>
          <w:szCs w:val="24"/>
        </w:rPr>
        <w:t>500/2004 Sb., správní řád, ve znění pozdějších předpisů (dále j</w:t>
      </w:r>
      <w:r w:rsidR="00157E27" w:rsidRPr="00B044F4">
        <w:rPr>
          <w:sz w:val="24"/>
          <w:szCs w:val="24"/>
        </w:rPr>
        <w:t>en „správní řád“), odůvodnění a </w:t>
      </w:r>
      <w:r w:rsidRPr="00B044F4">
        <w:rPr>
          <w:sz w:val="24"/>
          <w:szCs w:val="24"/>
        </w:rPr>
        <w:t xml:space="preserve">poučení o opravných prostředcích. Proti tomuto rozhodnutí bylo dále možné podat odvolání k nadřízenému orgánu, </w:t>
      </w:r>
      <w:r w:rsidR="00376CB6" w:rsidRPr="00B044F4">
        <w:rPr>
          <w:sz w:val="24"/>
          <w:szCs w:val="24"/>
        </w:rPr>
        <w:t>jímž</w:t>
      </w:r>
      <w:r w:rsidRPr="00B044F4">
        <w:rPr>
          <w:sz w:val="24"/>
          <w:szCs w:val="24"/>
        </w:rPr>
        <w:t xml:space="preserve"> byla podle § 178 odst. 2 věty třetí za středníkem Poslanecká sněmovna, která žalovanou pověřila výkonem státní správy. </w:t>
      </w:r>
      <w:r w:rsidR="001C3FEB" w:rsidRPr="00B044F4">
        <w:rPr>
          <w:sz w:val="24"/>
          <w:szCs w:val="24"/>
        </w:rPr>
        <w:t xml:space="preserve">Městský soud přitom </w:t>
      </w:r>
      <w:r w:rsidR="001E0DA2" w:rsidRPr="00B044F4">
        <w:rPr>
          <w:sz w:val="24"/>
          <w:szCs w:val="24"/>
        </w:rPr>
        <w:t>nedostatečn</w:t>
      </w:r>
      <w:r w:rsidR="00747AA6" w:rsidRPr="00B044F4">
        <w:rPr>
          <w:sz w:val="24"/>
          <w:szCs w:val="24"/>
        </w:rPr>
        <w:t>ě</w:t>
      </w:r>
      <w:r w:rsidR="001E0DA2" w:rsidRPr="00B044F4">
        <w:rPr>
          <w:sz w:val="24"/>
          <w:szCs w:val="24"/>
        </w:rPr>
        <w:t xml:space="preserve"> odůvodnil své závěry </w:t>
      </w:r>
      <w:r w:rsidR="00176999" w:rsidRPr="00B044F4">
        <w:rPr>
          <w:sz w:val="24"/>
          <w:szCs w:val="24"/>
        </w:rPr>
        <w:t>o </w:t>
      </w:r>
      <w:r w:rsidR="001E0DA2" w:rsidRPr="00B044F4">
        <w:rPr>
          <w:sz w:val="24"/>
          <w:szCs w:val="24"/>
        </w:rPr>
        <w:t xml:space="preserve">vynětí </w:t>
      </w:r>
      <w:r w:rsidR="00F5131C" w:rsidRPr="00B044F4">
        <w:rPr>
          <w:sz w:val="24"/>
          <w:szCs w:val="24"/>
        </w:rPr>
        <w:t>postupu</w:t>
      </w:r>
      <w:r w:rsidR="001E0DA2" w:rsidRPr="00B044F4">
        <w:rPr>
          <w:sz w:val="24"/>
          <w:szCs w:val="24"/>
        </w:rPr>
        <w:t xml:space="preserve"> </w:t>
      </w:r>
      <w:r w:rsidR="007C26F4" w:rsidRPr="00B044F4">
        <w:rPr>
          <w:sz w:val="24"/>
          <w:szCs w:val="24"/>
        </w:rPr>
        <w:t>žalované</w:t>
      </w:r>
      <w:r w:rsidR="001E0DA2" w:rsidRPr="00B044F4">
        <w:rPr>
          <w:sz w:val="24"/>
          <w:szCs w:val="24"/>
        </w:rPr>
        <w:t xml:space="preserve"> </w:t>
      </w:r>
      <w:r w:rsidR="00176999" w:rsidRPr="00B044F4">
        <w:rPr>
          <w:sz w:val="24"/>
          <w:szCs w:val="24"/>
        </w:rPr>
        <w:t>z </w:t>
      </w:r>
      <w:r w:rsidR="001E0DA2" w:rsidRPr="00B044F4">
        <w:rPr>
          <w:sz w:val="24"/>
          <w:szCs w:val="24"/>
        </w:rPr>
        <w:t xml:space="preserve">působnosti správního řádu </w:t>
      </w:r>
      <w:r w:rsidR="00176999" w:rsidRPr="00B044F4">
        <w:rPr>
          <w:sz w:val="24"/>
          <w:szCs w:val="24"/>
        </w:rPr>
        <w:t>v </w:t>
      </w:r>
      <w:r w:rsidR="001E0DA2" w:rsidRPr="00B044F4">
        <w:rPr>
          <w:sz w:val="24"/>
          <w:szCs w:val="24"/>
        </w:rPr>
        <w:t xml:space="preserve">otázce náležitostí jejích rozhodnutí </w:t>
      </w:r>
      <w:r w:rsidR="00176999" w:rsidRPr="00B044F4">
        <w:rPr>
          <w:sz w:val="24"/>
          <w:szCs w:val="24"/>
        </w:rPr>
        <w:t>a o </w:t>
      </w:r>
      <w:r w:rsidR="001E0DA2" w:rsidRPr="00B044F4">
        <w:rPr>
          <w:sz w:val="24"/>
          <w:szCs w:val="24"/>
        </w:rPr>
        <w:t>vyloučení dvouinstančního řízení</w:t>
      </w:r>
      <w:r w:rsidR="00F912AA" w:rsidRPr="00B044F4">
        <w:rPr>
          <w:sz w:val="24"/>
          <w:szCs w:val="24"/>
        </w:rPr>
        <w:t>,</w:t>
      </w:r>
      <w:r w:rsidR="001E0DA2" w:rsidRPr="00B044F4">
        <w:rPr>
          <w:sz w:val="24"/>
          <w:szCs w:val="24"/>
        </w:rPr>
        <w:t xml:space="preserve"> </w:t>
      </w:r>
      <w:r w:rsidR="00176999" w:rsidRPr="00B044F4">
        <w:rPr>
          <w:sz w:val="24"/>
          <w:szCs w:val="24"/>
        </w:rPr>
        <w:t>v </w:t>
      </w:r>
      <w:r w:rsidR="00F912AA" w:rsidRPr="00B044F4">
        <w:rPr>
          <w:sz w:val="24"/>
          <w:szCs w:val="24"/>
        </w:rPr>
        <w:t>důsledku čehož je napadený rozsudek</w:t>
      </w:r>
      <w:r w:rsidR="001E0DA2" w:rsidRPr="00B044F4">
        <w:rPr>
          <w:sz w:val="24"/>
          <w:szCs w:val="24"/>
        </w:rPr>
        <w:t xml:space="preserve"> </w:t>
      </w:r>
      <w:r w:rsidR="00F912AA" w:rsidRPr="00B044F4">
        <w:rPr>
          <w:sz w:val="24"/>
          <w:szCs w:val="24"/>
        </w:rPr>
        <w:t>zčásti nepřezkoumatelný</w:t>
      </w:r>
      <w:r w:rsidR="001E0DA2" w:rsidRPr="00B044F4">
        <w:rPr>
          <w:sz w:val="24"/>
          <w:szCs w:val="24"/>
        </w:rPr>
        <w:t>.</w:t>
      </w:r>
    </w:p>
    <w:p w14:paraId="694F2A52" w14:textId="38FCF5F5" w:rsidR="002A193E" w:rsidRPr="00B044F4" w:rsidRDefault="002A193E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S ohledem na tyto skutečnosti stěžovatelé navrhli zrušení napadeného rozsudku i usnesení žalované. </w:t>
      </w:r>
    </w:p>
    <w:p w14:paraId="2D54DEC1" w14:textId="3BC1B839" w:rsidR="00212BFF" w:rsidRPr="00B044F4" w:rsidRDefault="00856E4A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Žalovaná ve svém vyjádření </w:t>
      </w:r>
      <w:r w:rsidR="00F5131C" w:rsidRPr="00B044F4">
        <w:rPr>
          <w:sz w:val="24"/>
          <w:szCs w:val="24"/>
        </w:rPr>
        <w:t xml:space="preserve">bez bližší specifikace </w:t>
      </w:r>
      <w:r w:rsidR="00212BFF" w:rsidRPr="00B044F4">
        <w:rPr>
          <w:sz w:val="24"/>
          <w:szCs w:val="24"/>
        </w:rPr>
        <w:t xml:space="preserve">zpochybnila pravomoc správních soudů k přezkumu rozhodnutí </w:t>
      </w:r>
      <w:r w:rsidR="00176999" w:rsidRPr="00B044F4">
        <w:rPr>
          <w:sz w:val="24"/>
          <w:szCs w:val="24"/>
        </w:rPr>
        <w:t>o </w:t>
      </w:r>
      <w:r w:rsidR="00212BFF" w:rsidRPr="00B044F4">
        <w:rPr>
          <w:sz w:val="24"/>
          <w:szCs w:val="24"/>
        </w:rPr>
        <w:t>odvolání členů d</w:t>
      </w:r>
      <w:r w:rsidR="00541371" w:rsidRPr="00B044F4">
        <w:rPr>
          <w:sz w:val="24"/>
          <w:szCs w:val="24"/>
        </w:rPr>
        <w:t xml:space="preserve">ozorčí komise. Ve zbytku se </w:t>
      </w:r>
      <w:r w:rsidRPr="00B044F4">
        <w:rPr>
          <w:sz w:val="24"/>
          <w:szCs w:val="24"/>
        </w:rPr>
        <w:t xml:space="preserve">ztotožnila se </w:t>
      </w:r>
      <w:r w:rsidR="00541371" w:rsidRPr="00B044F4">
        <w:rPr>
          <w:sz w:val="24"/>
          <w:szCs w:val="24"/>
        </w:rPr>
        <w:t>závěry rozsudku městského soudu. Dále uvedla, že v</w:t>
      </w:r>
      <w:r w:rsidR="00DA1B82" w:rsidRPr="00B044F4">
        <w:rPr>
          <w:sz w:val="24"/>
          <w:szCs w:val="24"/>
        </w:rPr>
        <w:t>ý</w:t>
      </w:r>
      <w:r w:rsidR="00541371" w:rsidRPr="00B044F4">
        <w:rPr>
          <w:sz w:val="24"/>
          <w:szCs w:val="24"/>
        </w:rPr>
        <w:t>raz „přiměře</w:t>
      </w:r>
      <w:r w:rsidR="00157E27" w:rsidRPr="00B044F4">
        <w:rPr>
          <w:sz w:val="24"/>
          <w:szCs w:val="24"/>
        </w:rPr>
        <w:t>ně“ umožňuje široký prostor pro </w:t>
      </w:r>
      <w:r w:rsidR="00541371" w:rsidRPr="00B044F4">
        <w:rPr>
          <w:sz w:val="24"/>
          <w:szCs w:val="24"/>
        </w:rPr>
        <w:t>interpretaci ap</w:t>
      </w:r>
      <w:r w:rsidR="00F5131C" w:rsidRPr="00B044F4">
        <w:rPr>
          <w:sz w:val="24"/>
          <w:szCs w:val="24"/>
        </w:rPr>
        <w:t>likovaného ustanovení, které tak</w:t>
      </w:r>
      <w:r w:rsidR="00541371" w:rsidRPr="00B044F4">
        <w:rPr>
          <w:sz w:val="24"/>
          <w:szCs w:val="24"/>
        </w:rPr>
        <w:t xml:space="preserve"> představuje pouze demonstrativní výčet důvodů pro odvolání z funkce člena dozorčí komise. S její prací a výsledky přitom byla žalovaná dlouhodobě nespokojena, na což opakovaně upozorňovala. Výhrady vůči</w:t>
      </w:r>
      <w:r w:rsidR="00BF028B" w:rsidRPr="00B044F4">
        <w:rPr>
          <w:sz w:val="24"/>
          <w:szCs w:val="24"/>
        </w:rPr>
        <w:t xml:space="preserve"> činnosti</w:t>
      </w:r>
      <w:r w:rsidR="00F5131C" w:rsidRPr="00B044F4">
        <w:rPr>
          <w:sz w:val="24"/>
          <w:szCs w:val="24"/>
        </w:rPr>
        <w:t xml:space="preserve"> dozorčí komise</w:t>
      </w:r>
      <w:r w:rsidR="00541371" w:rsidRPr="00B044F4">
        <w:rPr>
          <w:sz w:val="24"/>
          <w:szCs w:val="24"/>
        </w:rPr>
        <w:t xml:space="preserve"> vyslovila </w:t>
      </w:r>
      <w:r w:rsidR="00BF028B" w:rsidRPr="00B044F4">
        <w:rPr>
          <w:sz w:val="24"/>
          <w:szCs w:val="24"/>
        </w:rPr>
        <w:t xml:space="preserve">již </w:t>
      </w:r>
      <w:r w:rsidR="00541371" w:rsidRPr="00B044F4">
        <w:rPr>
          <w:sz w:val="24"/>
          <w:szCs w:val="24"/>
        </w:rPr>
        <w:t xml:space="preserve">v květnu a srpnu 2020 a </w:t>
      </w:r>
      <w:r w:rsidR="00BF028B" w:rsidRPr="00B044F4">
        <w:rPr>
          <w:sz w:val="24"/>
          <w:szCs w:val="24"/>
        </w:rPr>
        <w:t>v druhém z těcht</w:t>
      </w:r>
      <w:r w:rsidR="00157E27" w:rsidRPr="00B044F4">
        <w:rPr>
          <w:sz w:val="24"/>
          <w:szCs w:val="24"/>
        </w:rPr>
        <w:t>o měsíců již bylo navrženo její </w:t>
      </w:r>
      <w:r w:rsidR="00BF028B" w:rsidRPr="00B044F4">
        <w:rPr>
          <w:sz w:val="24"/>
          <w:szCs w:val="24"/>
        </w:rPr>
        <w:t>o</w:t>
      </w:r>
      <w:r w:rsidR="00A349FF" w:rsidRPr="00B044F4">
        <w:rPr>
          <w:sz w:val="24"/>
          <w:szCs w:val="24"/>
        </w:rPr>
        <w:t>dvolání. I přes tuto skutečnost</w:t>
      </w:r>
      <w:r w:rsidR="00BF028B" w:rsidRPr="00B044F4">
        <w:rPr>
          <w:sz w:val="24"/>
          <w:szCs w:val="24"/>
        </w:rPr>
        <w:t xml:space="preserve"> však dozorčí komise nezjednala nápravu. Pokud tedy dozorčí komise opakovaně neplnila své povinnosti stanovené zákonem, byl dán důvod pro její odvolání. </w:t>
      </w:r>
      <w:r w:rsidR="00F5131C" w:rsidRPr="00B044F4">
        <w:rPr>
          <w:sz w:val="24"/>
          <w:szCs w:val="24"/>
        </w:rPr>
        <w:t>U</w:t>
      </w:r>
      <w:r w:rsidR="00BF028B" w:rsidRPr="00B044F4">
        <w:rPr>
          <w:sz w:val="24"/>
          <w:szCs w:val="24"/>
        </w:rPr>
        <w:t xml:space="preserve">snesení o odvolání </w:t>
      </w:r>
      <w:r w:rsidR="00F5131C" w:rsidRPr="00B044F4">
        <w:rPr>
          <w:sz w:val="24"/>
          <w:szCs w:val="24"/>
        </w:rPr>
        <w:t xml:space="preserve">nemuselo </w:t>
      </w:r>
      <w:r w:rsidR="00BF028B" w:rsidRPr="00B044F4">
        <w:rPr>
          <w:sz w:val="24"/>
          <w:szCs w:val="24"/>
        </w:rPr>
        <w:t xml:space="preserve">obsahovat náležitosti stanovené správním řádem. Navíc důvody odvolání dozorčí komise byly zcela jednoznačně známy. </w:t>
      </w:r>
      <w:r w:rsidR="00A349FF" w:rsidRPr="00B044F4">
        <w:rPr>
          <w:sz w:val="24"/>
          <w:szCs w:val="24"/>
        </w:rPr>
        <w:t>Na základě těchto sk</w:t>
      </w:r>
      <w:r w:rsidR="00F5131C" w:rsidRPr="00B044F4">
        <w:rPr>
          <w:sz w:val="24"/>
          <w:szCs w:val="24"/>
        </w:rPr>
        <w:t xml:space="preserve">utečností </w:t>
      </w:r>
      <w:r w:rsidR="00BF028B" w:rsidRPr="00B044F4">
        <w:rPr>
          <w:sz w:val="24"/>
          <w:szCs w:val="24"/>
        </w:rPr>
        <w:t xml:space="preserve">žalovaná </w:t>
      </w:r>
      <w:r w:rsidRPr="00B044F4">
        <w:rPr>
          <w:sz w:val="24"/>
          <w:szCs w:val="24"/>
        </w:rPr>
        <w:t>navrhla zamítnutí kasační stížnosti.</w:t>
      </w:r>
    </w:p>
    <w:p w14:paraId="586CC550" w14:textId="3DE0A279" w:rsidR="00BF028B" w:rsidRPr="00B044F4" w:rsidRDefault="00F5131C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K vyjádření žalované</w:t>
      </w:r>
      <w:r w:rsidR="00BF028B" w:rsidRPr="00B044F4">
        <w:rPr>
          <w:sz w:val="24"/>
          <w:szCs w:val="24"/>
        </w:rPr>
        <w:t xml:space="preserve"> zaslali stěžovatelé repliku, v níž odkázali na pečlivě odůvodněné závěry městského soudu o příslušnosti správních soudů k projednání ž</w:t>
      </w:r>
      <w:r w:rsidR="00157E27" w:rsidRPr="00B044F4">
        <w:rPr>
          <w:sz w:val="24"/>
          <w:szCs w:val="24"/>
        </w:rPr>
        <w:t>aloby proti usnesení žalované o </w:t>
      </w:r>
      <w:r w:rsidR="00BF028B" w:rsidRPr="00B044F4">
        <w:rPr>
          <w:sz w:val="24"/>
          <w:szCs w:val="24"/>
        </w:rPr>
        <w:t xml:space="preserve">odvolání dozorčí </w:t>
      </w:r>
      <w:r w:rsidR="004736F4" w:rsidRPr="00B044F4">
        <w:rPr>
          <w:sz w:val="24"/>
          <w:szCs w:val="24"/>
        </w:rPr>
        <w:t xml:space="preserve">komise. </w:t>
      </w:r>
      <w:r w:rsidR="00BC09FB" w:rsidRPr="00B044F4">
        <w:rPr>
          <w:sz w:val="24"/>
          <w:szCs w:val="24"/>
        </w:rPr>
        <w:t xml:space="preserve">Dále uvedli, že důvody pro odvolání členů žalované jsou explicitně uvedeny v § 6 zákona o ČT, a proto není důvod toto ustanovení vykládat extenzivněji ve vztahu k dozorčí komisi. Stěžovatelé polemizovali i s tvrzením žalované o její dlouhodobé nespokojenosti s činností dozorčí komise a uvedli, že skutečným důvodem pro vydání žalobou napadeného rozhodnutí byly politické tlaky, kterým překáží nezávislost České televize. </w:t>
      </w:r>
      <w:r w:rsidR="00CF5D80" w:rsidRPr="00B044F4">
        <w:rPr>
          <w:sz w:val="24"/>
          <w:szCs w:val="24"/>
        </w:rPr>
        <w:t>Přitom právě v zájmu předcházení</w:t>
      </w:r>
      <w:r w:rsidR="00425D1E" w:rsidRPr="00B044F4">
        <w:rPr>
          <w:sz w:val="24"/>
          <w:szCs w:val="24"/>
        </w:rPr>
        <w:t xml:space="preserve"> takovým útokům na nezávislost České televize a orgánů její kontroly stanoví zákon o ČT přesně vymezené důvody, pro které je možné členy dozorčí komise odvolat. Extenzivní výklad těchto taxativně vymezených důvodů jde proto proti samotnému smyslu </w:t>
      </w:r>
      <w:r w:rsidRPr="00B044F4">
        <w:rPr>
          <w:sz w:val="24"/>
          <w:szCs w:val="24"/>
        </w:rPr>
        <w:t>uvedeného</w:t>
      </w:r>
      <w:r w:rsidR="00425D1E" w:rsidRPr="00B044F4">
        <w:rPr>
          <w:sz w:val="24"/>
          <w:szCs w:val="24"/>
        </w:rPr>
        <w:t xml:space="preserve"> zákona. </w:t>
      </w:r>
    </w:p>
    <w:p w14:paraId="692212D7" w14:textId="02A3F5ED" w:rsidR="00425D1E" w:rsidRPr="00B044F4" w:rsidRDefault="00425D1E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V dalších podáních účastníci řízení jen zopakovali svou argumentaci vztahující se ke sporným otázkám a polemizovali s tvrzeními protistrany. </w:t>
      </w:r>
    </w:p>
    <w:p w14:paraId="4C44B36B" w14:textId="0FB1D6F5" w:rsidR="00425D1E" w:rsidRPr="00B044F4" w:rsidRDefault="00425D1E" w:rsidP="00825119">
      <w:pPr>
        <w:pStyle w:val="mmstd"/>
        <w:numPr>
          <w:ilvl w:val="0"/>
          <w:numId w:val="6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Osoba zúčastněná na řízení se ke kasační stížnosti nevyjádřila. </w:t>
      </w:r>
    </w:p>
    <w:p w14:paraId="5023757D" w14:textId="7741A280" w:rsidR="00613ADE" w:rsidRPr="00B044F4" w:rsidRDefault="00241C32" w:rsidP="00157E27">
      <w:pPr>
        <w:pStyle w:val="mmstd"/>
        <w:spacing w:before="0" w:after="240" w:line="240" w:lineRule="auto"/>
        <w:ind w:firstLine="0"/>
        <w:jc w:val="center"/>
        <w:rPr>
          <w:sz w:val="24"/>
          <w:szCs w:val="24"/>
        </w:rPr>
      </w:pPr>
      <w:r w:rsidRPr="00B044F4">
        <w:rPr>
          <w:rFonts w:cs="Garamond-Bold"/>
          <w:b/>
          <w:bCs/>
          <w:sz w:val="24"/>
          <w:szCs w:val="24"/>
        </w:rPr>
        <w:t>III. Posouzení kasační stížnosti</w:t>
      </w:r>
    </w:p>
    <w:p w14:paraId="7D1C6715" w14:textId="0656ABA9" w:rsidR="00E558A7" w:rsidRPr="00B044F4" w:rsidRDefault="00241C32" w:rsidP="00825119">
      <w:pPr>
        <w:pStyle w:val="mmstd"/>
        <w:numPr>
          <w:ilvl w:val="0"/>
          <w:numId w:val="7"/>
        </w:numPr>
        <w:tabs>
          <w:tab w:val="clear" w:pos="738"/>
          <w:tab w:val="left" w:pos="378"/>
          <w:tab w:val="left" w:pos="880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Nejvyšší správní soud přezkoumal napaden</w:t>
      </w:r>
      <w:r w:rsidR="00425D1E" w:rsidRPr="00B044F4">
        <w:rPr>
          <w:sz w:val="24"/>
          <w:szCs w:val="24"/>
        </w:rPr>
        <w:t>ý</w:t>
      </w:r>
      <w:r w:rsidRPr="00B044F4">
        <w:rPr>
          <w:sz w:val="24"/>
          <w:szCs w:val="24"/>
        </w:rPr>
        <w:t xml:space="preserve"> </w:t>
      </w:r>
      <w:r w:rsidR="00425D1E" w:rsidRPr="00B044F4">
        <w:rPr>
          <w:sz w:val="24"/>
          <w:szCs w:val="24"/>
        </w:rPr>
        <w:t>rozsudek</w:t>
      </w:r>
      <w:r w:rsidR="00272D06" w:rsidRPr="00B044F4">
        <w:rPr>
          <w:sz w:val="24"/>
          <w:szCs w:val="24"/>
        </w:rPr>
        <w:t xml:space="preserve"> </w:t>
      </w:r>
      <w:r w:rsidRPr="00B044F4">
        <w:rPr>
          <w:sz w:val="24"/>
          <w:szCs w:val="24"/>
        </w:rPr>
        <w:t>v souladu s </w:t>
      </w:r>
      <w:r w:rsidR="00E97BC9" w:rsidRPr="00B044F4">
        <w:rPr>
          <w:sz w:val="24"/>
          <w:szCs w:val="24"/>
        </w:rPr>
        <w:t>§ </w:t>
      </w:r>
      <w:r w:rsidRPr="00B044F4">
        <w:rPr>
          <w:sz w:val="24"/>
          <w:szCs w:val="24"/>
        </w:rPr>
        <w:t xml:space="preserve">109 odst. 3 </w:t>
      </w:r>
      <w:r w:rsidR="00176999" w:rsidRPr="00B044F4">
        <w:rPr>
          <w:sz w:val="24"/>
          <w:szCs w:val="24"/>
        </w:rPr>
        <w:t>a </w:t>
      </w:r>
      <w:r w:rsidRPr="00B044F4">
        <w:rPr>
          <w:sz w:val="24"/>
          <w:szCs w:val="24"/>
        </w:rPr>
        <w:t xml:space="preserve">4 </w:t>
      </w:r>
      <w:r w:rsidR="00E97BC9" w:rsidRPr="00B044F4">
        <w:rPr>
          <w:sz w:val="24"/>
          <w:szCs w:val="24"/>
        </w:rPr>
        <w:t>s. ř. s.</w:t>
      </w:r>
      <w:r w:rsidRPr="00B044F4">
        <w:rPr>
          <w:sz w:val="24"/>
          <w:szCs w:val="24"/>
        </w:rPr>
        <w:t xml:space="preserve">, podle nichž byl vázán rozsahem </w:t>
      </w:r>
      <w:r w:rsidR="00176999" w:rsidRPr="00B044F4">
        <w:rPr>
          <w:sz w:val="24"/>
          <w:szCs w:val="24"/>
        </w:rPr>
        <w:t>a </w:t>
      </w:r>
      <w:r w:rsidRPr="00B044F4">
        <w:rPr>
          <w:sz w:val="24"/>
          <w:szCs w:val="24"/>
        </w:rPr>
        <w:t>důvody, jež stěžovatel</w:t>
      </w:r>
      <w:r w:rsidR="00B967BA" w:rsidRPr="00B044F4">
        <w:rPr>
          <w:sz w:val="24"/>
          <w:szCs w:val="24"/>
        </w:rPr>
        <w:t>é</w:t>
      </w:r>
      <w:r w:rsidRPr="00B044F4">
        <w:rPr>
          <w:sz w:val="24"/>
          <w:szCs w:val="24"/>
        </w:rPr>
        <w:t xml:space="preserve"> uplatnil</w:t>
      </w:r>
      <w:r w:rsidR="00B967BA" w:rsidRPr="00B044F4">
        <w:rPr>
          <w:sz w:val="24"/>
          <w:szCs w:val="24"/>
        </w:rPr>
        <w:t>i</w:t>
      </w:r>
      <w:r w:rsidRPr="00B044F4">
        <w:rPr>
          <w:sz w:val="24"/>
          <w:szCs w:val="24"/>
        </w:rPr>
        <w:t xml:space="preserve"> v kasační stížnosti. Přitom neshledal vady uvedené v </w:t>
      </w:r>
      <w:r w:rsidR="00E97BC9" w:rsidRPr="00B044F4">
        <w:rPr>
          <w:sz w:val="24"/>
          <w:szCs w:val="24"/>
        </w:rPr>
        <w:t>§ </w:t>
      </w:r>
      <w:r w:rsidRPr="00B044F4">
        <w:rPr>
          <w:sz w:val="24"/>
          <w:szCs w:val="24"/>
        </w:rPr>
        <w:t xml:space="preserve">109 odst. 4 </w:t>
      </w:r>
      <w:r w:rsidR="00E97BC9" w:rsidRPr="00B044F4">
        <w:rPr>
          <w:sz w:val="24"/>
          <w:szCs w:val="24"/>
        </w:rPr>
        <w:t>s. ř. s.</w:t>
      </w:r>
      <w:r w:rsidRPr="00B044F4">
        <w:rPr>
          <w:sz w:val="24"/>
          <w:szCs w:val="24"/>
        </w:rPr>
        <w:t xml:space="preserve">, k nimž by musel přihlédnout z úřední povinnosti. </w:t>
      </w:r>
      <w:r w:rsidR="0058316B" w:rsidRPr="00B044F4">
        <w:rPr>
          <w:sz w:val="24"/>
          <w:szCs w:val="24"/>
        </w:rPr>
        <w:t xml:space="preserve">Ve shodě s městským soudem totiž </w:t>
      </w:r>
      <w:r w:rsidR="00F5131C" w:rsidRPr="00B044F4">
        <w:rPr>
          <w:sz w:val="24"/>
          <w:szCs w:val="24"/>
        </w:rPr>
        <w:t xml:space="preserve">považuje </w:t>
      </w:r>
      <w:r w:rsidR="0058316B" w:rsidRPr="00B044F4">
        <w:rPr>
          <w:sz w:val="24"/>
          <w:szCs w:val="24"/>
        </w:rPr>
        <w:t xml:space="preserve">žalobu proti usnesení o odvolání dozorčí komise </w:t>
      </w:r>
      <w:r w:rsidR="00157E27" w:rsidRPr="00B044F4">
        <w:rPr>
          <w:sz w:val="24"/>
          <w:szCs w:val="24"/>
        </w:rPr>
        <w:t>za </w:t>
      </w:r>
      <w:r w:rsidR="0058316B" w:rsidRPr="00B044F4">
        <w:rPr>
          <w:sz w:val="24"/>
          <w:szCs w:val="24"/>
        </w:rPr>
        <w:t>přípustnou z důvodů uvedených v napadeném rozsudku, který se touto otázkou preciz</w:t>
      </w:r>
      <w:r w:rsidR="00CF5D80" w:rsidRPr="00B044F4">
        <w:rPr>
          <w:sz w:val="24"/>
          <w:szCs w:val="24"/>
        </w:rPr>
        <w:t xml:space="preserve">ně zabýval, vycházel přitom </w:t>
      </w:r>
      <w:r w:rsidR="0058316B" w:rsidRPr="00B044F4">
        <w:rPr>
          <w:sz w:val="24"/>
          <w:szCs w:val="24"/>
        </w:rPr>
        <w:t>z judikatury Nejvyššího správního soudu a s jehož závěry v tomto směru učiněnými se lze plně ztotožnit.</w:t>
      </w:r>
      <w:r w:rsidR="00314389" w:rsidRPr="00B044F4">
        <w:rPr>
          <w:sz w:val="24"/>
          <w:szCs w:val="24"/>
        </w:rPr>
        <w:t xml:space="preserve"> Ostatně žalovaná ve v</w:t>
      </w:r>
      <w:r w:rsidR="00157E27" w:rsidRPr="00B044F4">
        <w:rPr>
          <w:sz w:val="24"/>
          <w:szCs w:val="24"/>
        </w:rPr>
        <w:t>yjádření ke kasační stížnosti a </w:t>
      </w:r>
      <w:r w:rsidR="00314389" w:rsidRPr="00B044F4">
        <w:rPr>
          <w:sz w:val="24"/>
          <w:szCs w:val="24"/>
        </w:rPr>
        <w:t>dalších svých podáních neuvedla žádné konkrétní skutečnosti, jimiž by</w:t>
      </w:r>
      <w:r w:rsidR="00F5131C" w:rsidRPr="00B044F4">
        <w:rPr>
          <w:sz w:val="24"/>
          <w:szCs w:val="24"/>
        </w:rPr>
        <w:t xml:space="preserve"> uvedený </w:t>
      </w:r>
      <w:r w:rsidR="00314389" w:rsidRPr="00B044F4">
        <w:rPr>
          <w:sz w:val="24"/>
          <w:szCs w:val="24"/>
        </w:rPr>
        <w:t xml:space="preserve">závěr </w:t>
      </w:r>
      <w:r w:rsidR="00CF5D80" w:rsidRPr="00B044F4">
        <w:rPr>
          <w:sz w:val="24"/>
          <w:szCs w:val="24"/>
        </w:rPr>
        <w:t>zpochybnila, a proto Nejvyšší správní soud s odkazem na odů</w:t>
      </w:r>
      <w:r w:rsidR="00157E27" w:rsidRPr="00B044F4">
        <w:rPr>
          <w:sz w:val="24"/>
          <w:szCs w:val="24"/>
        </w:rPr>
        <w:t>vodnění napadeného rozsudku jen </w:t>
      </w:r>
      <w:r w:rsidR="00CF5D80" w:rsidRPr="00B044F4">
        <w:rPr>
          <w:sz w:val="24"/>
          <w:szCs w:val="24"/>
        </w:rPr>
        <w:t xml:space="preserve">stručně konstatuje, že žaloba proti usnesení žalované o odvolání dozorčí komise byla </w:t>
      </w:r>
      <w:proofErr w:type="spellStart"/>
      <w:r w:rsidR="00CF5D80" w:rsidRPr="00B044F4">
        <w:rPr>
          <w:sz w:val="24"/>
          <w:szCs w:val="24"/>
        </w:rPr>
        <w:t>projednatelná</w:t>
      </w:r>
      <w:proofErr w:type="spellEnd"/>
      <w:r w:rsidR="00CF5D80" w:rsidRPr="00B044F4">
        <w:rPr>
          <w:sz w:val="24"/>
          <w:szCs w:val="24"/>
        </w:rPr>
        <w:t xml:space="preserve"> ve správním soudnictví a </w:t>
      </w:r>
      <w:r w:rsidR="00DA1B82" w:rsidRPr="00B044F4">
        <w:rPr>
          <w:sz w:val="24"/>
          <w:szCs w:val="24"/>
        </w:rPr>
        <w:t xml:space="preserve">toto usnesení </w:t>
      </w:r>
      <w:r w:rsidR="00CF5D80" w:rsidRPr="00B044F4">
        <w:rPr>
          <w:sz w:val="24"/>
          <w:szCs w:val="24"/>
        </w:rPr>
        <w:t>představoval</w:t>
      </w:r>
      <w:r w:rsidR="00DA1B82" w:rsidRPr="00B044F4">
        <w:rPr>
          <w:sz w:val="24"/>
          <w:szCs w:val="24"/>
        </w:rPr>
        <w:t>o</w:t>
      </w:r>
      <w:r w:rsidR="00CF5D80" w:rsidRPr="00B044F4">
        <w:rPr>
          <w:sz w:val="24"/>
          <w:szCs w:val="24"/>
        </w:rPr>
        <w:t xml:space="preserve"> rozhodnutí v</w:t>
      </w:r>
      <w:r w:rsidR="00157E27" w:rsidRPr="00B044F4">
        <w:rPr>
          <w:sz w:val="24"/>
          <w:szCs w:val="24"/>
        </w:rPr>
        <w:t>e smyslu § 65 odst. 1 s. ř. s.</w:t>
      </w:r>
    </w:p>
    <w:p w14:paraId="726FF0B0" w14:textId="59228F84" w:rsidR="004B6E7A" w:rsidRPr="00B044F4" w:rsidRDefault="001C3FEB" w:rsidP="00825119">
      <w:pPr>
        <w:pStyle w:val="mmstd"/>
        <w:numPr>
          <w:ilvl w:val="0"/>
          <w:numId w:val="7"/>
        </w:numPr>
        <w:tabs>
          <w:tab w:val="clear" w:pos="738"/>
          <w:tab w:val="left" w:pos="378"/>
          <w:tab w:val="left" w:pos="880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Stěžovatelé v kasační stížnosti odkázali na důvody uvedené</w:t>
      </w:r>
      <w:r w:rsidR="00AD5089" w:rsidRPr="00B044F4">
        <w:rPr>
          <w:sz w:val="24"/>
          <w:szCs w:val="24"/>
        </w:rPr>
        <w:t xml:space="preserve"> </w:t>
      </w:r>
      <w:r w:rsidR="00E97BC9" w:rsidRPr="00B044F4">
        <w:rPr>
          <w:sz w:val="24"/>
          <w:szCs w:val="24"/>
        </w:rPr>
        <w:t>§ </w:t>
      </w:r>
      <w:r w:rsidR="00241C32" w:rsidRPr="00B044F4">
        <w:rPr>
          <w:sz w:val="24"/>
          <w:szCs w:val="24"/>
        </w:rPr>
        <w:t>103 odst. 1 písm. </w:t>
      </w:r>
      <w:r w:rsidR="00AD5089" w:rsidRPr="00B044F4">
        <w:rPr>
          <w:sz w:val="24"/>
          <w:szCs w:val="24"/>
        </w:rPr>
        <w:t>a</w:t>
      </w:r>
      <w:r w:rsidR="00241C32" w:rsidRPr="00B044F4">
        <w:rPr>
          <w:sz w:val="24"/>
          <w:szCs w:val="24"/>
        </w:rPr>
        <w:t xml:space="preserve">) </w:t>
      </w:r>
      <w:r w:rsidR="00176999" w:rsidRPr="00B044F4">
        <w:rPr>
          <w:sz w:val="24"/>
          <w:szCs w:val="24"/>
        </w:rPr>
        <w:t>a </w:t>
      </w:r>
      <w:r w:rsidR="00272D06" w:rsidRPr="00B044F4">
        <w:rPr>
          <w:sz w:val="24"/>
          <w:szCs w:val="24"/>
        </w:rPr>
        <w:t xml:space="preserve">d) </w:t>
      </w:r>
      <w:r w:rsidR="00E97BC9" w:rsidRPr="00B044F4">
        <w:rPr>
          <w:sz w:val="24"/>
          <w:szCs w:val="24"/>
        </w:rPr>
        <w:t>s. ř. s.</w:t>
      </w:r>
      <w:r w:rsidR="000D264A" w:rsidRPr="00B044F4">
        <w:rPr>
          <w:sz w:val="24"/>
          <w:szCs w:val="24"/>
        </w:rPr>
        <w:t>, podle n</w:t>
      </w:r>
      <w:r w:rsidR="00272D06" w:rsidRPr="00B044F4">
        <w:rPr>
          <w:sz w:val="24"/>
          <w:szCs w:val="24"/>
        </w:rPr>
        <w:t>ichž</w:t>
      </w:r>
      <w:r w:rsidR="000D264A" w:rsidRPr="00B044F4">
        <w:rPr>
          <w:sz w:val="24"/>
          <w:szCs w:val="24"/>
        </w:rPr>
        <w:t xml:space="preserve"> </w:t>
      </w:r>
      <w:r w:rsidR="00241C32" w:rsidRPr="00B044F4">
        <w:rPr>
          <w:rFonts w:eastAsiaTheme="minorHAnsi" w:cs="Garamond-Italic"/>
          <w:i/>
          <w:iCs/>
          <w:sz w:val="24"/>
          <w:szCs w:val="24"/>
          <w:lang w:eastAsia="en-US"/>
        </w:rPr>
        <w:t xml:space="preserve">kasační stížnost lze podat pouze z důvodu tvrzené </w:t>
      </w:r>
      <w:r w:rsidR="007941C1" w:rsidRPr="00B044F4">
        <w:rPr>
          <w:i/>
          <w:iCs/>
          <w:sz w:val="24"/>
          <w:szCs w:val="24"/>
        </w:rPr>
        <w:t xml:space="preserve">nezákonnosti spočívající </w:t>
      </w:r>
      <w:r w:rsidR="00176999" w:rsidRPr="00B044F4">
        <w:rPr>
          <w:i/>
          <w:iCs/>
          <w:sz w:val="24"/>
          <w:szCs w:val="24"/>
        </w:rPr>
        <w:t>v </w:t>
      </w:r>
      <w:r w:rsidR="007941C1" w:rsidRPr="00B044F4">
        <w:rPr>
          <w:i/>
          <w:iCs/>
          <w:sz w:val="24"/>
          <w:szCs w:val="24"/>
        </w:rPr>
        <w:t xml:space="preserve">nesprávném posouzení právní otázky soudem </w:t>
      </w:r>
      <w:r w:rsidR="00176999" w:rsidRPr="00B044F4">
        <w:rPr>
          <w:i/>
          <w:iCs/>
          <w:sz w:val="24"/>
          <w:szCs w:val="24"/>
        </w:rPr>
        <w:t>v </w:t>
      </w:r>
      <w:r w:rsidR="00425D1E" w:rsidRPr="00B044F4">
        <w:rPr>
          <w:i/>
          <w:iCs/>
          <w:sz w:val="24"/>
          <w:szCs w:val="24"/>
        </w:rPr>
        <w:t xml:space="preserve">předcházejícím řízení a </w:t>
      </w:r>
      <w:r w:rsidR="007941C1" w:rsidRPr="00B044F4">
        <w:rPr>
          <w:i/>
          <w:iCs/>
          <w:sz w:val="24"/>
          <w:szCs w:val="24"/>
        </w:rPr>
        <w:t xml:space="preserve">nepřezkoumatelnosti spočívající </w:t>
      </w:r>
      <w:r w:rsidR="00176999" w:rsidRPr="00B044F4">
        <w:rPr>
          <w:i/>
          <w:iCs/>
          <w:sz w:val="24"/>
          <w:szCs w:val="24"/>
        </w:rPr>
        <w:t>v </w:t>
      </w:r>
      <w:r w:rsidR="00157E27" w:rsidRPr="00B044F4">
        <w:rPr>
          <w:i/>
          <w:iCs/>
          <w:sz w:val="24"/>
          <w:szCs w:val="24"/>
        </w:rPr>
        <w:t>nesrozumitelnosti nebo </w:t>
      </w:r>
      <w:r w:rsidR="007941C1" w:rsidRPr="00B044F4">
        <w:rPr>
          <w:i/>
          <w:iCs/>
          <w:sz w:val="24"/>
          <w:szCs w:val="24"/>
        </w:rPr>
        <w:t xml:space="preserve">nedostatku důvodů rozhodnutí, popřípadě </w:t>
      </w:r>
      <w:r w:rsidR="00176999" w:rsidRPr="00B044F4">
        <w:rPr>
          <w:i/>
          <w:iCs/>
          <w:sz w:val="24"/>
          <w:szCs w:val="24"/>
        </w:rPr>
        <w:t>v </w:t>
      </w:r>
      <w:r w:rsidR="007941C1" w:rsidRPr="00B044F4">
        <w:rPr>
          <w:i/>
          <w:iCs/>
          <w:sz w:val="24"/>
          <w:szCs w:val="24"/>
        </w:rPr>
        <w:t>jiné vadě řízení před soudem, mohla</w:t>
      </w:r>
      <w:r w:rsidR="00176999" w:rsidRPr="00B044F4">
        <w:rPr>
          <w:i/>
          <w:iCs/>
          <w:sz w:val="24"/>
          <w:szCs w:val="24"/>
        </w:rPr>
        <w:noBreakHyphen/>
      </w:r>
      <w:r w:rsidR="00157E27" w:rsidRPr="00B044F4">
        <w:rPr>
          <w:i/>
          <w:iCs/>
          <w:sz w:val="24"/>
          <w:szCs w:val="24"/>
        </w:rPr>
        <w:t>li mít taková vada za </w:t>
      </w:r>
      <w:r w:rsidR="007941C1" w:rsidRPr="00B044F4">
        <w:rPr>
          <w:i/>
          <w:iCs/>
          <w:sz w:val="24"/>
          <w:szCs w:val="24"/>
        </w:rPr>
        <w:t xml:space="preserve">následek nezákonné rozhodnutí </w:t>
      </w:r>
      <w:r w:rsidR="00176999" w:rsidRPr="00B044F4">
        <w:rPr>
          <w:i/>
          <w:iCs/>
          <w:sz w:val="24"/>
          <w:szCs w:val="24"/>
        </w:rPr>
        <w:t>o </w:t>
      </w:r>
      <w:r w:rsidR="007941C1" w:rsidRPr="00B044F4">
        <w:rPr>
          <w:i/>
          <w:iCs/>
          <w:sz w:val="24"/>
          <w:szCs w:val="24"/>
        </w:rPr>
        <w:t>věci samé</w:t>
      </w:r>
      <w:r w:rsidR="007941C1" w:rsidRPr="00B044F4">
        <w:rPr>
          <w:sz w:val="24"/>
          <w:szCs w:val="24"/>
        </w:rPr>
        <w:t>.</w:t>
      </w:r>
      <w:r w:rsidRPr="00B044F4">
        <w:rPr>
          <w:sz w:val="24"/>
          <w:szCs w:val="24"/>
        </w:rPr>
        <w:t xml:space="preserve"> Dále stěžovatelé namítali </w:t>
      </w:r>
      <w:r w:rsidR="00076597" w:rsidRPr="00B044F4">
        <w:rPr>
          <w:sz w:val="24"/>
          <w:szCs w:val="24"/>
        </w:rPr>
        <w:t>procesní vady při odvolání dozorčí komise</w:t>
      </w:r>
      <w:r w:rsidR="0092223E" w:rsidRPr="00B044F4">
        <w:rPr>
          <w:sz w:val="24"/>
          <w:szCs w:val="24"/>
        </w:rPr>
        <w:t>, jež</w:t>
      </w:r>
      <w:r w:rsidRPr="00B044F4">
        <w:rPr>
          <w:sz w:val="24"/>
          <w:szCs w:val="24"/>
        </w:rPr>
        <w:t xml:space="preserve"> </w:t>
      </w:r>
      <w:r w:rsidR="0092223E" w:rsidRPr="00B044F4">
        <w:rPr>
          <w:sz w:val="24"/>
          <w:szCs w:val="24"/>
        </w:rPr>
        <w:t>odpovídají</w:t>
      </w:r>
      <w:r w:rsidRPr="00B044F4">
        <w:rPr>
          <w:sz w:val="24"/>
          <w:szCs w:val="24"/>
        </w:rPr>
        <w:t xml:space="preserve"> důvod</w:t>
      </w:r>
      <w:r w:rsidR="0092223E" w:rsidRPr="00B044F4">
        <w:rPr>
          <w:sz w:val="24"/>
          <w:szCs w:val="24"/>
        </w:rPr>
        <w:t>u uvedenému</w:t>
      </w:r>
      <w:r w:rsidRPr="00B044F4">
        <w:rPr>
          <w:sz w:val="24"/>
          <w:szCs w:val="24"/>
        </w:rPr>
        <w:t xml:space="preserve"> v § 103 odst. 1 písm. b) s. ř. s.,</w:t>
      </w:r>
      <w:r w:rsidR="0092223E" w:rsidRPr="00B044F4">
        <w:rPr>
          <w:sz w:val="24"/>
          <w:szCs w:val="24"/>
        </w:rPr>
        <w:t xml:space="preserve"> podle kterého </w:t>
      </w:r>
      <w:r w:rsidR="0092223E" w:rsidRPr="00B044F4">
        <w:rPr>
          <w:rFonts w:eastAsiaTheme="minorHAnsi" w:cs="Garamond-Italic"/>
          <w:i/>
          <w:iCs/>
          <w:sz w:val="24"/>
          <w:szCs w:val="24"/>
          <w:lang w:eastAsia="en-US"/>
        </w:rPr>
        <w:t>kasační stížnost lze podat pouze z</w:t>
      </w:r>
      <w:r w:rsidR="004B6E7A" w:rsidRPr="00B044F4">
        <w:rPr>
          <w:rFonts w:eastAsiaTheme="minorHAnsi" w:cs="Garamond-Italic"/>
          <w:i/>
          <w:iCs/>
          <w:sz w:val="24"/>
          <w:szCs w:val="24"/>
          <w:lang w:eastAsia="en-US"/>
        </w:rPr>
        <w:t> </w:t>
      </w:r>
      <w:r w:rsidR="0092223E" w:rsidRPr="00B044F4">
        <w:rPr>
          <w:rFonts w:eastAsiaTheme="minorHAnsi" w:cs="Garamond-Italic"/>
          <w:i/>
          <w:iCs/>
          <w:sz w:val="24"/>
          <w:szCs w:val="24"/>
          <w:lang w:eastAsia="en-US"/>
        </w:rPr>
        <w:t>důvodu</w:t>
      </w:r>
      <w:r w:rsidR="004B6E7A" w:rsidRPr="00B044F4">
        <w:rPr>
          <w:rFonts w:eastAsiaTheme="minorHAnsi" w:cs="Garamond-Italic"/>
          <w:iCs/>
          <w:lang w:eastAsia="en-US"/>
        </w:rPr>
        <w:t xml:space="preserve"> </w:t>
      </w:r>
      <w:r w:rsidR="004B6E7A" w:rsidRPr="00B044F4">
        <w:rPr>
          <w:rFonts w:eastAsiaTheme="minorHAnsi" w:cs="Garamond-Italic"/>
          <w:i/>
          <w:iCs/>
          <w:sz w:val="24"/>
          <w:szCs w:val="24"/>
          <w:lang w:eastAsia="en-US"/>
        </w:rPr>
        <w:t xml:space="preserve">tvrzené </w:t>
      </w:r>
      <w:r w:rsidR="004B6E7A" w:rsidRPr="00B044F4">
        <w:rPr>
          <w:i/>
          <w:sz w:val="24"/>
          <w:szCs w:val="24"/>
        </w:rPr>
        <w:t>vady řízení spočívající v t</w:t>
      </w:r>
      <w:r w:rsidR="00157E27" w:rsidRPr="00B044F4">
        <w:rPr>
          <w:i/>
          <w:sz w:val="24"/>
          <w:szCs w:val="24"/>
        </w:rPr>
        <w:t>om, že skutková podstata, z níž </w:t>
      </w:r>
      <w:r w:rsidR="004B6E7A" w:rsidRPr="00B044F4">
        <w:rPr>
          <w:i/>
          <w:sz w:val="24"/>
          <w:szCs w:val="24"/>
        </w:rPr>
        <w:t>správní orgán v napadeném rozhodnutí vycházel, nemá oporu ve spisech nebo j</w:t>
      </w:r>
      <w:r w:rsidR="00157E27" w:rsidRPr="00B044F4">
        <w:rPr>
          <w:i/>
          <w:sz w:val="24"/>
          <w:szCs w:val="24"/>
        </w:rPr>
        <w:t>e s nimi v rozporu, nebo že při </w:t>
      </w:r>
      <w:r w:rsidR="004B6E7A" w:rsidRPr="00B044F4">
        <w:rPr>
          <w:i/>
          <w:sz w:val="24"/>
          <w:szCs w:val="24"/>
        </w:rPr>
        <w:t>jejím zjišťování byl porušen zákon v ustanoveních o řízení před správním orgánem takovým způsobem, že to mohlo ovlivnit zákonnost, a pro tuto důvodně vytýkanou vadu soud, který ve věci rozhodoval, napadené rozhodnutí správního orgánu měl zrušit; za takovou vadu řízení se považuje i nepřezkoumatelnost rozhodnutí správního orgánu pro nesrozumitelnost.</w:t>
      </w:r>
    </w:p>
    <w:p w14:paraId="543120EB" w14:textId="296EACA1" w:rsidR="00076597" w:rsidRPr="00B044F4" w:rsidRDefault="002D1A1B" w:rsidP="00825119">
      <w:pPr>
        <w:pStyle w:val="mmstd"/>
        <w:numPr>
          <w:ilvl w:val="0"/>
          <w:numId w:val="7"/>
        </w:numPr>
        <w:tabs>
          <w:tab w:val="clear" w:pos="738"/>
          <w:tab w:val="left" w:pos="378"/>
          <w:tab w:val="left" w:pos="880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Za </w:t>
      </w:r>
      <w:r w:rsidR="00076597" w:rsidRPr="00B044F4">
        <w:rPr>
          <w:sz w:val="24"/>
          <w:szCs w:val="24"/>
        </w:rPr>
        <w:t>procesní vady při odv</w:t>
      </w:r>
      <w:r w:rsidR="006D7E37" w:rsidRPr="00B044F4">
        <w:rPr>
          <w:sz w:val="24"/>
          <w:szCs w:val="24"/>
        </w:rPr>
        <w:t>olání dozorčí komise stěžovatelé</w:t>
      </w:r>
      <w:r w:rsidR="00076597" w:rsidRPr="00B044F4">
        <w:rPr>
          <w:sz w:val="24"/>
          <w:szCs w:val="24"/>
        </w:rPr>
        <w:t xml:space="preserve"> považovali skutečnost, že žalobou napadené usnesení neobsahovalo odůvodnění a poučení o opravném prostředku a že proti němu bylo možné podat odvolání k Poslanecké sněmovně.</w:t>
      </w:r>
    </w:p>
    <w:p w14:paraId="234E97D5" w14:textId="006D53F8" w:rsidR="00A023B1" w:rsidRPr="00B044F4" w:rsidRDefault="00076597" w:rsidP="00825119">
      <w:pPr>
        <w:pStyle w:val="mmstd"/>
        <w:numPr>
          <w:ilvl w:val="0"/>
          <w:numId w:val="7"/>
        </w:numPr>
        <w:tabs>
          <w:tab w:val="clear" w:pos="738"/>
          <w:tab w:val="left" w:pos="378"/>
          <w:tab w:val="left" w:pos="880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K těmto kasačním námitkám je </w:t>
      </w:r>
      <w:r w:rsidR="00314807" w:rsidRPr="00B044F4">
        <w:rPr>
          <w:sz w:val="24"/>
          <w:szCs w:val="24"/>
        </w:rPr>
        <w:t>zapotřebí</w:t>
      </w:r>
      <w:r w:rsidRPr="00B044F4">
        <w:rPr>
          <w:sz w:val="24"/>
          <w:szCs w:val="24"/>
        </w:rPr>
        <w:t xml:space="preserve"> uvést</w:t>
      </w:r>
      <w:r w:rsidR="00122C30" w:rsidRPr="00B044F4">
        <w:rPr>
          <w:sz w:val="24"/>
          <w:szCs w:val="24"/>
        </w:rPr>
        <w:t xml:space="preserve">, že </w:t>
      </w:r>
      <w:r w:rsidR="00314807" w:rsidRPr="00B044F4">
        <w:rPr>
          <w:sz w:val="24"/>
          <w:szCs w:val="24"/>
        </w:rPr>
        <w:t xml:space="preserve">žalobou napadené </w:t>
      </w:r>
      <w:r w:rsidR="006D7E37" w:rsidRPr="00B044F4">
        <w:rPr>
          <w:sz w:val="24"/>
          <w:szCs w:val="24"/>
        </w:rPr>
        <w:t xml:space="preserve">rozhodnutí </w:t>
      </w:r>
      <w:r w:rsidR="00122C30" w:rsidRPr="00B044F4">
        <w:rPr>
          <w:sz w:val="24"/>
          <w:szCs w:val="24"/>
        </w:rPr>
        <w:t xml:space="preserve">o odvolání dozorčí komise </w:t>
      </w:r>
      <w:r w:rsidR="00314807" w:rsidRPr="00B044F4">
        <w:rPr>
          <w:sz w:val="24"/>
          <w:szCs w:val="24"/>
        </w:rPr>
        <w:t>svou povahou představovalo</w:t>
      </w:r>
      <w:r w:rsidR="00122C30" w:rsidRPr="00B044F4">
        <w:rPr>
          <w:sz w:val="24"/>
          <w:szCs w:val="24"/>
        </w:rPr>
        <w:t xml:space="preserve"> </w:t>
      </w:r>
      <w:r w:rsidR="00A023B1" w:rsidRPr="00B044F4">
        <w:rPr>
          <w:sz w:val="24"/>
          <w:szCs w:val="24"/>
        </w:rPr>
        <w:t>personální opatření vůči poradnímu orgánu</w:t>
      </w:r>
      <w:r w:rsidR="000A19CD" w:rsidRPr="00B044F4">
        <w:rPr>
          <w:sz w:val="24"/>
          <w:szCs w:val="24"/>
        </w:rPr>
        <w:t xml:space="preserve"> žalované</w:t>
      </w:r>
      <w:r w:rsidR="00A023B1" w:rsidRPr="00B044F4">
        <w:rPr>
          <w:sz w:val="24"/>
          <w:szCs w:val="24"/>
        </w:rPr>
        <w:t xml:space="preserve">, které nebylo vydáno ve formalizovaném postupu, v němž by se </w:t>
      </w:r>
      <w:r w:rsidR="00F74E41" w:rsidRPr="00B044F4">
        <w:rPr>
          <w:sz w:val="24"/>
          <w:szCs w:val="24"/>
        </w:rPr>
        <w:t xml:space="preserve">při garantování procesních práv účastníků řízení </w:t>
      </w:r>
      <w:r w:rsidR="00A023B1" w:rsidRPr="00B044F4">
        <w:rPr>
          <w:sz w:val="24"/>
          <w:szCs w:val="24"/>
        </w:rPr>
        <w:t>shromažďovaly podklady pro vy</w:t>
      </w:r>
      <w:r w:rsidR="00157E27" w:rsidRPr="00B044F4">
        <w:rPr>
          <w:sz w:val="24"/>
          <w:szCs w:val="24"/>
        </w:rPr>
        <w:t>dání rozhodnutí zasahujících do </w:t>
      </w:r>
      <w:r w:rsidR="00F74E41" w:rsidRPr="00B044F4">
        <w:rPr>
          <w:sz w:val="24"/>
          <w:szCs w:val="24"/>
        </w:rPr>
        <w:t xml:space="preserve">jejich </w:t>
      </w:r>
      <w:r w:rsidR="00A023B1" w:rsidRPr="00B044F4">
        <w:rPr>
          <w:sz w:val="24"/>
          <w:szCs w:val="24"/>
        </w:rPr>
        <w:t xml:space="preserve">práv. </w:t>
      </w:r>
      <w:r w:rsidR="00F74E41" w:rsidRPr="00B044F4">
        <w:rPr>
          <w:sz w:val="24"/>
          <w:szCs w:val="24"/>
        </w:rPr>
        <w:t>Ž</w:t>
      </w:r>
      <w:r w:rsidR="00A023B1" w:rsidRPr="00B044F4">
        <w:rPr>
          <w:sz w:val="24"/>
          <w:szCs w:val="24"/>
        </w:rPr>
        <w:t xml:space="preserve">ádné správní řízení o </w:t>
      </w:r>
      <w:r w:rsidR="00F74E41" w:rsidRPr="00B044F4">
        <w:rPr>
          <w:sz w:val="24"/>
          <w:szCs w:val="24"/>
        </w:rPr>
        <w:t xml:space="preserve">ustanovování </w:t>
      </w:r>
      <w:r w:rsidR="00A023B1" w:rsidRPr="00B044F4">
        <w:rPr>
          <w:sz w:val="24"/>
          <w:szCs w:val="24"/>
        </w:rPr>
        <w:t xml:space="preserve">členů dozorčí komise </w:t>
      </w:r>
      <w:r w:rsidR="00F74E41" w:rsidRPr="00B044F4">
        <w:rPr>
          <w:sz w:val="24"/>
          <w:szCs w:val="24"/>
        </w:rPr>
        <w:t xml:space="preserve">a zániku jejich funkce se totiž podle zákona o ČT nevede a jeho dále zmíněná ustanovení § 8a odst. 2 a 3 toliko upravují pravomoc žalované </w:t>
      </w:r>
      <w:r w:rsidR="00551698" w:rsidRPr="00B044F4">
        <w:rPr>
          <w:sz w:val="24"/>
          <w:szCs w:val="24"/>
        </w:rPr>
        <w:t xml:space="preserve">volit a odvolávat členy dozorčí funkce při splnění v nich uvedených podmínek. </w:t>
      </w:r>
      <w:r w:rsidR="006D7E37" w:rsidRPr="00B044F4">
        <w:rPr>
          <w:sz w:val="24"/>
          <w:szCs w:val="24"/>
        </w:rPr>
        <w:t>Usnesení žalované</w:t>
      </w:r>
      <w:r w:rsidR="005A6E4A" w:rsidRPr="00B044F4">
        <w:rPr>
          <w:sz w:val="24"/>
          <w:szCs w:val="24"/>
        </w:rPr>
        <w:t xml:space="preserve"> tedy sice představovalo rozhodnutí zasahující do právní sféry odvolaných členů dozorčí komise ve smyslu § 65 s. ř. s., avšak nebylo vydáno v režimu správního řízení podle části druhé správního řádu, neboť zákon o ČT </w:t>
      </w:r>
      <w:r w:rsidR="0028510C" w:rsidRPr="00B044F4">
        <w:rPr>
          <w:sz w:val="24"/>
          <w:szCs w:val="24"/>
        </w:rPr>
        <w:t>jako zvláštní právní předpis stanovil v tomto směru jiný postup (§ 1 odst. 2</w:t>
      </w:r>
      <w:r w:rsidR="006D7E37" w:rsidRPr="00B044F4">
        <w:rPr>
          <w:sz w:val="24"/>
          <w:szCs w:val="24"/>
        </w:rPr>
        <w:t xml:space="preserve"> správního řádu</w:t>
      </w:r>
      <w:r w:rsidR="0028510C" w:rsidRPr="00B044F4">
        <w:rPr>
          <w:sz w:val="24"/>
          <w:szCs w:val="24"/>
        </w:rPr>
        <w:t>). Z tohoto důvodu usnesení o odvolání dozorčí komise nemuselo obsahovat náležitosti rozhodnutí uved</w:t>
      </w:r>
      <w:r w:rsidR="00157E27" w:rsidRPr="00B044F4">
        <w:rPr>
          <w:sz w:val="24"/>
          <w:szCs w:val="24"/>
        </w:rPr>
        <w:t>ené v § 68 správního řádu, tedy </w:t>
      </w:r>
      <w:r w:rsidR="0028510C" w:rsidRPr="00B044F4">
        <w:rPr>
          <w:sz w:val="24"/>
          <w:szCs w:val="24"/>
        </w:rPr>
        <w:t>ani jeho odůvodnění a poučení o opravných prostředcích. V</w:t>
      </w:r>
      <w:r w:rsidR="00157E27" w:rsidRPr="00B044F4">
        <w:rPr>
          <w:sz w:val="24"/>
          <w:szCs w:val="24"/>
        </w:rPr>
        <w:t> tomto směru plně postačilo, že </w:t>
      </w:r>
      <w:r w:rsidR="0028510C" w:rsidRPr="00B044F4">
        <w:rPr>
          <w:sz w:val="24"/>
          <w:szCs w:val="24"/>
        </w:rPr>
        <w:t xml:space="preserve">důvod pro vydání žalobou napadeného rozhodnutí spočívající </w:t>
      </w:r>
      <w:r w:rsidR="001E3027" w:rsidRPr="00B044F4">
        <w:rPr>
          <w:sz w:val="24"/>
          <w:szCs w:val="24"/>
        </w:rPr>
        <w:t>ve vážných výhradách</w:t>
      </w:r>
      <w:r w:rsidR="0028510C" w:rsidRPr="00B044F4">
        <w:rPr>
          <w:sz w:val="24"/>
          <w:szCs w:val="24"/>
        </w:rPr>
        <w:t xml:space="preserve"> k práci dozorčí komise byl vyjádřen v</w:t>
      </w:r>
      <w:r w:rsidR="00E521C1" w:rsidRPr="00B044F4">
        <w:rPr>
          <w:sz w:val="24"/>
          <w:szCs w:val="24"/>
        </w:rPr>
        <w:t> p</w:t>
      </w:r>
      <w:r w:rsidR="006D7E37" w:rsidRPr="00B044F4">
        <w:rPr>
          <w:sz w:val="24"/>
          <w:szCs w:val="24"/>
        </w:rPr>
        <w:t>ředmětném</w:t>
      </w:r>
      <w:r w:rsidR="00E521C1" w:rsidRPr="00B044F4">
        <w:rPr>
          <w:sz w:val="24"/>
          <w:szCs w:val="24"/>
        </w:rPr>
        <w:t xml:space="preserve"> </w:t>
      </w:r>
      <w:r w:rsidR="0028510C" w:rsidRPr="00B044F4">
        <w:rPr>
          <w:sz w:val="24"/>
          <w:szCs w:val="24"/>
        </w:rPr>
        <w:t xml:space="preserve">zápise žalované </w:t>
      </w:r>
      <w:r w:rsidR="00E521C1" w:rsidRPr="00B044F4">
        <w:rPr>
          <w:sz w:val="24"/>
          <w:szCs w:val="24"/>
        </w:rPr>
        <w:t xml:space="preserve">z jejího jednání a rozveden v dalších jejích </w:t>
      </w:r>
      <w:r w:rsidR="006D7E37" w:rsidRPr="00B044F4">
        <w:rPr>
          <w:sz w:val="24"/>
          <w:szCs w:val="24"/>
        </w:rPr>
        <w:t>dokumentech</w:t>
      </w:r>
      <w:r w:rsidR="00E521C1" w:rsidRPr="00B044F4">
        <w:rPr>
          <w:sz w:val="24"/>
          <w:szCs w:val="24"/>
        </w:rPr>
        <w:t>, které byly předlo</w:t>
      </w:r>
      <w:r w:rsidR="007105F8" w:rsidRPr="00B044F4">
        <w:rPr>
          <w:sz w:val="24"/>
          <w:szCs w:val="24"/>
        </w:rPr>
        <w:t>ženy v rámci žalobního řízení.</w:t>
      </w:r>
    </w:p>
    <w:p w14:paraId="11C4BF02" w14:textId="209503F0" w:rsidR="009B7D9D" w:rsidRPr="00B044F4" w:rsidRDefault="007105F8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bCs/>
          <w:i/>
          <w:sz w:val="24"/>
          <w:szCs w:val="24"/>
        </w:rPr>
      </w:pPr>
      <w:r w:rsidRPr="00B044F4">
        <w:rPr>
          <w:sz w:val="24"/>
          <w:szCs w:val="24"/>
        </w:rPr>
        <w:t xml:space="preserve">Jelikož žalobou napadené rozhodnutí žalovaná nevydala v režimu správního řízení podle části druhé správního řádu, nebylo možné proti němu ani podat odvolání </w:t>
      </w:r>
      <w:r w:rsidR="009B7D9D" w:rsidRPr="00B044F4">
        <w:rPr>
          <w:sz w:val="24"/>
          <w:szCs w:val="24"/>
        </w:rPr>
        <w:t xml:space="preserve">k Poslanecké sněmovně </w:t>
      </w:r>
      <w:r w:rsidR="00157E27" w:rsidRPr="00B044F4">
        <w:rPr>
          <w:sz w:val="24"/>
          <w:szCs w:val="24"/>
        </w:rPr>
        <w:t>za </w:t>
      </w:r>
      <w:r w:rsidRPr="00B044F4">
        <w:rPr>
          <w:sz w:val="24"/>
          <w:szCs w:val="24"/>
        </w:rPr>
        <w:t>použití prav</w:t>
      </w:r>
      <w:r w:rsidR="009B7D9D" w:rsidRPr="00B044F4">
        <w:rPr>
          <w:sz w:val="24"/>
          <w:szCs w:val="24"/>
        </w:rPr>
        <w:t xml:space="preserve">idla obsaženého v § 178 odst. 2 věty třetí za středníkem téhož zákona. Navíc </w:t>
      </w:r>
      <w:r w:rsidR="009B7D9D" w:rsidRPr="00B044F4">
        <w:rPr>
          <w:bCs/>
          <w:iCs/>
          <w:sz w:val="24"/>
          <w:szCs w:val="24"/>
        </w:rPr>
        <w:t xml:space="preserve">žalovaná </w:t>
      </w:r>
      <w:r w:rsidRPr="00B044F4">
        <w:rPr>
          <w:sz w:val="24"/>
          <w:szCs w:val="24"/>
        </w:rPr>
        <w:t xml:space="preserve">je </w:t>
      </w:r>
      <w:r w:rsidR="004F4ED7" w:rsidRPr="00B044F4">
        <w:rPr>
          <w:sz w:val="24"/>
          <w:szCs w:val="24"/>
        </w:rPr>
        <w:t xml:space="preserve">nezávislým </w:t>
      </w:r>
      <w:r w:rsidRPr="00B044F4">
        <w:rPr>
          <w:sz w:val="24"/>
          <w:szCs w:val="24"/>
        </w:rPr>
        <w:t>orgán</w:t>
      </w:r>
      <w:r w:rsidR="009B7D9D" w:rsidRPr="00B044F4">
        <w:rPr>
          <w:sz w:val="24"/>
          <w:szCs w:val="24"/>
        </w:rPr>
        <w:t>em</w:t>
      </w:r>
      <w:r w:rsidRPr="00B044F4">
        <w:rPr>
          <w:sz w:val="24"/>
          <w:szCs w:val="24"/>
        </w:rPr>
        <w:t xml:space="preserve">, </w:t>
      </w:r>
      <w:r w:rsidRPr="00B044F4">
        <w:rPr>
          <w:iCs/>
          <w:sz w:val="24"/>
          <w:szCs w:val="24"/>
        </w:rPr>
        <w:t>jímž se uplatňuje právo veřejnosti na kontrolu činnosti České televize</w:t>
      </w:r>
      <w:r w:rsidR="009B7D9D" w:rsidRPr="00B044F4">
        <w:rPr>
          <w:iCs/>
          <w:sz w:val="24"/>
          <w:szCs w:val="24"/>
        </w:rPr>
        <w:t xml:space="preserve">, jak vyplývá z ustanovení § 4 odst. 1 </w:t>
      </w:r>
      <w:r w:rsidR="004F4ED7" w:rsidRPr="00B044F4">
        <w:rPr>
          <w:iCs/>
          <w:sz w:val="24"/>
          <w:szCs w:val="24"/>
        </w:rPr>
        <w:t xml:space="preserve">a § 5 </w:t>
      </w:r>
      <w:r w:rsidR="009B7D9D" w:rsidRPr="00B044F4">
        <w:rPr>
          <w:iCs/>
          <w:sz w:val="24"/>
          <w:szCs w:val="24"/>
        </w:rPr>
        <w:t>zákona o ČT</w:t>
      </w:r>
      <w:r w:rsidR="009B7D9D" w:rsidRPr="00B044F4">
        <w:rPr>
          <w:sz w:val="24"/>
          <w:szCs w:val="24"/>
        </w:rPr>
        <w:t>. Poslanecká sněmovna jako</w:t>
      </w:r>
      <w:r w:rsidRPr="00B044F4">
        <w:rPr>
          <w:sz w:val="24"/>
          <w:szCs w:val="24"/>
        </w:rPr>
        <w:t xml:space="preserve"> orgán politický </w:t>
      </w:r>
      <w:r w:rsidR="009B7D9D" w:rsidRPr="00B044F4">
        <w:rPr>
          <w:sz w:val="24"/>
          <w:szCs w:val="24"/>
        </w:rPr>
        <w:t>proto z povahy věci nemůže být</w:t>
      </w:r>
      <w:r w:rsidRPr="00B044F4">
        <w:rPr>
          <w:sz w:val="24"/>
          <w:szCs w:val="24"/>
        </w:rPr>
        <w:t xml:space="preserve"> nadřízeným orgánem </w:t>
      </w:r>
      <w:r w:rsidR="00157E27" w:rsidRPr="00B044F4">
        <w:rPr>
          <w:sz w:val="24"/>
          <w:szCs w:val="24"/>
        </w:rPr>
        <w:t>žalované ani přezkoumávat její </w:t>
      </w:r>
      <w:r w:rsidR="009B7D9D" w:rsidRPr="00B044F4">
        <w:rPr>
          <w:sz w:val="24"/>
          <w:szCs w:val="24"/>
        </w:rPr>
        <w:t>rozhodnu</w:t>
      </w:r>
      <w:r w:rsidR="004F4ED7" w:rsidRPr="00B044F4">
        <w:rPr>
          <w:sz w:val="24"/>
          <w:szCs w:val="24"/>
        </w:rPr>
        <w:t xml:space="preserve">tí, když takovým postupem by došlo k závažnému zásahu do její nezávislé činnosti. Rovněž tak by jím byl narušen princip dělby moci, neboť zákonodárný sbor nemůže v tomto ohledu zasahovat do činnosti orgánu moci výkonného. </w:t>
      </w:r>
    </w:p>
    <w:p w14:paraId="37C812B9" w14:textId="74DAB1D9" w:rsidR="004B6E7A" w:rsidRPr="00B044F4" w:rsidRDefault="001E3027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bCs/>
          <w:i/>
          <w:sz w:val="24"/>
          <w:szCs w:val="24"/>
        </w:rPr>
      </w:pPr>
      <w:r w:rsidRPr="00B044F4">
        <w:rPr>
          <w:sz w:val="24"/>
          <w:szCs w:val="24"/>
        </w:rPr>
        <w:t xml:space="preserve">Městský soud tedy správně nepřisvědčil žalobním námitkám o absenci odůvodnění a poučení o opravných prostředcích v žalobou napadeném </w:t>
      </w:r>
      <w:r w:rsidR="006D7E37" w:rsidRPr="00B044F4">
        <w:rPr>
          <w:sz w:val="24"/>
          <w:szCs w:val="24"/>
        </w:rPr>
        <w:t xml:space="preserve">usnesení </w:t>
      </w:r>
      <w:r w:rsidR="000A19CD" w:rsidRPr="00B044F4">
        <w:rPr>
          <w:sz w:val="24"/>
          <w:szCs w:val="24"/>
        </w:rPr>
        <w:t xml:space="preserve">a o </w:t>
      </w:r>
      <w:r w:rsidRPr="00B044F4">
        <w:rPr>
          <w:sz w:val="24"/>
          <w:szCs w:val="24"/>
        </w:rPr>
        <w:t>možnosti proti němu podat odvolání. Tyto své závěry přitom dostatečně odůvodnil, a proto jeho rozsudek není v uvedené části nepřezkoumatelný, jak stěžovatelé rovněž namítali. Důvody kasační stížnosti podle § 103 odst. 1 písm. b) a d) s. ř. s. proto nebyly naplněny.</w:t>
      </w:r>
    </w:p>
    <w:p w14:paraId="7359DE8F" w14:textId="5128A6DC" w:rsidR="00DF7F99" w:rsidRPr="00B044F4" w:rsidRDefault="001E3027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bCs/>
          <w:i/>
          <w:sz w:val="24"/>
          <w:szCs w:val="24"/>
        </w:rPr>
      </w:pPr>
      <w:r w:rsidRPr="00B044F4">
        <w:rPr>
          <w:bCs/>
          <w:sz w:val="24"/>
          <w:szCs w:val="24"/>
        </w:rPr>
        <w:t xml:space="preserve">Z této situace se mohl Nejvyšší správní soud zabývat otázkou zákonnosti napadeného rozsudku </w:t>
      </w:r>
      <w:r w:rsidR="006D7E37" w:rsidRPr="00B044F4">
        <w:rPr>
          <w:bCs/>
          <w:sz w:val="24"/>
          <w:szCs w:val="24"/>
        </w:rPr>
        <w:t xml:space="preserve">městského soudu </w:t>
      </w:r>
      <w:r w:rsidRPr="00B044F4">
        <w:rPr>
          <w:bCs/>
          <w:sz w:val="24"/>
          <w:szCs w:val="24"/>
        </w:rPr>
        <w:t>a posoudit, zda žalovaná byla oprávněna odvolat</w:t>
      </w:r>
      <w:r w:rsidR="006D7E37" w:rsidRPr="00B044F4">
        <w:rPr>
          <w:bCs/>
          <w:sz w:val="24"/>
          <w:szCs w:val="24"/>
        </w:rPr>
        <w:t xml:space="preserve"> členy dozorčí komise jako svého</w:t>
      </w:r>
      <w:r w:rsidRPr="00B044F4">
        <w:rPr>
          <w:bCs/>
          <w:sz w:val="24"/>
          <w:szCs w:val="24"/>
        </w:rPr>
        <w:t xml:space="preserve"> poradní</w:t>
      </w:r>
      <w:r w:rsidR="006D7E37" w:rsidRPr="00B044F4">
        <w:rPr>
          <w:bCs/>
          <w:sz w:val="24"/>
          <w:szCs w:val="24"/>
        </w:rPr>
        <w:t>ho</w:t>
      </w:r>
      <w:r w:rsidRPr="00B044F4">
        <w:rPr>
          <w:bCs/>
          <w:sz w:val="24"/>
          <w:szCs w:val="24"/>
        </w:rPr>
        <w:t xml:space="preserve"> orgán</w:t>
      </w:r>
      <w:r w:rsidR="006D7E37" w:rsidRPr="00B044F4">
        <w:rPr>
          <w:bCs/>
          <w:sz w:val="24"/>
          <w:szCs w:val="24"/>
        </w:rPr>
        <w:t>u</w:t>
      </w:r>
      <w:r w:rsidRPr="00B044F4">
        <w:rPr>
          <w:bCs/>
          <w:sz w:val="24"/>
          <w:szCs w:val="24"/>
        </w:rPr>
        <w:t xml:space="preserve"> z důvodu</w:t>
      </w:r>
      <w:r w:rsidR="000A19CD" w:rsidRPr="00B044F4">
        <w:rPr>
          <w:bCs/>
          <w:sz w:val="24"/>
          <w:szCs w:val="24"/>
        </w:rPr>
        <w:t xml:space="preserve"> vyslovení vážných výhrad k jejich</w:t>
      </w:r>
      <w:r w:rsidRPr="00B044F4">
        <w:rPr>
          <w:bCs/>
          <w:sz w:val="24"/>
          <w:szCs w:val="24"/>
        </w:rPr>
        <w:t xml:space="preserve"> práci.</w:t>
      </w:r>
    </w:p>
    <w:p w14:paraId="2E962FF1" w14:textId="292421EA" w:rsidR="00CB09F0" w:rsidRPr="00B044F4" w:rsidRDefault="00314389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bCs/>
          <w:i/>
          <w:sz w:val="24"/>
          <w:szCs w:val="24"/>
        </w:rPr>
      </w:pPr>
      <w:r w:rsidRPr="00B044F4">
        <w:rPr>
          <w:sz w:val="24"/>
          <w:szCs w:val="24"/>
        </w:rPr>
        <w:t xml:space="preserve">Znění § 8 odst. 1 písm. k) zákona o ČT stanoví, že </w:t>
      </w:r>
      <w:r w:rsidRPr="00B044F4">
        <w:rPr>
          <w:i/>
          <w:sz w:val="24"/>
          <w:szCs w:val="24"/>
        </w:rPr>
        <w:t xml:space="preserve">do působnosti Rady náleží zřizovat dozorčí komisi (§ 8a), schvalovat její kontrolní řád (§ 8a odst. 7) a stanovit výši odměn členů dozorčí komise (§ 8b </w:t>
      </w:r>
      <w:r w:rsidR="00157E27" w:rsidRPr="00B044F4">
        <w:rPr>
          <w:i/>
          <w:sz w:val="24"/>
          <w:szCs w:val="24"/>
        </w:rPr>
        <w:t>odst. </w:t>
      </w:r>
      <w:r w:rsidRPr="00B044F4">
        <w:rPr>
          <w:i/>
          <w:sz w:val="24"/>
          <w:szCs w:val="24"/>
        </w:rPr>
        <w:t>4)</w:t>
      </w:r>
      <w:r w:rsidRPr="00B044F4">
        <w:rPr>
          <w:sz w:val="24"/>
          <w:szCs w:val="24"/>
        </w:rPr>
        <w:t xml:space="preserve">. Podle § </w:t>
      </w:r>
      <w:r w:rsidR="00983F05" w:rsidRPr="00B044F4">
        <w:rPr>
          <w:sz w:val="24"/>
          <w:szCs w:val="24"/>
        </w:rPr>
        <w:t xml:space="preserve">8a </w:t>
      </w:r>
      <w:r w:rsidRPr="00B044F4">
        <w:rPr>
          <w:sz w:val="24"/>
          <w:szCs w:val="24"/>
        </w:rPr>
        <w:t xml:space="preserve">odst. 1 tohoto zákona, </w:t>
      </w:r>
      <w:r w:rsidR="003D237C" w:rsidRPr="00B044F4">
        <w:rPr>
          <w:i/>
          <w:sz w:val="24"/>
          <w:szCs w:val="24"/>
        </w:rPr>
        <w:t xml:space="preserve">dozorčí komise je poradním orgánem Rady ve věcech kontroly hospodaření České televize. Jejím úkolem je sledovat, zda jsou finanční zdroje a </w:t>
      </w:r>
      <w:r w:rsidR="00157E27" w:rsidRPr="00B044F4">
        <w:rPr>
          <w:i/>
          <w:sz w:val="24"/>
          <w:szCs w:val="24"/>
        </w:rPr>
        <w:t>majetek České televize účelně a </w:t>
      </w:r>
      <w:r w:rsidR="003D237C" w:rsidRPr="00B044F4">
        <w:rPr>
          <w:i/>
          <w:sz w:val="24"/>
          <w:szCs w:val="24"/>
        </w:rPr>
        <w:t>hospodárně využívány podle schváleného rozpočtu České televize v souladu s právními předpisy a s požadavky práva Evropských společenství. Dozorčí komise je povinna upozorňovat Radu na zjištěné nedostatky a předkládat jí návrhy na jejich odstranění</w:t>
      </w:r>
      <w:r w:rsidR="003D237C" w:rsidRPr="00B044F4">
        <w:rPr>
          <w:sz w:val="24"/>
          <w:szCs w:val="24"/>
        </w:rPr>
        <w:t xml:space="preserve">. Podle § 8a odst. 2 stejného zákona, </w:t>
      </w:r>
      <w:r w:rsidR="003D237C" w:rsidRPr="00B044F4">
        <w:rPr>
          <w:i/>
          <w:sz w:val="24"/>
          <w:szCs w:val="24"/>
        </w:rPr>
        <w:t>d</w:t>
      </w:r>
      <w:r w:rsidR="00983F05" w:rsidRPr="00B044F4">
        <w:rPr>
          <w:i/>
          <w:iCs/>
          <w:sz w:val="24"/>
          <w:szCs w:val="24"/>
        </w:rPr>
        <w:t xml:space="preserve">ozorčí komise má 5 členů, kteří jsou voleni </w:t>
      </w:r>
      <w:r w:rsidR="00176999" w:rsidRPr="00B044F4">
        <w:rPr>
          <w:i/>
          <w:iCs/>
          <w:sz w:val="24"/>
          <w:szCs w:val="24"/>
        </w:rPr>
        <w:t>a </w:t>
      </w:r>
      <w:r w:rsidR="00983F05" w:rsidRPr="00B044F4">
        <w:rPr>
          <w:i/>
          <w:iCs/>
          <w:sz w:val="24"/>
          <w:szCs w:val="24"/>
        </w:rPr>
        <w:t xml:space="preserve">odvoláváni Radou </w:t>
      </w:r>
      <w:r w:rsidR="00176999" w:rsidRPr="00B044F4">
        <w:rPr>
          <w:i/>
          <w:iCs/>
          <w:sz w:val="24"/>
          <w:szCs w:val="24"/>
        </w:rPr>
        <w:t>z </w:t>
      </w:r>
      <w:r w:rsidR="00983F05" w:rsidRPr="00B044F4">
        <w:rPr>
          <w:i/>
          <w:iCs/>
          <w:sz w:val="24"/>
          <w:szCs w:val="24"/>
        </w:rPr>
        <w:t xml:space="preserve">občanů České republiky </w:t>
      </w:r>
      <w:r w:rsidR="00176999" w:rsidRPr="00B044F4">
        <w:rPr>
          <w:i/>
          <w:iCs/>
          <w:sz w:val="24"/>
          <w:szCs w:val="24"/>
        </w:rPr>
        <w:t>s </w:t>
      </w:r>
      <w:r w:rsidR="00983F05" w:rsidRPr="00B044F4">
        <w:rPr>
          <w:i/>
          <w:iCs/>
          <w:sz w:val="24"/>
          <w:szCs w:val="24"/>
        </w:rPr>
        <w:t>odbornými předpoklady pro výkon funkce člena dozorčí komise</w:t>
      </w:r>
      <w:r w:rsidR="007D3B8C" w:rsidRPr="00B044F4">
        <w:rPr>
          <w:sz w:val="24"/>
          <w:szCs w:val="24"/>
        </w:rPr>
        <w:t xml:space="preserve">. </w:t>
      </w:r>
      <w:r w:rsidR="003D237C" w:rsidRPr="00B044F4">
        <w:rPr>
          <w:i/>
          <w:sz w:val="24"/>
          <w:szCs w:val="24"/>
        </w:rPr>
        <w:t xml:space="preserve">Členové dozorčí komise jsou voleni na funkční období 4 let, a to i opětovně, ne však na více než 4 po sobě jdoucí funkční období. </w:t>
      </w:r>
      <w:r w:rsidR="003D237C" w:rsidRPr="00B044F4">
        <w:rPr>
          <w:sz w:val="24"/>
          <w:szCs w:val="24"/>
        </w:rPr>
        <w:t>Podle § 8a odst. 3 citovaného zákona</w:t>
      </w:r>
      <w:r w:rsidRPr="00B044F4">
        <w:rPr>
          <w:sz w:val="24"/>
          <w:szCs w:val="24"/>
        </w:rPr>
        <w:t>,</w:t>
      </w:r>
      <w:r w:rsidR="003D237C" w:rsidRPr="00B044F4">
        <w:rPr>
          <w:sz w:val="24"/>
          <w:szCs w:val="24"/>
        </w:rPr>
        <w:t xml:space="preserve"> </w:t>
      </w:r>
      <w:r w:rsidR="003D237C" w:rsidRPr="00B044F4">
        <w:rPr>
          <w:i/>
          <w:sz w:val="24"/>
          <w:szCs w:val="24"/>
        </w:rPr>
        <w:t>p</w:t>
      </w:r>
      <w:r w:rsidR="00983F05" w:rsidRPr="00B044F4">
        <w:rPr>
          <w:i/>
          <w:iCs/>
          <w:sz w:val="24"/>
          <w:szCs w:val="24"/>
        </w:rPr>
        <w:t xml:space="preserve">ro zvolení do funkce člena dozorčí komise </w:t>
      </w:r>
      <w:r w:rsidR="00176999" w:rsidRPr="00B044F4">
        <w:rPr>
          <w:i/>
          <w:iCs/>
          <w:sz w:val="24"/>
          <w:szCs w:val="24"/>
        </w:rPr>
        <w:t>a </w:t>
      </w:r>
      <w:r w:rsidR="00983F05" w:rsidRPr="00B044F4">
        <w:rPr>
          <w:i/>
          <w:iCs/>
          <w:sz w:val="24"/>
          <w:szCs w:val="24"/>
        </w:rPr>
        <w:t xml:space="preserve">pro výkon této funkce platí předpoklady stanovené </w:t>
      </w:r>
      <w:r w:rsidR="00176999" w:rsidRPr="00B044F4">
        <w:rPr>
          <w:i/>
          <w:iCs/>
          <w:sz w:val="24"/>
          <w:szCs w:val="24"/>
        </w:rPr>
        <w:t>v </w:t>
      </w:r>
      <w:r w:rsidR="00E97BC9" w:rsidRPr="00B044F4">
        <w:rPr>
          <w:i/>
          <w:iCs/>
          <w:sz w:val="24"/>
          <w:szCs w:val="24"/>
        </w:rPr>
        <w:t>§ </w:t>
      </w:r>
      <w:r w:rsidR="00983F05" w:rsidRPr="00B044F4">
        <w:rPr>
          <w:i/>
          <w:iCs/>
          <w:sz w:val="24"/>
          <w:szCs w:val="24"/>
        </w:rPr>
        <w:t xml:space="preserve">4 </w:t>
      </w:r>
      <w:r w:rsidR="00176999" w:rsidRPr="00B044F4">
        <w:rPr>
          <w:i/>
          <w:iCs/>
          <w:sz w:val="24"/>
          <w:szCs w:val="24"/>
        </w:rPr>
        <w:t>odst. </w:t>
      </w:r>
      <w:r w:rsidR="00983F05" w:rsidRPr="00B044F4">
        <w:rPr>
          <w:i/>
          <w:iCs/>
          <w:sz w:val="24"/>
          <w:szCs w:val="24"/>
        </w:rPr>
        <w:t xml:space="preserve">3 </w:t>
      </w:r>
      <w:r w:rsidR="00176999" w:rsidRPr="00B044F4">
        <w:rPr>
          <w:i/>
          <w:iCs/>
          <w:sz w:val="24"/>
          <w:szCs w:val="24"/>
        </w:rPr>
        <w:t>a </w:t>
      </w:r>
      <w:r w:rsidR="00E97BC9" w:rsidRPr="00B044F4">
        <w:rPr>
          <w:i/>
          <w:iCs/>
          <w:sz w:val="24"/>
          <w:szCs w:val="24"/>
        </w:rPr>
        <w:t>§ </w:t>
      </w:r>
      <w:r w:rsidR="00983F05" w:rsidRPr="00B044F4">
        <w:rPr>
          <w:i/>
          <w:iCs/>
          <w:sz w:val="24"/>
          <w:szCs w:val="24"/>
        </w:rPr>
        <w:t xml:space="preserve">5 obdobně. Pro zánik funkce člena dozorčí komise platí přiměřeně </w:t>
      </w:r>
      <w:r w:rsidR="00E97BC9" w:rsidRPr="00B044F4">
        <w:rPr>
          <w:i/>
          <w:iCs/>
          <w:sz w:val="24"/>
          <w:szCs w:val="24"/>
        </w:rPr>
        <w:t>§ </w:t>
      </w:r>
      <w:r w:rsidR="00983F05" w:rsidRPr="00B044F4">
        <w:rPr>
          <w:i/>
          <w:iCs/>
          <w:sz w:val="24"/>
          <w:szCs w:val="24"/>
        </w:rPr>
        <w:t xml:space="preserve">6 </w:t>
      </w:r>
      <w:r w:rsidR="00176999" w:rsidRPr="00B044F4">
        <w:rPr>
          <w:i/>
          <w:iCs/>
          <w:sz w:val="24"/>
          <w:szCs w:val="24"/>
        </w:rPr>
        <w:t>odst. </w:t>
      </w:r>
      <w:r w:rsidR="00983F05" w:rsidRPr="00B044F4">
        <w:rPr>
          <w:i/>
          <w:iCs/>
          <w:sz w:val="24"/>
          <w:szCs w:val="24"/>
        </w:rPr>
        <w:t xml:space="preserve">1 </w:t>
      </w:r>
      <w:r w:rsidR="00176999" w:rsidRPr="00B044F4">
        <w:rPr>
          <w:i/>
          <w:iCs/>
          <w:sz w:val="24"/>
          <w:szCs w:val="24"/>
        </w:rPr>
        <w:t>a </w:t>
      </w:r>
      <w:r w:rsidR="00983F05" w:rsidRPr="00B044F4">
        <w:rPr>
          <w:i/>
          <w:iCs/>
          <w:sz w:val="24"/>
          <w:szCs w:val="24"/>
        </w:rPr>
        <w:t>2</w:t>
      </w:r>
      <w:r w:rsidR="00983F05" w:rsidRPr="00B044F4">
        <w:rPr>
          <w:sz w:val="24"/>
          <w:szCs w:val="24"/>
        </w:rPr>
        <w:t>.</w:t>
      </w:r>
    </w:p>
    <w:p w14:paraId="0D3C4C50" w14:textId="76B3E6AC" w:rsidR="00FA7397" w:rsidRPr="00B044F4" w:rsidRDefault="00DE22C7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120" w:line="240" w:lineRule="auto"/>
        <w:ind w:left="0"/>
        <w:rPr>
          <w:i/>
          <w:sz w:val="24"/>
          <w:szCs w:val="24"/>
        </w:rPr>
      </w:pPr>
      <w:r w:rsidRPr="00B044F4">
        <w:rPr>
          <w:sz w:val="24"/>
          <w:szCs w:val="24"/>
        </w:rPr>
        <w:t>V předchozí citaci o</w:t>
      </w:r>
      <w:r w:rsidR="00983F05" w:rsidRPr="00B044F4">
        <w:rPr>
          <w:sz w:val="24"/>
          <w:szCs w:val="24"/>
        </w:rPr>
        <w:t>dkazovan</w:t>
      </w:r>
      <w:r w:rsidR="00FA7397" w:rsidRPr="00B044F4">
        <w:rPr>
          <w:sz w:val="24"/>
          <w:szCs w:val="24"/>
        </w:rPr>
        <w:t>ý</w:t>
      </w:r>
      <w:r w:rsidR="00983F05" w:rsidRPr="00B044F4">
        <w:rPr>
          <w:sz w:val="24"/>
          <w:szCs w:val="24"/>
        </w:rPr>
        <w:t xml:space="preserve"> </w:t>
      </w:r>
      <w:r w:rsidR="00E97BC9" w:rsidRPr="00B044F4">
        <w:rPr>
          <w:sz w:val="24"/>
          <w:szCs w:val="24"/>
        </w:rPr>
        <w:t>§ </w:t>
      </w:r>
      <w:r w:rsidR="00983F05" w:rsidRPr="00B044F4">
        <w:rPr>
          <w:sz w:val="24"/>
          <w:szCs w:val="24"/>
        </w:rPr>
        <w:t xml:space="preserve">4 </w:t>
      </w:r>
      <w:r w:rsidR="00176999" w:rsidRPr="00B044F4">
        <w:rPr>
          <w:sz w:val="24"/>
          <w:szCs w:val="24"/>
        </w:rPr>
        <w:t>odst. </w:t>
      </w:r>
      <w:r w:rsidR="00983F05" w:rsidRPr="00B044F4">
        <w:rPr>
          <w:sz w:val="24"/>
          <w:szCs w:val="24"/>
        </w:rPr>
        <w:t xml:space="preserve">3 zákona </w:t>
      </w:r>
      <w:r w:rsidR="00176999" w:rsidRPr="00B044F4">
        <w:rPr>
          <w:sz w:val="24"/>
          <w:szCs w:val="24"/>
        </w:rPr>
        <w:t>o </w:t>
      </w:r>
      <w:r w:rsidR="00983F05" w:rsidRPr="00B044F4">
        <w:rPr>
          <w:sz w:val="24"/>
          <w:szCs w:val="24"/>
        </w:rPr>
        <w:t xml:space="preserve">ČT stanoví, že </w:t>
      </w:r>
      <w:r w:rsidR="00FA7397" w:rsidRPr="00B044F4">
        <w:rPr>
          <w:i/>
          <w:iCs/>
          <w:sz w:val="24"/>
          <w:szCs w:val="24"/>
        </w:rPr>
        <w:t xml:space="preserve">členem Rady může být zvolen občan České republiky, který a) je způsobilý </w:t>
      </w:r>
      <w:r w:rsidR="00176999" w:rsidRPr="00B044F4">
        <w:rPr>
          <w:i/>
          <w:iCs/>
          <w:sz w:val="24"/>
          <w:szCs w:val="24"/>
        </w:rPr>
        <w:t>k </w:t>
      </w:r>
      <w:r w:rsidR="00FA7397" w:rsidRPr="00B044F4">
        <w:rPr>
          <w:i/>
          <w:iCs/>
          <w:sz w:val="24"/>
          <w:szCs w:val="24"/>
        </w:rPr>
        <w:t xml:space="preserve">právním úkonům, b) má trvalý pobyt na území České republiky, </w:t>
      </w:r>
      <w:r w:rsidR="00176999" w:rsidRPr="00B044F4">
        <w:rPr>
          <w:i/>
          <w:iCs/>
          <w:sz w:val="24"/>
          <w:szCs w:val="24"/>
        </w:rPr>
        <w:t>a </w:t>
      </w:r>
      <w:r w:rsidR="00FA7397" w:rsidRPr="00B044F4">
        <w:rPr>
          <w:i/>
          <w:iCs/>
          <w:sz w:val="24"/>
          <w:szCs w:val="24"/>
        </w:rPr>
        <w:t>c) je bezúhonný</w:t>
      </w:r>
      <w:r w:rsidR="00A04570" w:rsidRPr="00B044F4">
        <w:rPr>
          <w:i/>
          <w:sz w:val="24"/>
          <w:szCs w:val="24"/>
        </w:rPr>
        <w:t>; za bezúhonného se nepovažuje ten, kdo byl pravomocně odsouzen pro trestný čin spáchaný úmyslně, pokud jeho odsouzení pro tento trestný čin nebylo zahlazeno nebo se na něho z jiného důvodu nehledí jako by nebyl odsouzen, a ten, kdo nesplňuje požadavky podle zvláštního zákona</w:t>
      </w:r>
      <w:r w:rsidR="00A04570" w:rsidRPr="00B044F4">
        <w:rPr>
          <w:sz w:val="24"/>
          <w:szCs w:val="24"/>
        </w:rPr>
        <w:t>.</w:t>
      </w:r>
      <w:r w:rsidR="00A04570" w:rsidRPr="00B044F4">
        <w:rPr>
          <w:i/>
          <w:sz w:val="24"/>
          <w:szCs w:val="24"/>
        </w:rPr>
        <w:t xml:space="preserve"> </w:t>
      </w:r>
      <w:r w:rsidR="00FA7397" w:rsidRPr="00B044F4">
        <w:rPr>
          <w:sz w:val="24"/>
          <w:szCs w:val="24"/>
        </w:rPr>
        <w:t xml:space="preserve">Odkazovaný </w:t>
      </w:r>
      <w:r w:rsidR="00E97BC9" w:rsidRPr="00B044F4">
        <w:rPr>
          <w:sz w:val="24"/>
          <w:szCs w:val="24"/>
        </w:rPr>
        <w:t>§ </w:t>
      </w:r>
      <w:r w:rsidR="00FA7397" w:rsidRPr="00B044F4">
        <w:rPr>
          <w:sz w:val="24"/>
          <w:szCs w:val="24"/>
        </w:rPr>
        <w:t xml:space="preserve">5 </w:t>
      </w:r>
      <w:r w:rsidR="00A04570" w:rsidRPr="00B044F4">
        <w:rPr>
          <w:sz w:val="24"/>
          <w:szCs w:val="24"/>
        </w:rPr>
        <w:t>zákona o</w:t>
      </w:r>
      <w:r w:rsidR="00157E27" w:rsidRPr="00B044F4">
        <w:rPr>
          <w:sz w:val="24"/>
          <w:szCs w:val="24"/>
        </w:rPr>
        <w:t> </w:t>
      </w:r>
      <w:r w:rsidR="00A04570" w:rsidRPr="00B044F4">
        <w:rPr>
          <w:sz w:val="24"/>
          <w:szCs w:val="24"/>
        </w:rPr>
        <w:t xml:space="preserve">ČT </w:t>
      </w:r>
      <w:r w:rsidR="00FA7397" w:rsidRPr="00B044F4">
        <w:rPr>
          <w:sz w:val="24"/>
          <w:szCs w:val="24"/>
        </w:rPr>
        <w:t xml:space="preserve">pak zakotvuje pravidla neslučitelnosti </w:t>
      </w:r>
      <w:r w:rsidR="00157E27" w:rsidRPr="00B044F4">
        <w:rPr>
          <w:sz w:val="24"/>
          <w:szCs w:val="24"/>
        </w:rPr>
        <w:t xml:space="preserve">členství v </w:t>
      </w:r>
      <w:r w:rsidR="00A04570" w:rsidRPr="00B044F4">
        <w:rPr>
          <w:sz w:val="24"/>
          <w:szCs w:val="24"/>
        </w:rPr>
        <w:t>žalované s</w:t>
      </w:r>
      <w:r w:rsidR="00157E27" w:rsidRPr="00B044F4">
        <w:rPr>
          <w:sz w:val="24"/>
          <w:szCs w:val="24"/>
        </w:rPr>
        <w:t xml:space="preserve"> </w:t>
      </w:r>
      <w:r w:rsidR="00A04570" w:rsidRPr="00B044F4">
        <w:rPr>
          <w:sz w:val="24"/>
          <w:szCs w:val="24"/>
        </w:rPr>
        <w:t>jinými funkcemi</w:t>
      </w:r>
      <w:r w:rsidR="00157E27" w:rsidRPr="00B044F4">
        <w:rPr>
          <w:sz w:val="24"/>
          <w:szCs w:val="24"/>
        </w:rPr>
        <w:t xml:space="preserve"> a </w:t>
      </w:r>
      <w:r w:rsidR="00AD39D1" w:rsidRPr="00B044F4">
        <w:rPr>
          <w:sz w:val="24"/>
          <w:szCs w:val="24"/>
        </w:rPr>
        <w:t xml:space="preserve">vyjmenovanými činnostmi. </w:t>
      </w:r>
      <w:r w:rsidR="00FA7397" w:rsidRPr="00B044F4">
        <w:rPr>
          <w:sz w:val="24"/>
          <w:szCs w:val="24"/>
        </w:rPr>
        <w:t xml:space="preserve">Pro </w:t>
      </w:r>
      <w:r w:rsidR="00AD39D1" w:rsidRPr="00B044F4">
        <w:rPr>
          <w:sz w:val="24"/>
          <w:szCs w:val="24"/>
        </w:rPr>
        <w:t>účely posouzení projednávané</w:t>
      </w:r>
      <w:r w:rsidR="00FA7397" w:rsidRPr="00B044F4">
        <w:rPr>
          <w:sz w:val="24"/>
          <w:szCs w:val="24"/>
        </w:rPr>
        <w:t xml:space="preserve"> věc</w:t>
      </w:r>
      <w:r w:rsidR="00AD39D1" w:rsidRPr="00B044F4">
        <w:rPr>
          <w:sz w:val="24"/>
          <w:szCs w:val="24"/>
        </w:rPr>
        <w:t>i</w:t>
      </w:r>
      <w:r w:rsidR="00FA7397" w:rsidRPr="00B044F4">
        <w:rPr>
          <w:sz w:val="24"/>
          <w:szCs w:val="24"/>
        </w:rPr>
        <w:t xml:space="preserve"> je </w:t>
      </w:r>
      <w:r w:rsidRPr="00B044F4">
        <w:rPr>
          <w:sz w:val="24"/>
          <w:szCs w:val="24"/>
        </w:rPr>
        <w:t>však</w:t>
      </w:r>
      <w:r w:rsidR="00FA7397" w:rsidRPr="00B044F4">
        <w:rPr>
          <w:sz w:val="24"/>
          <w:szCs w:val="24"/>
        </w:rPr>
        <w:t xml:space="preserve"> </w:t>
      </w:r>
      <w:r w:rsidR="00A04570" w:rsidRPr="00B044F4">
        <w:rPr>
          <w:sz w:val="24"/>
          <w:szCs w:val="24"/>
        </w:rPr>
        <w:t>zásadní</w:t>
      </w:r>
      <w:r w:rsidR="00FA7397" w:rsidRPr="00B044F4">
        <w:rPr>
          <w:sz w:val="24"/>
          <w:szCs w:val="24"/>
        </w:rPr>
        <w:t xml:space="preserve"> </w:t>
      </w:r>
      <w:r w:rsidR="00E97BC9" w:rsidRPr="00B044F4">
        <w:rPr>
          <w:sz w:val="24"/>
          <w:szCs w:val="24"/>
        </w:rPr>
        <w:t>§ </w:t>
      </w:r>
      <w:r w:rsidR="00FA7397" w:rsidRPr="00B044F4">
        <w:rPr>
          <w:sz w:val="24"/>
          <w:szCs w:val="24"/>
        </w:rPr>
        <w:t>6</w:t>
      </w:r>
      <w:r w:rsidR="00157E27" w:rsidRPr="00B044F4">
        <w:rPr>
          <w:sz w:val="24"/>
          <w:szCs w:val="24"/>
        </w:rPr>
        <w:t xml:space="preserve"> odst. 1 a </w:t>
      </w:r>
      <w:r w:rsidR="006D7E37" w:rsidRPr="00B044F4">
        <w:rPr>
          <w:sz w:val="24"/>
          <w:szCs w:val="24"/>
        </w:rPr>
        <w:t>2</w:t>
      </w:r>
      <w:r w:rsidR="00FA7397" w:rsidRPr="00B044F4">
        <w:rPr>
          <w:sz w:val="24"/>
          <w:szCs w:val="24"/>
        </w:rPr>
        <w:t xml:space="preserve">, </w:t>
      </w:r>
      <w:r w:rsidR="006D7E37" w:rsidRPr="00B044F4">
        <w:rPr>
          <w:sz w:val="24"/>
          <w:szCs w:val="24"/>
        </w:rPr>
        <w:t>který zní takto:</w:t>
      </w:r>
    </w:p>
    <w:p w14:paraId="291BBC58" w14:textId="5D723420" w:rsidR="00C32345" w:rsidRPr="00B044F4" w:rsidRDefault="00C32345" w:rsidP="00825119">
      <w:pPr>
        <w:pStyle w:val="mmstd"/>
        <w:keepNext/>
        <w:numPr>
          <w:ilvl w:val="0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 xml:space="preserve">Členství </w:t>
      </w:r>
      <w:r w:rsidR="00176999" w:rsidRPr="00B044F4">
        <w:rPr>
          <w:i/>
          <w:iCs/>
          <w:sz w:val="24"/>
          <w:szCs w:val="24"/>
        </w:rPr>
        <w:t>v </w:t>
      </w:r>
      <w:r w:rsidRPr="00B044F4">
        <w:rPr>
          <w:i/>
          <w:iCs/>
          <w:sz w:val="24"/>
          <w:szCs w:val="24"/>
        </w:rPr>
        <w:t>Radě zaniká:</w:t>
      </w:r>
    </w:p>
    <w:p w14:paraId="281539B6" w14:textId="0F193F9C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uplynutím funkčního období,</w:t>
      </w:r>
    </w:p>
    <w:p w14:paraId="5153C85E" w14:textId="39EBB025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dnem bezprostředně následujícím po dni doručení písemně učiněného vzdání se funkce předsedovi Poslanecké sněmovny,</w:t>
      </w:r>
    </w:p>
    <w:p w14:paraId="2AB9D6B5" w14:textId="59C096BE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 xml:space="preserve">odvoláním </w:t>
      </w:r>
      <w:r w:rsidR="00176999" w:rsidRPr="00B044F4">
        <w:rPr>
          <w:i/>
          <w:iCs/>
          <w:sz w:val="24"/>
          <w:szCs w:val="24"/>
        </w:rPr>
        <w:t>z </w:t>
      </w:r>
      <w:r w:rsidRPr="00B044F4">
        <w:rPr>
          <w:i/>
          <w:iCs/>
          <w:sz w:val="24"/>
          <w:szCs w:val="24"/>
        </w:rPr>
        <w:t>funkce,</w:t>
      </w:r>
    </w:p>
    <w:p w14:paraId="6275249B" w14:textId="6A15BB49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 xml:space="preserve">dnem, kdy člen Rady přestal splňovat předpoklady pro zvolení do funkce člena Rady stanovené </w:t>
      </w:r>
      <w:r w:rsidR="00176999" w:rsidRPr="00B044F4">
        <w:rPr>
          <w:i/>
          <w:iCs/>
          <w:sz w:val="24"/>
          <w:szCs w:val="24"/>
        </w:rPr>
        <w:t>v </w:t>
      </w:r>
      <w:r w:rsidR="00E97BC9" w:rsidRPr="00B044F4">
        <w:rPr>
          <w:i/>
          <w:iCs/>
          <w:sz w:val="24"/>
          <w:szCs w:val="24"/>
        </w:rPr>
        <w:t>§ </w:t>
      </w:r>
      <w:r w:rsidRPr="00B044F4">
        <w:rPr>
          <w:i/>
          <w:iCs/>
          <w:sz w:val="24"/>
          <w:szCs w:val="24"/>
        </w:rPr>
        <w:t xml:space="preserve">4 </w:t>
      </w:r>
      <w:r w:rsidR="00176999" w:rsidRPr="00B044F4">
        <w:rPr>
          <w:i/>
          <w:iCs/>
          <w:sz w:val="24"/>
          <w:szCs w:val="24"/>
        </w:rPr>
        <w:t>odst. </w:t>
      </w:r>
      <w:r w:rsidRPr="00B044F4">
        <w:rPr>
          <w:i/>
          <w:iCs/>
          <w:sz w:val="24"/>
          <w:szCs w:val="24"/>
        </w:rPr>
        <w:t>3,</w:t>
      </w:r>
    </w:p>
    <w:p w14:paraId="63A03175" w14:textId="77777777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12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úmrtím.</w:t>
      </w:r>
    </w:p>
    <w:p w14:paraId="780667B9" w14:textId="3B767158" w:rsidR="00C32345" w:rsidRPr="00B044F4" w:rsidRDefault="00C32345" w:rsidP="00825119">
      <w:pPr>
        <w:pStyle w:val="mmstd"/>
        <w:numPr>
          <w:ilvl w:val="0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 xml:space="preserve">Poslanecká sněmovna člena Rady </w:t>
      </w:r>
      <w:r w:rsidR="00176999" w:rsidRPr="00B044F4">
        <w:rPr>
          <w:i/>
          <w:iCs/>
          <w:sz w:val="24"/>
          <w:szCs w:val="24"/>
        </w:rPr>
        <w:t>z </w:t>
      </w:r>
      <w:r w:rsidRPr="00B044F4">
        <w:rPr>
          <w:i/>
          <w:iCs/>
          <w:sz w:val="24"/>
          <w:szCs w:val="24"/>
        </w:rPr>
        <w:t>funkce odvolá</w:t>
      </w:r>
    </w:p>
    <w:p w14:paraId="28C61F8A" w14:textId="5B96AE02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přestal</w:t>
      </w:r>
      <w:r w:rsidR="00176999" w:rsidRPr="00B044F4">
        <w:rPr>
          <w:i/>
          <w:iCs/>
          <w:sz w:val="24"/>
          <w:szCs w:val="24"/>
        </w:rPr>
        <w:noBreakHyphen/>
      </w:r>
      <w:r w:rsidRPr="00B044F4">
        <w:rPr>
          <w:i/>
          <w:iCs/>
          <w:sz w:val="24"/>
          <w:szCs w:val="24"/>
        </w:rPr>
        <w:t xml:space="preserve">li splňovat předpoklady pro výkon funkce člena Rady stanovené </w:t>
      </w:r>
      <w:r w:rsidR="00176999" w:rsidRPr="00B044F4">
        <w:rPr>
          <w:i/>
          <w:iCs/>
          <w:sz w:val="24"/>
          <w:szCs w:val="24"/>
        </w:rPr>
        <w:t>v </w:t>
      </w:r>
      <w:r w:rsidR="00E97BC9" w:rsidRPr="00B044F4">
        <w:rPr>
          <w:i/>
          <w:iCs/>
          <w:sz w:val="24"/>
          <w:szCs w:val="24"/>
        </w:rPr>
        <w:t>§ </w:t>
      </w:r>
      <w:r w:rsidRPr="00B044F4">
        <w:rPr>
          <w:i/>
          <w:iCs/>
          <w:sz w:val="24"/>
          <w:szCs w:val="24"/>
        </w:rPr>
        <w:t>5,</w:t>
      </w:r>
    </w:p>
    <w:p w14:paraId="53B4CA5F" w14:textId="26EF1D6D" w:rsidR="00C32345" w:rsidRPr="00B044F4" w:rsidRDefault="00C32345" w:rsidP="00825119">
      <w:pPr>
        <w:pStyle w:val="mmstd"/>
        <w:numPr>
          <w:ilvl w:val="1"/>
          <w:numId w:val="11"/>
        </w:numPr>
        <w:tabs>
          <w:tab w:val="left" w:pos="378"/>
        </w:tabs>
        <w:spacing w:before="0" w:after="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narušil</w:t>
      </w:r>
      <w:r w:rsidR="00176999" w:rsidRPr="00B044F4">
        <w:rPr>
          <w:i/>
          <w:iCs/>
          <w:sz w:val="24"/>
          <w:szCs w:val="24"/>
        </w:rPr>
        <w:noBreakHyphen/>
      </w:r>
      <w:r w:rsidRPr="00B044F4">
        <w:rPr>
          <w:i/>
          <w:iCs/>
          <w:sz w:val="24"/>
          <w:szCs w:val="24"/>
        </w:rPr>
        <w:t>li závažným způsobem důstojnost funkce člena Rady nebo dopustil</w:t>
      </w:r>
      <w:r w:rsidR="00176999" w:rsidRPr="00B044F4">
        <w:rPr>
          <w:i/>
          <w:iCs/>
          <w:sz w:val="24"/>
          <w:szCs w:val="24"/>
        </w:rPr>
        <w:noBreakHyphen/>
      </w:r>
      <w:r w:rsidRPr="00B044F4">
        <w:rPr>
          <w:i/>
          <w:iCs/>
          <w:sz w:val="24"/>
          <w:szCs w:val="24"/>
        </w:rPr>
        <w:t>li se takového jednání, které zpochybňuje jeho nezávislost nebo nestrannost při výkonu funkce člena Rady,</w:t>
      </w:r>
    </w:p>
    <w:p w14:paraId="59C4852A" w14:textId="0201A11B" w:rsidR="00C32345" w:rsidRPr="00B044F4" w:rsidRDefault="00C32345" w:rsidP="00B24687">
      <w:pPr>
        <w:pStyle w:val="mmstd"/>
        <w:numPr>
          <w:ilvl w:val="1"/>
          <w:numId w:val="11"/>
        </w:numPr>
        <w:tabs>
          <w:tab w:val="left" w:pos="378"/>
        </w:tabs>
        <w:spacing w:before="0" w:after="240" w:line="240" w:lineRule="auto"/>
        <w:ind w:left="357" w:hanging="357"/>
        <w:rPr>
          <w:i/>
          <w:iCs/>
          <w:sz w:val="24"/>
          <w:szCs w:val="24"/>
        </w:rPr>
      </w:pPr>
      <w:r w:rsidRPr="00B044F4">
        <w:rPr>
          <w:i/>
          <w:iCs/>
          <w:sz w:val="24"/>
          <w:szCs w:val="24"/>
        </w:rPr>
        <w:t>nezúčastňuje</w:t>
      </w:r>
      <w:r w:rsidR="00176999" w:rsidRPr="00B044F4">
        <w:rPr>
          <w:i/>
          <w:iCs/>
          <w:sz w:val="24"/>
          <w:szCs w:val="24"/>
        </w:rPr>
        <w:noBreakHyphen/>
      </w:r>
      <w:r w:rsidRPr="00B044F4">
        <w:rPr>
          <w:i/>
          <w:iCs/>
          <w:sz w:val="24"/>
          <w:szCs w:val="24"/>
        </w:rPr>
        <w:t>li se po dobu více než 3 měsíců schůzí Rady.</w:t>
      </w:r>
    </w:p>
    <w:p w14:paraId="71DB94E9" w14:textId="5E82A2FF" w:rsidR="00861E9F" w:rsidRPr="00B044F4" w:rsidRDefault="008822F4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Ustanovení § 8a odst. 2 zákona o ČT tedy svěřuje žalované pravomoc volit a odvolávat členy dozorčí komise z řad českých státních příslušníků s odbornými předpoklady pro výkon této fu</w:t>
      </w:r>
      <w:r w:rsidR="00C75BE3" w:rsidRPr="00B044F4">
        <w:rPr>
          <w:sz w:val="24"/>
          <w:szCs w:val="24"/>
        </w:rPr>
        <w:t>nkce. N</w:t>
      </w:r>
      <w:r w:rsidRPr="00B044F4">
        <w:rPr>
          <w:sz w:val="24"/>
          <w:szCs w:val="24"/>
        </w:rPr>
        <w:t>icméně odstavec třetí téhož ustanovení stanoví další předpoklady</w:t>
      </w:r>
      <w:r w:rsidR="00C75BE3" w:rsidRPr="00B044F4">
        <w:rPr>
          <w:sz w:val="24"/>
          <w:szCs w:val="24"/>
        </w:rPr>
        <w:t xml:space="preserve"> pro zvolení do funkce člena dozorčí komise a pro její výkon, které platí obdobně jako podmínky pro zvolení do funkce člena žalované a pro </w:t>
      </w:r>
      <w:r w:rsidR="00B24687" w:rsidRPr="00B044F4">
        <w:rPr>
          <w:sz w:val="24"/>
          <w:szCs w:val="24"/>
        </w:rPr>
        <w:t>výkon této funkce</w:t>
      </w:r>
      <w:r w:rsidR="00C75BE3" w:rsidRPr="00B044F4">
        <w:rPr>
          <w:sz w:val="24"/>
          <w:szCs w:val="24"/>
        </w:rPr>
        <w:t xml:space="preserve"> stanovené v § 4 odst. 3 a § 5 zákona o ČT. </w:t>
      </w:r>
      <w:r w:rsidR="00B55168" w:rsidRPr="00B044F4">
        <w:rPr>
          <w:sz w:val="24"/>
          <w:szCs w:val="24"/>
        </w:rPr>
        <w:t>Městský soud v napadeném rozsudku správně poukázal na Legislativní pravidla vlád</w:t>
      </w:r>
      <w:r w:rsidR="001066C0" w:rsidRPr="00B044F4">
        <w:rPr>
          <w:sz w:val="24"/>
          <w:szCs w:val="24"/>
        </w:rPr>
        <w:t>y České republiky, podle nichž „</w:t>
      </w:r>
      <w:r w:rsidR="00B55168" w:rsidRPr="00B044F4">
        <w:rPr>
          <w:i/>
          <w:sz w:val="24"/>
          <w:szCs w:val="24"/>
        </w:rPr>
        <w:t>s</w:t>
      </w:r>
      <w:r w:rsidR="001066C0" w:rsidRPr="00B044F4">
        <w:rPr>
          <w:i/>
          <w:sz w:val="24"/>
          <w:szCs w:val="24"/>
        </w:rPr>
        <w:t>lovo</w:t>
      </w:r>
      <w:r w:rsidR="001066C0" w:rsidRPr="00B044F4">
        <w:rPr>
          <w:sz w:val="24"/>
          <w:szCs w:val="24"/>
        </w:rPr>
        <w:t xml:space="preserve"> </w:t>
      </w:r>
      <w:r w:rsidR="001066C0" w:rsidRPr="00B044F4">
        <w:rPr>
          <w:i/>
          <w:sz w:val="24"/>
          <w:szCs w:val="24"/>
        </w:rPr>
        <w:t xml:space="preserve">‚obdobně‘ </w:t>
      </w:r>
      <w:r w:rsidR="00B55168" w:rsidRPr="00B044F4">
        <w:rPr>
          <w:i/>
          <w:sz w:val="24"/>
          <w:szCs w:val="24"/>
        </w:rPr>
        <w:t>ve spojení s odkazem na jiné ustanovení téhož nebo jiného právního předpisu vyjadřuje,</w:t>
      </w:r>
      <w:r w:rsidR="00B55168" w:rsidRPr="00B044F4">
        <w:rPr>
          <w:sz w:val="24"/>
          <w:szCs w:val="24"/>
        </w:rPr>
        <w:t xml:space="preserve"> </w:t>
      </w:r>
      <w:r w:rsidR="00157E27" w:rsidRPr="00B044F4">
        <w:rPr>
          <w:i/>
          <w:sz w:val="24"/>
          <w:szCs w:val="24"/>
        </w:rPr>
        <w:t>že </w:t>
      </w:r>
      <w:r w:rsidR="00B55168" w:rsidRPr="00B044F4">
        <w:rPr>
          <w:i/>
          <w:sz w:val="24"/>
          <w:szCs w:val="24"/>
        </w:rPr>
        <w:t>toto ustanovení se vztahuje na vymezené právní vztahy v plném rozsahu“</w:t>
      </w:r>
      <w:r w:rsidR="00B55168" w:rsidRPr="00B044F4">
        <w:rPr>
          <w:sz w:val="24"/>
          <w:szCs w:val="24"/>
        </w:rPr>
        <w:t>. Jestliže tedy podle § 8a odst. 2 věty druhé zákona o ČT pro zvolení do funkce člena dozorčí komise platí obdobně předpoklady stanovené v § 4 odst. 3 téhož zákona, znamená to, že členem dozorčí komise stejně jako členem žalované může být zvolen občan České republiky, který je</w:t>
      </w:r>
      <w:r w:rsidR="00157E27" w:rsidRPr="00B044F4">
        <w:rPr>
          <w:sz w:val="24"/>
          <w:szCs w:val="24"/>
        </w:rPr>
        <w:t xml:space="preserve"> způsobilý k právním úkonům, má </w:t>
      </w:r>
      <w:r w:rsidR="00B55168" w:rsidRPr="00B044F4">
        <w:rPr>
          <w:sz w:val="24"/>
          <w:szCs w:val="24"/>
        </w:rPr>
        <w:t>trvalý pobyt na území České republiky a je bezúh</w:t>
      </w:r>
      <w:r w:rsidR="00861E9F" w:rsidRPr="00B044F4">
        <w:rPr>
          <w:sz w:val="24"/>
          <w:szCs w:val="24"/>
        </w:rPr>
        <w:t xml:space="preserve">onný. </w:t>
      </w:r>
      <w:r w:rsidR="00B55168" w:rsidRPr="00B044F4">
        <w:rPr>
          <w:sz w:val="24"/>
          <w:szCs w:val="24"/>
        </w:rPr>
        <w:t xml:space="preserve">Stejně jako členství v </w:t>
      </w:r>
      <w:r w:rsidR="00861E9F" w:rsidRPr="00B044F4">
        <w:rPr>
          <w:sz w:val="24"/>
          <w:szCs w:val="24"/>
        </w:rPr>
        <w:t>žalované je pak i</w:t>
      </w:r>
      <w:r w:rsidR="00157E27" w:rsidRPr="00B044F4">
        <w:rPr>
          <w:sz w:val="24"/>
          <w:szCs w:val="24"/>
        </w:rPr>
        <w:t> </w:t>
      </w:r>
      <w:r w:rsidR="00B55168" w:rsidRPr="00B044F4">
        <w:rPr>
          <w:sz w:val="24"/>
          <w:szCs w:val="24"/>
        </w:rPr>
        <w:t>členství v dozorčí komisi neslučitelné s jinými funkcemi a činnostmi</w:t>
      </w:r>
      <w:r w:rsidR="00861E9F" w:rsidRPr="00B044F4">
        <w:rPr>
          <w:sz w:val="24"/>
          <w:szCs w:val="24"/>
        </w:rPr>
        <w:t xml:space="preserve"> vyjmenovanými v § 5 téhož zákona. Jinak řečeno, obdobné použití pravidel pro zvolení členem žalované a pro výkon této funkce i na členy dozorčí komise znamená to, že slova </w:t>
      </w:r>
      <w:r w:rsidR="00E66B3E" w:rsidRPr="00B044F4">
        <w:rPr>
          <w:sz w:val="24"/>
          <w:szCs w:val="24"/>
        </w:rPr>
        <w:t xml:space="preserve">„Rada“, „člen Rady“, </w:t>
      </w:r>
      <w:r w:rsidR="00861E9F" w:rsidRPr="00B044F4">
        <w:rPr>
          <w:sz w:val="24"/>
          <w:szCs w:val="24"/>
        </w:rPr>
        <w:t>„členství v Radě“</w:t>
      </w:r>
      <w:r w:rsidR="00157E27" w:rsidRPr="00B044F4">
        <w:rPr>
          <w:sz w:val="24"/>
          <w:szCs w:val="24"/>
        </w:rPr>
        <w:t xml:space="preserve"> a </w:t>
      </w:r>
      <w:r w:rsidR="00350E69" w:rsidRPr="00B044F4">
        <w:rPr>
          <w:sz w:val="24"/>
          <w:szCs w:val="24"/>
        </w:rPr>
        <w:t xml:space="preserve">jejich </w:t>
      </w:r>
      <w:r w:rsidR="00E66B3E" w:rsidRPr="00B044F4">
        <w:rPr>
          <w:sz w:val="24"/>
          <w:szCs w:val="24"/>
        </w:rPr>
        <w:t>jednotlivé</w:t>
      </w:r>
      <w:r w:rsidR="00350E69" w:rsidRPr="00B044F4">
        <w:rPr>
          <w:sz w:val="24"/>
          <w:szCs w:val="24"/>
        </w:rPr>
        <w:t xml:space="preserve"> pády použité v § 4 odst. 3 a § 5 zákona o ČT lze plně zaměnit za </w:t>
      </w:r>
      <w:r w:rsidR="00E66B3E" w:rsidRPr="00B044F4">
        <w:rPr>
          <w:sz w:val="24"/>
          <w:szCs w:val="24"/>
        </w:rPr>
        <w:t>tvary slov „dozorčí komise“, „člen dozorčí komise“ a</w:t>
      </w:r>
      <w:r w:rsidR="00350E69" w:rsidRPr="00B044F4">
        <w:rPr>
          <w:sz w:val="24"/>
          <w:szCs w:val="24"/>
        </w:rPr>
        <w:t xml:space="preserve"> </w:t>
      </w:r>
      <w:r w:rsidR="00E66B3E" w:rsidRPr="00B044F4">
        <w:rPr>
          <w:sz w:val="24"/>
          <w:szCs w:val="24"/>
        </w:rPr>
        <w:t>„členství v dozorčí komisi“</w:t>
      </w:r>
      <w:r w:rsidR="00350E69" w:rsidRPr="00B044F4">
        <w:rPr>
          <w:sz w:val="24"/>
          <w:szCs w:val="24"/>
        </w:rPr>
        <w:t>, aby se právní vztahy upravené v těchto ustanoveních plně vztahovaly i na zvolení d</w:t>
      </w:r>
      <w:r w:rsidR="00157E27" w:rsidRPr="00B044F4">
        <w:rPr>
          <w:sz w:val="24"/>
          <w:szCs w:val="24"/>
        </w:rPr>
        <w:t>o funkce člena dozorčí komise a </w:t>
      </w:r>
      <w:r w:rsidR="00350E69" w:rsidRPr="00B044F4">
        <w:rPr>
          <w:sz w:val="24"/>
          <w:szCs w:val="24"/>
        </w:rPr>
        <w:t>pro její výkon, jak vyžaduje znění § 8a od</w:t>
      </w:r>
      <w:r w:rsidR="00157E27" w:rsidRPr="00B044F4">
        <w:rPr>
          <w:sz w:val="24"/>
          <w:szCs w:val="24"/>
        </w:rPr>
        <w:t>st. 3 věty druhé téhož zákona.</w:t>
      </w:r>
    </w:p>
    <w:p w14:paraId="10840FAC" w14:textId="1C1CE626" w:rsidR="00B24687" w:rsidRPr="00B044F4" w:rsidRDefault="001066C0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Podle třetí věty naposledy uvedeného ustanovení zákona o ČT platí pro zánik funkce člena doz</w:t>
      </w:r>
      <w:r w:rsidR="00B24687" w:rsidRPr="00B044F4">
        <w:rPr>
          <w:sz w:val="24"/>
          <w:szCs w:val="24"/>
        </w:rPr>
        <w:t xml:space="preserve">orčí komise § 6 odst. 1 a 2 </w:t>
      </w:r>
      <w:r w:rsidRPr="00B044F4">
        <w:rPr>
          <w:sz w:val="24"/>
          <w:szCs w:val="24"/>
        </w:rPr>
        <w:t>přiměřeně. Podle Legislativních pravidel vlády „</w:t>
      </w:r>
      <w:r w:rsidRPr="00B044F4">
        <w:rPr>
          <w:i/>
          <w:sz w:val="24"/>
          <w:szCs w:val="24"/>
        </w:rPr>
        <w:t>slova ‚přiměřeně‘</w:t>
      </w:r>
      <w:r w:rsidR="00AB0162" w:rsidRPr="00B044F4">
        <w:rPr>
          <w:i/>
          <w:sz w:val="24"/>
          <w:szCs w:val="24"/>
        </w:rPr>
        <w:t xml:space="preserve"> </w:t>
      </w:r>
      <w:r w:rsidR="00157E27" w:rsidRPr="00B044F4">
        <w:rPr>
          <w:i/>
          <w:sz w:val="24"/>
          <w:szCs w:val="24"/>
        </w:rPr>
        <w:t>ve </w:t>
      </w:r>
      <w:r w:rsidRPr="00B044F4">
        <w:rPr>
          <w:i/>
          <w:sz w:val="24"/>
          <w:szCs w:val="24"/>
        </w:rPr>
        <w:t xml:space="preserve">spojení s odkazem na jiné ustanovení téhož nebo jiného právního předpisu lze použít výjimečně; </w:t>
      </w:r>
      <w:r w:rsidR="00AC6751" w:rsidRPr="00B044F4">
        <w:rPr>
          <w:i/>
          <w:sz w:val="24"/>
          <w:szCs w:val="24"/>
        </w:rPr>
        <w:t>vyjadřuje volnější vztah mezi tímto ustanovením a vymezenými právními vztahy“</w:t>
      </w:r>
      <w:r w:rsidR="00157E27" w:rsidRPr="00B044F4">
        <w:rPr>
          <w:sz w:val="24"/>
          <w:szCs w:val="24"/>
        </w:rPr>
        <w:t>. Je nepochybné, že důvody pro </w:t>
      </w:r>
      <w:r w:rsidR="00AC6751" w:rsidRPr="00B044F4">
        <w:rPr>
          <w:sz w:val="24"/>
          <w:szCs w:val="24"/>
        </w:rPr>
        <w:t xml:space="preserve">zánik členství v Radě vymezené v § 6 odst. 1 a 2 zákona o ČT se </w:t>
      </w:r>
      <w:r w:rsidR="00E66B3E" w:rsidRPr="00B044F4">
        <w:rPr>
          <w:sz w:val="24"/>
          <w:szCs w:val="24"/>
        </w:rPr>
        <w:t xml:space="preserve">podle </w:t>
      </w:r>
      <w:r w:rsidR="00AC6751" w:rsidRPr="00B044F4">
        <w:rPr>
          <w:sz w:val="24"/>
          <w:szCs w:val="24"/>
        </w:rPr>
        <w:t xml:space="preserve">jeho ustanovení § 8a odst. 3 věty třetí plně vztahují </w:t>
      </w:r>
      <w:r w:rsidR="00B24687" w:rsidRPr="00B044F4">
        <w:rPr>
          <w:sz w:val="24"/>
          <w:szCs w:val="24"/>
        </w:rPr>
        <w:t xml:space="preserve">i </w:t>
      </w:r>
      <w:r w:rsidR="00AC6751" w:rsidRPr="00B044F4">
        <w:rPr>
          <w:sz w:val="24"/>
          <w:szCs w:val="24"/>
        </w:rPr>
        <w:t xml:space="preserve">na zánik funkce člena dozorčí komise. </w:t>
      </w:r>
      <w:r w:rsidR="00E66B3E" w:rsidRPr="00B044F4">
        <w:rPr>
          <w:sz w:val="24"/>
          <w:szCs w:val="24"/>
        </w:rPr>
        <w:t xml:space="preserve">Přiměřené použití těchto důvodů </w:t>
      </w:r>
      <w:r w:rsidR="00B24687" w:rsidRPr="00B044F4">
        <w:rPr>
          <w:sz w:val="24"/>
          <w:szCs w:val="24"/>
        </w:rPr>
        <w:t xml:space="preserve">přitom </w:t>
      </w:r>
      <w:r w:rsidR="00E66B3E" w:rsidRPr="00B044F4">
        <w:rPr>
          <w:sz w:val="24"/>
          <w:szCs w:val="24"/>
        </w:rPr>
        <w:t>znamená, že nepostačí toliko slova „Rada“, „</w:t>
      </w:r>
      <w:r w:rsidR="00157E27" w:rsidRPr="00B044F4">
        <w:rPr>
          <w:sz w:val="24"/>
          <w:szCs w:val="24"/>
        </w:rPr>
        <w:t>člen Rady“, „členství v Radě“ a </w:t>
      </w:r>
      <w:r w:rsidR="00E66B3E" w:rsidRPr="00B044F4">
        <w:rPr>
          <w:sz w:val="24"/>
          <w:szCs w:val="24"/>
        </w:rPr>
        <w:t xml:space="preserve">jejich jednotlivé pády zaměnit za tvary slov „dozorčí komise“, „člen dozorčí komise“ a „členství v dozorčí komisi“, nýbrž je dále nutné zohlednit, že členy dozorčí komise odvolává </w:t>
      </w:r>
      <w:r w:rsidR="00AB0162" w:rsidRPr="00B044F4">
        <w:rPr>
          <w:sz w:val="24"/>
          <w:szCs w:val="24"/>
        </w:rPr>
        <w:t xml:space="preserve">z funkce </w:t>
      </w:r>
      <w:r w:rsidR="00B24687" w:rsidRPr="00B044F4">
        <w:rPr>
          <w:sz w:val="24"/>
          <w:szCs w:val="24"/>
        </w:rPr>
        <w:t xml:space="preserve">z důvodů </w:t>
      </w:r>
      <w:r w:rsidR="00AB0162" w:rsidRPr="00B044F4">
        <w:rPr>
          <w:sz w:val="24"/>
          <w:szCs w:val="24"/>
        </w:rPr>
        <w:t>podle § 6 odst. 2</w:t>
      </w:r>
      <w:r w:rsidR="000A19CD" w:rsidRPr="00B044F4">
        <w:rPr>
          <w:sz w:val="24"/>
          <w:szCs w:val="24"/>
        </w:rPr>
        <w:t xml:space="preserve"> zákona o ČT</w:t>
      </w:r>
      <w:r w:rsidR="00AB0162" w:rsidRPr="00B044F4">
        <w:rPr>
          <w:sz w:val="24"/>
          <w:szCs w:val="24"/>
        </w:rPr>
        <w:t xml:space="preserve"> </w:t>
      </w:r>
      <w:r w:rsidR="00E66B3E" w:rsidRPr="00B044F4">
        <w:rPr>
          <w:sz w:val="24"/>
          <w:szCs w:val="24"/>
        </w:rPr>
        <w:t>žalovaná, a n</w:t>
      </w:r>
      <w:r w:rsidR="00AB0162" w:rsidRPr="00B044F4">
        <w:rPr>
          <w:sz w:val="24"/>
          <w:szCs w:val="24"/>
        </w:rPr>
        <w:t>ikoli Poslanecká sněmovna. Podob</w:t>
      </w:r>
      <w:r w:rsidR="00B24687" w:rsidRPr="00B044F4">
        <w:rPr>
          <w:sz w:val="24"/>
          <w:szCs w:val="24"/>
        </w:rPr>
        <w:t>n</w:t>
      </w:r>
      <w:r w:rsidR="00AB0162" w:rsidRPr="00B044F4">
        <w:rPr>
          <w:sz w:val="24"/>
          <w:szCs w:val="24"/>
        </w:rPr>
        <w:t>ě</w:t>
      </w:r>
      <w:r w:rsidR="00E66B3E" w:rsidRPr="00B044F4">
        <w:rPr>
          <w:sz w:val="24"/>
          <w:szCs w:val="24"/>
        </w:rPr>
        <w:t xml:space="preserve"> členství v dozorčí </w:t>
      </w:r>
      <w:r w:rsidR="00AB0162" w:rsidRPr="00B044F4">
        <w:rPr>
          <w:sz w:val="24"/>
          <w:szCs w:val="24"/>
        </w:rPr>
        <w:t>komisi podle přiměřené</w:t>
      </w:r>
      <w:r w:rsidR="00E66B3E" w:rsidRPr="00B044F4">
        <w:rPr>
          <w:sz w:val="24"/>
          <w:szCs w:val="24"/>
        </w:rPr>
        <w:t xml:space="preserve"> </w:t>
      </w:r>
      <w:r w:rsidR="00AB0162" w:rsidRPr="00B044F4">
        <w:rPr>
          <w:sz w:val="24"/>
          <w:szCs w:val="24"/>
        </w:rPr>
        <w:t>aplikace</w:t>
      </w:r>
      <w:r w:rsidR="00E66B3E" w:rsidRPr="00B044F4">
        <w:rPr>
          <w:sz w:val="24"/>
          <w:szCs w:val="24"/>
        </w:rPr>
        <w:t xml:space="preserve"> § 6 odst. 1 písm. b) zákona o ČT nezaniká dnem bezprostředně následujícím po dni doručení písemně učiněného vzdání se funkce předsedovi Poslanecké sněmovny, nýbrž </w:t>
      </w:r>
      <w:r w:rsidR="00B24687" w:rsidRPr="00B044F4">
        <w:rPr>
          <w:sz w:val="24"/>
          <w:szCs w:val="24"/>
        </w:rPr>
        <w:t>předsedovi žalované.</w:t>
      </w:r>
      <w:r w:rsidR="001853BC" w:rsidRPr="00B044F4">
        <w:rPr>
          <w:sz w:val="24"/>
          <w:szCs w:val="24"/>
        </w:rPr>
        <w:t xml:space="preserve"> </w:t>
      </w:r>
      <w:r w:rsidR="00571423" w:rsidRPr="00B044F4">
        <w:rPr>
          <w:sz w:val="24"/>
          <w:szCs w:val="24"/>
        </w:rPr>
        <w:t>Právě j</w:t>
      </w:r>
      <w:r w:rsidR="001853BC" w:rsidRPr="00B044F4">
        <w:rPr>
          <w:sz w:val="24"/>
          <w:szCs w:val="24"/>
        </w:rPr>
        <w:t>en v těchto modifikacích spočívá volnější vztah mezi zněním § 6 odst. 1 a 2 a § 8a odst. 3 věty třetí zákona o ČT.</w:t>
      </w:r>
    </w:p>
    <w:p w14:paraId="04D23D5C" w14:textId="7AB1E83E" w:rsidR="008A70ED" w:rsidRPr="00B044F4" w:rsidRDefault="00571423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Městský soud správně poukázal na problematičnost slova „přiměřeně“, když z Legislativních pravidel vlády citoval, že </w:t>
      </w:r>
      <w:r w:rsidRPr="00B044F4">
        <w:rPr>
          <w:i/>
          <w:sz w:val="24"/>
          <w:szCs w:val="24"/>
        </w:rPr>
        <w:t xml:space="preserve">„v tomto případě se na tom, kdo chce poznat obsah a rozsah právní normy, která odkazuje na ‚přiměřené‘ použití jiné normy, požaduje, aby provedl poměrně složitou logickou operaci a zhodnotil, kdy, resp. které předpokládané právní následky se na daný případ mohou vztahovat a kdy, resp. které nikoliv. </w:t>
      </w:r>
      <w:r w:rsidR="008A70ED" w:rsidRPr="00B044F4">
        <w:rPr>
          <w:sz w:val="24"/>
          <w:szCs w:val="24"/>
        </w:rPr>
        <w:t xml:space="preserve">Nicméně z tohoto </w:t>
      </w:r>
      <w:r w:rsidR="00742425" w:rsidRPr="00B044F4">
        <w:rPr>
          <w:sz w:val="24"/>
          <w:szCs w:val="24"/>
        </w:rPr>
        <w:t>legislativního pravidla</w:t>
      </w:r>
      <w:r w:rsidR="008A70ED" w:rsidRPr="00B044F4">
        <w:rPr>
          <w:sz w:val="24"/>
          <w:szCs w:val="24"/>
        </w:rPr>
        <w:t xml:space="preserve"> vyplývá jen to, že v některých případech nelze právní vztahy vymezené v právní normě</w:t>
      </w:r>
      <w:r w:rsidR="00742425" w:rsidRPr="00B044F4">
        <w:rPr>
          <w:sz w:val="24"/>
          <w:szCs w:val="24"/>
        </w:rPr>
        <w:t>, která má být přiměřeně aplikována,</w:t>
      </w:r>
      <w:r w:rsidR="008A70ED" w:rsidRPr="00B044F4">
        <w:rPr>
          <w:sz w:val="24"/>
          <w:szCs w:val="24"/>
        </w:rPr>
        <w:t xml:space="preserve"> zcela nebo zčásti použít, neboť to </w:t>
      </w:r>
      <w:r w:rsidR="00742425" w:rsidRPr="00B044F4">
        <w:rPr>
          <w:sz w:val="24"/>
          <w:szCs w:val="24"/>
        </w:rPr>
        <w:t>povaha</w:t>
      </w:r>
      <w:r w:rsidR="008A70ED" w:rsidRPr="00B044F4">
        <w:rPr>
          <w:sz w:val="24"/>
          <w:szCs w:val="24"/>
        </w:rPr>
        <w:t xml:space="preserve"> odkazující </w:t>
      </w:r>
      <w:r w:rsidR="00742425" w:rsidRPr="00B044F4">
        <w:rPr>
          <w:sz w:val="24"/>
          <w:szCs w:val="24"/>
        </w:rPr>
        <w:t xml:space="preserve">normy z logiky věci vylučuje. Přiměřené použití odkazované právní normy však neznamená, že by se mohla vztahovat i na právní následky, které v ní vůbec nejsou předpokládány. V takovém </w:t>
      </w:r>
      <w:r w:rsidR="009415E4" w:rsidRPr="00B044F4">
        <w:rPr>
          <w:sz w:val="24"/>
          <w:szCs w:val="24"/>
        </w:rPr>
        <w:t xml:space="preserve">případě by </w:t>
      </w:r>
      <w:r w:rsidR="00742425" w:rsidRPr="00B044F4">
        <w:rPr>
          <w:sz w:val="24"/>
          <w:szCs w:val="24"/>
        </w:rPr>
        <w:t xml:space="preserve">totiž </w:t>
      </w:r>
      <w:r w:rsidR="009415E4" w:rsidRPr="00B044F4">
        <w:rPr>
          <w:sz w:val="24"/>
          <w:szCs w:val="24"/>
        </w:rPr>
        <w:t xml:space="preserve">neexistoval žádný (ani volnější vztah) mezi odkazující a odkazovanou právní normou a nejednalo by se o přiměřené použití ustanovení téhož či jiného právního předpisu, nýbrž o </w:t>
      </w:r>
      <w:r w:rsidR="00157E27" w:rsidRPr="00B044F4">
        <w:rPr>
          <w:sz w:val="24"/>
          <w:szCs w:val="24"/>
        </w:rPr>
        <w:t xml:space="preserve">v něm neupravený právní vztah s </w:t>
      </w:r>
      <w:r w:rsidR="00036916" w:rsidRPr="00B044F4">
        <w:rPr>
          <w:sz w:val="24"/>
          <w:szCs w:val="24"/>
        </w:rPr>
        <w:t>výjimkou situa</w:t>
      </w:r>
      <w:r w:rsidR="00157E27" w:rsidRPr="00B044F4">
        <w:rPr>
          <w:sz w:val="24"/>
          <w:szCs w:val="24"/>
        </w:rPr>
        <w:t>ce, kdyby byl </w:t>
      </w:r>
      <w:r w:rsidR="0005242D" w:rsidRPr="00B044F4">
        <w:rPr>
          <w:sz w:val="24"/>
          <w:szCs w:val="24"/>
        </w:rPr>
        <w:t>zakotven v nějaké jiné právní normě</w:t>
      </w:r>
      <w:r w:rsidR="00157E27" w:rsidRPr="00B044F4">
        <w:rPr>
          <w:sz w:val="24"/>
          <w:szCs w:val="24"/>
        </w:rPr>
        <w:t>.</w:t>
      </w:r>
    </w:p>
    <w:p w14:paraId="4AB5D60D" w14:textId="55B371F7" w:rsidR="00C14F0A" w:rsidRPr="00B044F4" w:rsidRDefault="00A324B7" w:rsidP="00A55D4B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Z těchto důvodů</w:t>
      </w:r>
      <w:r w:rsidR="0005242D" w:rsidRPr="00B044F4">
        <w:rPr>
          <w:sz w:val="24"/>
          <w:szCs w:val="24"/>
        </w:rPr>
        <w:t xml:space="preserve"> nelze souhlasit se </w:t>
      </w:r>
      <w:r w:rsidR="008A70ED" w:rsidRPr="00B044F4">
        <w:rPr>
          <w:sz w:val="24"/>
          <w:szCs w:val="24"/>
        </w:rPr>
        <w:t>závěrem</w:t>
      </w:r>
      <w:r w:rsidRPr="00B044F4">
        <w:rPr>
          <w:sz w:val="24"/>
          <w:szCs w:val="24"/>
        </w:rPr>
        <w:t xml:space="preserve"> městského soudu</w:t>
      </w:r>
      <w:r w:rsidR="00571423" w:rsidRPr="00B044F4">
        <w:rPr>
          <w:sz w:val="24"/>
          <w:szCs w:val="24"/>
        </w:rPr>
        <w:t>, že přiměřená aplikace § 6 odst. 2 z</w:t>
      </w:r>
      <w:r w:rsidRPr="00B044F4">
        <w:rPr>
          <w:sz w:val="24"/>
          <w:szCs w:val="24"/>
        </w:rPr>
        <w:t xml:space="preserve">ákona o ČT </w:t>
      </w:r>
      <w:r w:rsidR="00571423" w:rsidRPr="00B044F4">
        <w:rPr>
          <w:sz w:val="24"/>
          <w:szCs w:val="24"/>
        </w:rPr>
        <w:t xml:space="preserve">na </w:t>
      </w:r>
      <w:r w:rsidR="008A70ED" w:rsidRPr="00B044F4">
        <w:rPr>
          <w:sz w:val="24"/>
          <w:szCs w:val="24"/>
        </w:rPr>
        <w:t>dozorčí komisi</w:t>
      </w:r>
      <w:r w:rsidR="00571423" w:rsidRPr="00B044F4">
        <w:rPr>
          <w:sz w:val="24"/>
          <w:szCs w:val="24"/>
        </w:rPr>
        <w:t xml:space="preserve"> znamená</w:t>
      </w:r>
      <w:r w:rsidR="008A70ED" w:rsidRPr="00B044F4">
        <w:rPr>
          <w:sz w:val="24"/>
          <w:szCs w:val="24"/>
        </w:rPr>
        <w:t>, že žalovaná je o</w:t>
      </w:r>
      <w:r w:rsidR="00157E27" w:rsidRPr="00B044F4">
        <w:rPr>
          <w:sz w:val="24"/>
          <w:szCs w:val="24"/>
        </w:rPr>
        <w:t>právněna odvolat jejího člena v </w:t>
      </w:r>
      <w:r w:rsidR="008A70ED" w:rsidRPr="00B044F4">
        <w:rPr>
          <w:sz w:val="24"/>
          <w:szCs w:val="24"/>
        </w:rPr>
        <w:t>zásadě z jakéhokoliv důvodu</w:t>
      </w:r>
      <w:r w:rsidRPr="00B044F4">
        <w:rPr>
          <w:sz w:val="24"/>
          <w:szCs w:val="24"/>
        </w:rPr>
        <w:t>, který obstojí z hlediska ústavních principů</w:t>
      </w:r>
      <w:r w:rsidR="008A70ED" w:rsidRPr="00B044F4">
        <w:rPr>
          <w:sz w:val="24"/>
          <w:szCs w:val="24"/>
        </w:rPr>
        <w:t xml:space="preserve">. </w:t>
      </w:r>
      <w:r w:rsidRPr="00B044F4">
        <w:rPr>
          <w:sz w:val="24"/>
          <w:szCs w:val="24"/>
        </w:rPr>
        <w:t>Podle této odkazované normy totiž mohla žalovaná odvolat stěžovatele z funkce členů dozorčí komise je</w:t>
      </w:r>
      <w:r w:rsidR="004E6868" w:rsidRPr="00B044F4">
        <w:rPr>
          <w:sz w:val="24"/>
          <w:szCs w:val="24"/>
        </w:rPr>
        <w:t>n </w:t>
      </w:r>
      <w:r w:rsidRPr="00B044F4">
        <w:rPr>
          <w:sz w:val="24"/>
          <w:szCs w:val="24"/>
        </w:rPr>
        <w:t xml:space="preserve">tehdy, pokud by přestali splňovat předpoklady pro výkon této </w:t>
      </w:r>
      <w:r w:rsidR="00157E27" w:rsidRPr="00B044F4">
        <w:rPr>
          <w:sz w:val="24"/>
          <w:szCs w:val="24"/>
        </w:rPr>
        <w:t>funkce stanovené v § 5 zákona o </w:t>
      </w:r>
      <w:r w:rsidRPr="00B044F4">
        <w:rPr>
          <w:sz w:val="24"/>
          <w:szCs w:val="24"/>
        </w:rPr>
        <w:t xml:space="preserve">ČT, narušili závažným způsobem důstojnost funkce či se dopustili takového jednání, které </w:t>
      </w:r>
      <w:r w:rsidR="00157E27" w:rsidRPr="00B044F4">
        <w:rPr>
          <w:sz w:val="24"/>
          <w:szCs w:val="24"/>
        </w:rPr>
        <w:t>by </w:t>
      </w:r>
      <w:r w:rsidRPr="00B044F4">
        <w:rPr>
          <w:sz w:val="24"/>
          <w:szCs w:val="24"/>
        </w:rPr>
        <w:t xml:space="preserve">zpochybnilo nezávislost nebo nestrannost při výkonu funkce, nebo se nezúčastnili po dobu více než 3 měsíců schůzí dozorčí komise. Žalovaná však nebyla oprávněna odvolat stěžovatele z dozorčí komise v případě porušení jiných povinností při výkonu této jejich funkce než těch, které jsou vymezeny v § 6 odst. 2 zákona o ČT, tedy ani z důvodu vyslovení vážných výhrad k jejich </w:t>
      </w:r>
      <w:r w:rsidR="00A55D4B" w:rsidRPr="00B044F4">
        <w:rPr>
          <w:sz w:val="24"/>
          <w:szCs w:val="24"/>
        </w:rPr>
        <w:t xml:space="preserve">práci, jak učinila. </w:t>
      </w:r>
      <w:r w:rsidR="004F416B" w:rsidRPr="00B044F4">
        <w:rPr>
          <w:sz w:val="24"/>
          <w:szCs w:val="24"/>
        </w:rPr>
        <w:t xml:space="preserve">V takovém postupu </w:t>
      </w:r>
      <w:r w:rsidR="00A55D4B" w:rsidRPr="00B044F4">
        <w:rPr>
          <w:sz w:val="24"/>
          <w:szCs w:val="24"/>
        </w:rPr>
        <w:t>žalované při odvolání členů</w:t>
      </w:r>
      <w:r w:rsidR="004F416B" w:rsidRPr="00B044F4">
        <w:rPr>
          <w:sz w:val="24"/>
          <w:szCs w:val="24"/>
        </w:rPr>
        <w:t xml:space="preserve"> dozorčí komise totiž </w:t>
      </w:r>
      <w:r w:rsidR="00A55D4B" w:rsidRPr="00B044F4">
        <w:rPr>
          <w:sz w:val="24"/>
          <w:szCs w:val="24"/>
        </w:rPr>
        <w:t xml:space="preserve">z uvedených důvodů </w:t>
      </w:r>
      <w:r w:rsidR="004F416B" w:rsidRPr="00B044F4">
        <w:rPr>
          <w:sz w:val="24"/>
          <w:szCs w:val="24"/>
        </w:rPr>
        <w:t>nelze spatřovat přiměřené použití § 6 odst. 2 zákona o ČT</w:t>
      </w:r>
      <w:r w:rsidR="00A55D4B" w:rsidRPr="00B044F4">
        <w:rPr>
          <w:sz w:val="24"/>
          <w:szCs w:val="24"/>
        </w:rPr>
        <w:t xml:space="preserve"> ve spojení s § 8a odst. 3 věty třetí téhož zákona</w:t>
      </w:r>
      <w:r w:rsidR="004F416B" w:rsidRPr="00B044F4">
        <w:rPr>
          <w:sz w:val="24"/>
          <w:szCs w:val="24"/>
        </w:rPr>
        <w:t>,</w:t>
      </w:r>
      <w:r w:rsidR="00A55D4B" w:rsidRPr="00B044F4">
        <w:rPr>
          <w:sz w:val="24"/>
          <w:szCs w:val="24"/>
        </w:rPr>
        <w:t xml:space="preserve"> nýbrž nad jejich</w:t>
      </w:r>
      <w:r w:rsidR="004F416B" w:rsidRPr="00B044F4">
        <w:rPr>
          <w:sz w:val="24"/>
          <w:szCs w:val="24"/>
        </w:rPr>
        <w:t xml:space="preserve"> rámec učiněné perso</w:t>
      </w:r>
      <w:r w:rsidR="00C14F0A" w:rsidRPr="00B044F4">
        <w:rPr>
          <w:sz w:val="24"/>
          <w:szCs w:val="24"/>
        </w:rPr>
        <w:t>nální opatření. Odvolání z funkce člena dozorčí komise z </w:t>
      </w:r>
      <w:proofErr w:type="gramStart"/>
      <w:r w:rsidR="00C14F0A" w:rsidRPr="00B044F4">
        <w:rPr>
          <w:sz w:val="24"/>
          <w:szCs w:val="24"/>
        </w:rPr>
        <w:t>jiného</w:t>
      </w:r>
      <w:proofErr w:type="gramEnd"/>
      <w:r w:rsidR="00C14F0A" w:rsidRPr="00B044F4">
        <w:rPr>
          <w:sz w:val="24"/>
          <w:szCs w:val="24"/>
        </w:rPr>
        <w:t xml:space="preserve"> než v</w:t>
      </w:r>
      <w:r w:rsidR="00A55D4B" w:rsidRPr="00B044F4">
        <w:rPr>
          <w:sz w:val="24"/>
          <w:szCs w:val="24"/>
        </w:rPr>
        <w:t> zákoně o ČT</w:t>
      </w:r>
      <w:r w:rsidR="00C14F0A" w:rsidRPr="00B044F4">
        <w:rPr>
          <w:sz w:val="24"/>
          <w:szCs w:val="24"/>
        </w:rPr>
        <w:t xml:space="preserve"> formulovaného důvodu </w:t>
      </w:r>
      <w:r w:rsidR="00A55D4B" w:rsidRPr="00B044F4">
        <w:rPr>
          <w:sz w:val="24"/>
          <w:szCs w:val="24"/>
        </w:rPr>
        <w:t>přitom nebylo</w:t>
      </w:r>
      <w:r w:rsidR="00C14F0A" w:rsidRPr="00B044F4">
        <w:rPr>
          <w:sz w:val="24"/>
          <w:szCs w:val="24"/>
        </w:rPr>
        <w:t xml:space="preserve"> možné učinit, neboť podle čl. 2 odst. 3 Ústavy České republiky </w:t>
      </w:r>
      <w:r w:rsidR="00A55D4B" w:rsidRPr="00B044F4">
        <w:rPr>
          <w:sz w:val="24"/>
          <w:szCs w:val="24"/>
        </w:rPr>
        <w:t xml:space="preserve">a čl. 2 odst. 2 Listiny základních práv a svobod </w:t>
      </w:r>
      <w:r w:rsidR="00C14F0A" w:rsidRPr="00B044F4">
        <w:rPr>
          <w:sz w:val="24"/>
          <w:szCs w:val="24"/>
        </w:rPr>
        <w:t>lze státní moc uplatňovat jen v případech, v mezích a způso</w:t>
      </w:r>
      <w:r w:rsidR="00A55D4B" w:rsidRPr="00B044F4">
        <w:rPr>
          <w:sz w:val="24"/>
          <w:szCs w:val="24"/>
        </w:rPr>
        <w:t>bem stanoveným</w:t>
      </w:r>
      <w:r w:rsidR="005859C8" w:rsidRPr="00B044F4">
        <w:rPr>
          <w:sz w:val="24"/>
          <w:szCs w:val="24"/>
        </w:rPr>
        <w:t xml:space="preserve"> zákon</w:t>
      </w:r>
      <w:r w:rsidR="00A55D4B" w:rsidRPr="00B044F4">
        <w:rPr>
          <w:sz w:val="24"/>
          <w:szCs w:val="24"/>
        </w:rPr>
        <w:t>em</w:t>
      </w:r>
      <w:r w:rsidR="005859C8" w:rsidRPr="00B044F4">
        <w:rPr>
          <w:sz w:val="24"/>
          <w:szCs w:val="24"/>
        </w:rPr>
        <w:t xml:space="preserve">. </w:t>
      </w:r>
      <w:r w:rsidR="00423CC2" w:rsidRPr="00B044F4">
        <w:rPr>
          <w:sz w:val="24"/>
          <w:szCs w:val="24"/>
        </w:rPr>
        <w:t>Odkaz na rozsudek Nejvyššího správního so</w:t>
      </w:r>
      <w:r w:rsidR="00157E27" w:rsidRPr="00B044F4">
        <w:rPr>
          <w:sz w:val="24"/>
          <w:szCs w:val="24"/>
        </w:rPr>
        <w:t>udu ze dne 4. 7. 2018, č. j. 10 </w:t>
      </w:r>
      <w:r w:rsidR="00423CC2" w:rsidRPr="00B044F4">
        <w:rPr>
          <w:sz w:val="24"/>
          <w:szCs w:val="24"/>
        </w:rPr>
        <w:t>As 60/2018-45, který městský soud použil</w:t>
      </w:r>
      <w:r w:rsidR="0005242D" w:rsidRPr="00B044F4">
        <w:rPr>
          <w:sz w:val="24"/>
          <w:szCs w:val="24"/>
        </w:rPr>
        <w:t xml:space="preserve"> na podporu své argumentace, přitom</w:t>
      </w:r>
      <w:r w:rsidR="00423CC2" w:rsidRPr="00B044F4">
        <w:rPr>
          <w:sz w:val="24"/>
          <w:szCs w:val="24"/>
        </w:rPr>
        <w:t xml:space="preserve"> není přiléhavý, neboť v něm byl vykládán § 28 odst. 2 zákona o vysokých školách</w:t>
      </w:r>
      <w:r w:rsidR="00A5171C" w:rsidRPr="00B044F4">
        <w:rPr>
          <w:sz w:val="24"/>
          <w:szCs w:val="24"/>
        </w:rPr>
        <w:t xml:space="preserve"> č. 111/1998 Sb.</w:t>
      </w:r>
      <w:r w:rsidR="0005242D" w:rsidRPr="00B044F4">
        <w:rPr>
          <w:sz w:val="24"/>
          <w:szCs w:val="24"/>
        </w:rPr>
        <w:t xml:space="preserve">, jenž </w:t>
      </w:r>
      <w:r w:rsidR="00423CC2" w:rsidRPr="00B044F4">
        <w:rPr>
          <w:sz w:val="24"/>
          <w:szCs w:val="24"/>
        </w:rPr>
        <w:t xml:space="preserve">nestanoví žádné </w:t>
      </w:r>
      <w:r w:rsidR="00A546E1" w:rsidRPr="00B044F4">
        <w:rPr>
          <w:sz w:val="24"/>
          <w:szCs w:val="24"/>
        </w:rPr>
        <w:t xml:space="preserve">předpoklady </w:t>
      </w:r>
      <w:r w:rsidR="00423CC2" w:rsidRPr="00B044F4">
        <w:rPr>
          <w:sz w:val="24"/>
          <w:szCs w:val="24"/>
        </w:rPr>
        <w:t>pro podání návrhu akademického senátu fakulty vysoké školy jejímu rektorovi na odvolání děkana, a proto takový návrh může být oproti právní úpravě aplikované v dané věci skutečně učiněn v</w:t>
      </w:r>
      <w:r w:rsidR="0005242D" w:rsidRPr="00B044F4">
        <w:rPr>
          <w:sz w:val="24"/>
          <w:szCs w:val="24"/>
        </w:rPr>
        <w:t xml:space="preserve"> zásadě </w:t>
      </w:r>
      <w:r w:rsidR="00423CC2" w:rsidRPr="00B044F4">
        <w:rPr>
          <w:sz w:val="24"/>
          <w:szCs w:val="24"/>
        </w:rPr>
        <w:t>z jakéhokoliv důvodu.</w:t>
      </w:r>
    </w:p>
    <w:p w14:paraId="74D86E8D" w14:textId="3CA58A66" w:rsidR="0039196A" w:rsidRPr="00B044F4" w:rsidRDefault="00423CC2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Uvedený závěr o nesprávnosti právního </w:t>
      </w:r>
      <w:r w:rsidR="00A5171C" w:rsidRPr="00B044F4">
        <w:rPr>
          <w:sz w:val="24"/>
          <w:szCs w:val="24"/>
        </w:rPr>
        <w:t>názoru</w:t>
      </w:r>
      <w:r w:rsidRPr="00B044F4">
        <w:rPr>
          <w:sz w:val="24"/>
          <w:szCs w:val="24"/>
        </w:rPr>
        <w:t xml:space="preserve"> městského soudu </w:t>
      </w:r>
      <w:r w:rsidR="00A5171C" w:rsidRPr="00B044F4">
        <w:rPr>
          <w:sz w:val="24"/>
          <w:szCs w:val="24"/>
        </w:rPr>
        <w:t xml:space="preserve">vysloveného </w:t>
      </w:r>
      <w:r w:rsidRPr="00B044F4">
        <w:rPr>
          <w:sz w:val="24"/>
          <w:szCs w:val="24"/>
        </w:rPr>
        <w:t>v posuzované věci, který se opírá</w:t>
      </w:r>
      <w:r w:rsidR="005859C8" w:rsidRPr="00B044F4">
        <w:rPr>
          <w:sz w:val="24"/>
          <w:szCs w:val="24"/>
        </w:rPr>
        <w:t xml:space="preserve"> o jazykový výklad předmětných ustanovení zákona o ČT</w:t>
      </w:r>
      <w:r w:rsidRPr="00B044F4">
        <w:rPr>
          <w:sz w:val="24"/>
          <w:szCs w:val="24"/>
        </w:rPr>
        <w:t>,</w:t>
      </w:r>
      <w:r w:rsidR="00157E27" w:rsidRPr="00B044F4">
        <w:rPr>
          <w:sz w:val="24"/>
          <w:szCs w:val="24"/>
        </w:rPr>
        <w:t xml:space="preserve"> lze učinit i za </w:t>
      </w:r>
      <w:r w:rsidR="005859C8" w:rsidRPr="00B044F4">
        <w:rPr>
          <w:sz w:val="24"/>
          <w:szCs w:val="24"/>
        </w:rPr>
        <w:t xml:space="preserve">pomoci výkladu teleologického. Jestliže totiž tento </w:t>
      </w:r>
      <w:r w:rsidR="00A55D4B" w:rsidRPr="00B044F4">
        <w:rPr>
          <w:sz w:val="24"/>
          <w:szCs w:val="24"/>
        </w:rPr>
        <w:t>zákon</w:t>
      </w:r>
      <w:r w:rsidR="005859C8" w:rsidRPr="00B044F4">
        <w:rPr>
          <w:sz w:val="24"/>
          <w:szCs w:val="24"/>
        </w:rPr>
        <w:t xml:space="preserve"> upravil p</w:t>
      </w:r>
      <w:r w:rsidR="00157E27" w:rsidRPr="00B044F4">
        <w:rPr>
          <w:sz w:val="24"/>
          <w:szCs w:val="24"/>
        </w:rPr>
        <w:t>ředpoklady pro zvolení za </w:t>
      </w:r>
      <w:r w:rsidR="00221AF0" w:rsidRPr="00B044F4">
        <w:rPr>
          <w:sz w:val="24"/>
          <w:szCs w:val="24"/>
        </w:rPr>
        <w:t xml:space="preserve">člena dozorčí komise a </w:t>
      </w:r>
      <w:r w:rsidR="00A55D4B" w:rsidRPr="00B044F4">
        <w:rPr>
          <w:sz w:val="24"/>
          <w:szCs w:val="24"/>
        </w:rPr>
        <w:t xml:space="preserve">především </w:t>
      </w:r>
      <w:r w:rsidR="00221AF0" w:rsidRPr="00B044F4">
        <w:rPr>
          <w:sz w:val="24"/>
          <w:szCs w:val="24"/>
        </w:rPr>
        <w:t>pro výkon této funkce shodně jako u člena žalované, která je koncipována jako nezávislý orgán veřejné moci, jejímž prostřednictvím se má bez přímého působení politických aktérů uplatňovat právo veřejnosti na kontro</w:t>
      </w:r>
      <w:r w:rsidR="00157E27" w:rsidRPr="00B044F4">
        <w:rPr>
          <w:sz w:val="24"/>
          <w:szCs w:val="24"/>
        </w:rPr>
        <w:t>lu činnosti České televize, pak </w:t>
      </w:r>
      <w:r w:rsidR="00221AF0" w:rsidRPr="00B044F4">
        <w:rPr>
          <w:sz w:val="24"/>
          <w:szCs w:val="24"/>
        </w:rPr>
        <w:t>je logicky stejnými atributy nezávislosti a nestrannosti vybav</w:t>
      </w:r>
      <w:r w:rsidR="00157E27" w:rsidRPr="00B044F4">
        <w:rPr>
          <w:sz w:val="24"/>
          <w:szCs w:val="24"/>
        </w:rPr>
        <w:t>ena také dozorčí komise, aby se i </w:t>
      </w:r>
      <w:r w:rsidR="00A55D4B" w:rsidRPr="00B044F4">
        <w:rPr>
          <w:sz w:val="24"/>
          <w:szCs w:val="24"/>
        </w:rPr>
        <w:t xml:space="preserve">ona mohla </w:t>
      </w:r>
      <w:r w:rsidR="00221AF0" w:rsidRPr="00B044F4">
        <w:rPr>
          <w:sz w:val="24"/>
          <w:szCs w:val="24"/>
        </w:rPr>
        <w:t xml:space="preserve">na stejném úkolu </w:t>
      </w:r>
      <w:r w:rsidR="0005242D" w:rsidRPr="00B044F4">
        <w:rPr>
          <w:sz w:val="24"/>
          <w:szCs w:val="24"/>
        </w:rPr>
        <w:t xml:space="preserve">v oblasti hospodaření České televize </w:t>
      </w:r>
      <w:r w:rsidR="00221AF0" w:rsidRPr="00B044F4">
        <w:rPr>
          <w:sz w:val="24"/>
          <w:szCs w:val="24"/>
        </w:rPr>
        <w:t xml:space="preserve">účinně podílet. </w:t>
      </w:r>
      <w:r w:rsidR="00A55D4B" w:rsidRPr="00B044F4">
        <w:rPr>
          <w:sz w:val="24"/>
          <w:szCs w:val="24"/>
        </w:rPr>
        <w:t xml:space="preserve">Ostatně </w:t>
      </w:r>
      <w:r w:rsidR="00B92F27" w:rsidRPr="00B044F4">
        <w:rPr>
          <w:sz w:val="24"/>
          <w:szCs w:val="24"/>
        </w:rPr>
        <w:t>skutečnost, že také dozorčí komise je při výkonu své funkce nezávislá a nestranná vyplývá z výslovného zněn</w:t>
      </w:r>
      <w:r w:rsidR="0005242D" w:rsidRPr="00B044F4">
        <w:rPr>
          <w:sz w:val="24"/>
          <w:szCs w:val="24"/>
        </w:rPr>
        <w:t>í § 5 odst. 2 zákona o ČT, který</w:t>
      </w:r>
      <w:r w:rsidR="00B92F27" w:rsidRPr="00B044F4">
        <w:rPr>
          <w:sz w:val="24"/>
          <w:szCs w:val="24"/>
        </w:rPr>
        <w:t xml:space="preserve"> se na její členy použije obdobně</w:t>
      </w:r>
      <w:r w:rsidR="00157E27" w:rsidRPr="00B044F4">
        <w:rPr>
          <w:sz w:val="24"/>
          <w:szCs w:val="24"/>
        </w:rPr>
        <w:t xml:space="preserve"> jako u </w:t>
      </w:r>
      <w:r w:rsidR="0005242D" w:rsidRPr="00B044F4">
        <w:rPr>
          <w:sz w:val="24"/>
          <w:szCs w:val="24"/>
        </w:rPr>
        <w:t>žalované</w:t>
      </w:r>
      <w:r w:rsidR="00B92F27" w:rsidRPr="00B044F4">
        <w:rPr>
          <w:sz w:val="24"/>
          <w:szCs w:val="24"/>
        </w:rPr>
        <w:t>, tedy v plném rozsah</w:t>
      </w:r>
      <w:r w:rsidR="00142EF0" w:rsidRPr="00B044F4">
        <w:rPr>
          <w:sz w:val="24"/>
          <w:szCs w:val="24"/>
        </w:rPr>
        <w:t>u, jak vyplývá ze zmí</w:t>
      </w:r>
      <w:r w:rsidR="00B92F27" w:rsidRPr="00B044F4">
        <w:rPr>
          <w:sz w:val="24"/>
          <w:szCs w:val="24"/>
        </w:rPr>
        <w:t>něnéh</w:t>
      </w:r>
      <w:r w:rsidR="00157E27" w:rsidRPr="00B044F4">
        <w:rPr>
          <w:sz w:val="24"/>
          <w:szCs w:val="24"/>
        </w:rPr>
        <w:t>o § 8a odst. 3 věty druhé téhož </w:t>
      </w:r>
      <w:r w:rsidR="00B92F27" w:rsidRPr="00B044F4">
        <w:rPr>
          <w:sz w:val="24"/>
          <w:szCs w:val="24"/>
        </w:rPr>
        <w:t xml:space="preserve">zákona. </w:t>
      </w:r>
      <w:r w:rsidR="0039196A" w:rsidRPr="00B044F4">
        <w:rPr>
          <w:sz w:val="24"/>
          <w:szCs w:val="24"/>
        </w:rPr>
        <w:t>Proto není myslitelné, aby bez zákonné opory byly aplikovány ji</w:t>
      </w:r>
      <w:r w:rsidR="00157E27" w:rsidRPr="00B044F4">
        <w:rPr>
          <w:sz w:val="24"/>
          <w:szCs w:val="24"/>
        </w:rPr>
        <w:t>né důvody pro </w:t>
      </w:r>
      <w:r w:rsidR="0039196A" w:rsidRPr="00B044F4">
        <w:rPr>
          <w:sz w:val="24"/>
          <w:szCs w:val="24"/>
        </w:rPr>
        <w:t xml:space="preserve">odvolání z funkce člena dozorčí komise než u členů žalované. </w:t>
      </w:r>
      <w:r w:rsidR="00157E27" w:rsidRPr="00B044F4">
        <w:rPr>
          <w:sz w:val="24"/>
          <w:szCs w:val="24"/>
        </w:rPr>
        <w:t>Ty jsou v § 6 odst. 3 zákona o </w:t>
      </w:r>
      <w:r w:rsidR="00B92F27" w:rsidRPr="00B044F4">
        <w:rPr>
          <w:sz w:val="24"/>
          <w:szCs w:val="24"/>
        </w:rPr>
        <w:t>ČT par</w:t>
      </w:r>
      <w:r w:rsidR="004E6868" w:rsidRPr="00B044F4">
        <w:rPr>
          <w:sz w:val="24"/>
          <w:szCs w:val="24"/>
        </w:rPr>
        <w:t xml:space="preserve">adoxně upraveny jen ve vztahu k </w:t>
      </w:r>
      <w:r w:rsidR="00B92F27" w:rsidRPr="00B044F4">
        <w:rPr>
          <w:sz w:val="24"/>
          <w:szCs w:val="24"/>
        </w:rPr>
        <w:t>žalované jako celku, kterou může Poslanecká sněmovna odvolat, pokud opakovaně neplní své zákonné povinnosti nebo pokud nebyla</w:t>
      </w:r>
      <w:r w:rsidR="004E6868" w:rsidRPr="00B044F4">
        <w:rPr>
          <w:sz w:val="24"/>
          <w:szCs w:val="24"/>
        </w:rPr>
        <w:t> </w:t>
      </w:r>
      <w:r w:rsidR="00B92F27" w:rsidRPr="00B044F4">
        <w:rPr>
          <w:sz w:val="24"/>
          <w:szCs w:val="24"/>
        </w:rPr>
        <w:t>dvakrát</w:t>
      </w:r>
      <w:r w:rsidR="00157E27" w:rsidRPr="00B044F4">
        <w:rPr>
          <w:sz w:val="24"/>
          <w:szCs w:val="24"/>
        </w:rPr>
        <w:t> </w:t>
      </w:r>
      <w:r w:rsidR="00B92F27" w:rsidRPr="00B044F4">
        <w:rPr>
          <w:sz w:val="24"/>
          <w:szCs w:val="24"/>
        </w:rPr>
        <w:t>po sobě schválena Výroční zpráva o činnosti České</w:t>
      </w:r>
      <w:r w:rsidR="00157E27" w:rsidRPr="00B044F4">
        <w:rPr>
          <w:sz w:val="24"/>
          <w:szCs w:val="24"/>
        </w:rPr>
        <w:t xml:space="preserve"> televize nebo Výroční zpráva o </w:t>
      </w:r>
      <w:r w:rsidR="00B92F27" w:rsidRPr="00B044F4">
        <w:rPr>
          <w:sz w:val="24"/>
          <w:szCs w:val="24"/>
        </w:rPr>
        <w:t xml:space="preserve">hospodaření České televize. </w:t>
      </w:r>
    </w:p>
    <w:p w14:paraId="0D25EF34" w14:textId="77B6EA7F" w:rsidR="007A1AC8" w:rsidRPr="00B044F4" w:rsidRDefault="00876ED6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S ohledem na postavení dozorčí komise jako poradního orgánu žalované </w:t>
      </w:r>
      <w:r w:rsidR="00A86E40" w:rsidRPr="00B044F4">
        <w:rPr>
          <w:sz w:val="24"/>
          <w:szCs w:val="24"/>
        </w:rPr>
        <w:t xml:space="preserve">ve věcech kontroly hospodaření České televize </w:t>
      </w:r>
      <w:r w:rsidRPr="00B044F4">
        <w:rPr>
          <w:sz w:val="24"/>
          <w:szCs w:val="24"/>
        </w:rPr>
        <w:t>si lze jistě představit jinou</w:t>
      </w:r>
      <w:r w:rsidR="007A1AC8" w:rsidRPr="00B044F4">
        <w:rPr>
          <w:sz w:val="24"/>
          <w:szCs w:val="24"/>
        </w:rPr>
        <w:t xml:space="preserve"> a možná i efektivnější</w:t>
      </w:r>
      <w:r w:rsidRPr="00B044F4">
        <w:rPr>
          <w:sz w:val="24"/>
          <w:szCs w:val="24"/>
        </w:rPr>
        <w:t xml:space="preserve"> zákonnou úpravu </w:t>
      </w:r>
      <w:r w:rsidR="00142EF0" w:rsidRPr="00B044F4">
        <w:rPr>
          <w:sz w:val="24"/>
          <w:szCs w:val="24"/>
        </w:rPr>
        <w:t xml:space="preserve">výkonu </w:t>
      </w:r>
      <w:r w:rsidR="00505F05" w:rsidRPr="00B044F4">
        <w:rPr>
          <w:sz w:val="24"/>
          <w:szCs w:val="24"/>
        </w:rPr>
        <w:t xml:space="preserve">a zániku funkce jejích </w:t>
      </w:r>
      <w:r w:rsidRPr="00B044F4">
        <w:rPr>
          <w:sz w:val="24"/>
          <w:szCs w:val="24"/>
        </w:rPr>
        <w:t>členů, včetně zakotvení dalších d</w:t>
      </w:r>
      <w:r w:rsidR="00157E27" w:rsidRPr="00B044F4">
        <w:rPr>
          <w:sz w:val="24"/>
          <w:szCs w:val="24"/>
        </w:rPr>
        <w:t>ůvodů pro odvolání, mezi něž by </w:t>
      </w:r>
      <w:r w:rsidRPr="00B044F4">
        <w:rPr>
          <w:sz w:val="24"/>
          <w:szCs w:val="24"/>
        </w:rPr>
        <w:t xml:space="preserve">mohlo patřit i řádné neplnění </w:t>
      </w:r>
      <w:r w:rsidR="00A86E40" w:rsidRPr="00B044F4">
        <w:rPr>
          <w:sz w:val="24"/>
          <w:szCs w:val="24"/>
        </w:rPr>
        <w:t xml:space="preserve">jiných než v § 6 odst. 2 zákona o ČT uvedených </w:t>
      </w:r>
      <w:r w:rsidRPr="00B044F4">
        <w:rPr>
          <w:sz w:val="24"/>
          <w:szCs w:val="24"/>
        </w:rPr>
        <w:t xml:space="preserve">povinností člena dozorčí komise </w:t>
      </w:r>
      <w:r w:rsidR="00A86E40" w:rsidRPr="00B044F4">
        <w:rPr>
          <w:sz w:val="24"/>
          <w:szCs w:val="24"/>
        </w:rPr>
        <w:t>či jeho neodborné jednání. V</w:t>
      </w:r>
      <w:r w:rsidR="00142EF0" w:rsidRPr="00B044F4">
        <w:rPr>
          <w:sz w:val="24"/>
          <w:szCs w:val="24"/>
        </w:rPr>
        <w:t xml:space="preserve"> této souvislosti je možné </w:t>
      </w:r>
      <w:r w:rsidR="00505F05" w:rsidRPr="00B044F4">
        <w:rPr>
          <w:sz w:val="24"/>
          <w:szCs w:val="24"/>
        </w:rPr>
        <w:t>v intencích argumentace městského soudu</w:t>
      </w:r>
      <w:r w:rsidR="00BB193D" w:rsidRPr="00B044F4">
        <w:rPr>
          <w:sz w:val="24"/>
          <w:szCs w:val="24"/>
        </w:rPr>
        <w:t xml:space="preserve"> konstatovat</w:t>
      </w:r>
      <w:r w:rsidR="00A86E40" w:rsidRPr="00B044F4">
        <w:rPr>
          <w:sz w:val="24"/>
          <w:szCs w:val="24"/>
        </w:rPr>
        <w:t xml:space="preserve">, že z hlediska řádného </w:t>
      </w:r>
      <w:r w:rsidR="00505F05" w:rsidRPr="00B044F4">
        <w:rPr>
          <w:sz w:val="24"/>
          <w:szCs w:val="24"/>
        </w:rPr>
        <w:t xml:space="preserve">výkonu </w:t>
      </w:r>
      <w:r w:rsidR="00A86E40" w:rsidRPr="00B044F4">
        <w:rPr>
          <w:sz w:val="24"/>
          <w:szCs w:val="24"/>
        </w:rPr>
        <w:t>kontroly činnosti České televize</w:t>
      </w:r>
      <w:r w:rsidR="00505F05" w:rsidRPr="00B044F4">
        <w:rPr>
          <w:sz w:val="24"/>
          <w:szCs w:val="24"/>
        </w:rPr>
        <w:t xml:space="preserve"> na úseku jejího hospodaření</w:t>
      </w:r>
      <w:r w:rsidR="00A86E40" w:rsidRPr="00B044F4">
        <w:rPr>
          <w:sz w:val="24"/>
          <w:szCs w:val="24"/>
        </w:rPr>
        <w:t xml:space="preserve"> není </w:t>
      </w:r>
      <w:r w:rsidR="006B03A2" w:rsidRPr="00B044F4">
        <w:rPr>
          <w:sz w:val="24"/>
          <w:szCs w:val="24"/>
        </w:rPr>
        <w:t xml:space="preserve">zřejmě </w:t>
      </w:r>
      <w:r w:rsidR="00866DFD" w:rsidRPr="00B044F4">
        <w:rPr>
          <w:sz w:val="24"/>
          <w:szCs w:val="24"/>
        </w:rPr>
        <w:t xml:space="preserve">nezbytně </w:t>
      </w:r>
      <w:r w:rsidR="00A86E40" w:rsidRPr="00B044F4">
        <w:rPr>
          <w:sz w:val="24"/>
          <w:szCs w:val="24"/>
        </w:rPr>
        <w:t xml:space="preserve">nutné, aby </w:t>
      </w:r>
      <w:r w:rsidR="00142EF0" w:rsidRPr="00B044F4">
        <w:rPr>
          <w:sz w:val="24"/>
          <w:szCs w:val="24"/>
        </w:rPr>
        <w:t xml:space="preserve">vůči nezávislé žalované byla </w:t>
      </w:r>
      <w:r w:rsidR="006B03A2" w:rsidRPr="00B044F4">
        <w:rPr>
          <w:sz w:val="24"/>
          <w:szCs w:val="24"/>
        </w:rPr>
        <w:t xml:space="preserve">její dozorčí komise nadmíru chráněna </w:t>
      </w:r>
      <w:r w:rsidR="00142EF0" w:rsidRPr="00B044F4">
        <w:rPr>
          <w:sz w:val="24"/>
          <w:szCs w:val="24"/>
        </w:rPr>
        <w:t xml:space="preserve">před odvoláním. </w:t>
      </w:r>
      <w:r w:rsidR="006B03A2" w:rsidRPr="00B044F4">
        <w:rPr>
          <w:sz w:val="24"/>
          <w:szCs w:val="24"/>
        </w:rPr>
        <w:t>Nicméně</w:t>
      </w:r>
      <w:r w:rsidR="00A86E40" w:rsidRPr="00B044F4">
        <w:rPr>
          <w:sz w:val="24"/>
          <w:szCs w:val="24"/>
        </w:rPr>
        <w:t xml:space="preserve"> </w:t>
      </w:r>
      <w:r w:rsidR="00157E27" w:rsidRPr="00B044F4">
        <w:rPr>
          <w:sz w:val="24"/>
          <w:szCs w:val="24"/>
        </w:rPr>
        <w:t>s ohledem na </w:t>
      </w:r>
      <w:r w:rsidR="007A1AC8" w:rsidRPr="00B044F4">
        <w:rPr>
          <w:sz w:val="24"/>
          <w:szCs w:val="24"/>
        </w:rPr>
        <w:t xml:space="preserve">zásadu dělby státní moci musí správní soudy vycházet ze </w:t>
      </w:r>
      <w:r w:rsidR="004E6868" w:rsidRPr="00B044F4">
        <w:rPr>
          <w:sz w:val="24"/>
          <w:szCs w:val="24"/>
        </w:rPr>
        <w:t>stávajícího modelu, který i při </w:t>
      </w:r>
      <w:r w:rsidR="007A1AC8" w:rsidRPr="00B044F4">
        <w:rPr>
          <w:sz w:val="24"/>
          <w:szCs w:val="24"/>
        </w:rPr>
        <w:t xml:space="preserve">vědomí </w:t>
      </w:r>
      <w:r w:rsidR="006B03A2" w:rsidRPr="00B044F4">
        <w:rPr>
          <w:sz w:val="24"/>
          <w:szCs w:val="24"/>
        </w:rPr>
        <w:t xml:space="preserve">jen </w:t>
      </w:r>
      <w:r w:rsidR="007A1AC8" w:rsidRPr="00B044F4">
        <w:rPr>
          <w:sz w:val="24"/>
          <w:szCs w:val="24"/>
        </w:rPr>
        <w:t xml:space="preserve">přiměřené aplikace § 6 odst. 2 zákona o ČT obsahuje </w:t>
      </w:r>
      <w:r w:rsidR="008B254C" w:rsidRPr="00B044F4">
        <w:rPr>
          <w:sz w:val="24"/>
          <w:szCs w:val="24"/>
        </w:rPr>
        <w:t xml:space="preserve">v něm uvedené </w:t>
      </w:r>
      <w:r w:rsidR="00D335AA" w:rsidRPr="00B044F4">
        <w:rPr>
          <w:sz w:val="24"/>
          <w:szCs w:val="24"/>
        </w:rPr>
        <w:t xml:space="preserve">obsahově </w:t>
      </w:r>
      <w:r w:rsidR="007A1AC8" w:rsidRPr="00B044F4">
        <w:rPr>
          <w:sz w:val="24"/>
          <w:szCs w:val="24"/>
        </w:rPr>
        <w:t xml:space="preserve">stejné důvody pro odvolání z funkce </w:t>
      </w:r>
      <w:r w:rsidR="008B254C" w:rsidRPr="00B044F4">
        <w:rPr>
          <w:sz w:val="24"/>
          <w:szCs w:val="24"/>
        </w:rPr>
        <w:t>člena žalované i její dozorčí komise.</w:t>
      </w:r>
      <w:r w:rsidR="00D335AA" w:rsidRPr="00B044F4">
        <w:rPr>
          <w:sz w:val="24"/>
          <w:szCs w:val="24"/>
        </w:rPr>
        <w:t xml:space="preserve"> Podle nich přitom žalovaná nemohla odvolat členy dozorčí komise kvůli vážným výhradám k jejich práci, neboť jednání ohrožující důvěru veřejnosti v řádné plnění povinností po odborné stránce nepředstavuje zákonem o ČT aprobovaný důvod pro odvolání z</w:t>
      </w:r>
      <w:r w:rsidR="006B03A2" w:rsidRPr="00B044F4">
        <w:rPr>
          <w:sz w:val="24"/>
          <w:szCs w:val="24"/>
        </w:rPr>
        <w:t xml:space="preserve"> této </w:t>
      </w:r>
      <w:r w:rsidR="00D335AA" w:rsidRPr="00B044F4">
        <w:rPr>
          <w:sz w:val="24"/>
          <w:szCs w:val="24"/>
        </w:rPr>
        <w:t xml:space="preserve">funkce. Za </w:t>
      </w:r>
      <w:r w:rsidR="006B03A2" w:rsidRPr="00B044F4">
        <w:rPr>
          <w:sz w:val="24"/>
          <w:szCs w:val="24"/>
        </w:rPr>
        <w:t>dané</w:t>
      </w:r>
      <w:r w:rsidR="00D335AA" w:rsidRPr="00B044F4">
        <w:rPr>
          <w:sz w:val="24"/>
          <w:szCs w:val="24"/>
        </w:rPr>
        <w:t xml:space="preserve"> situace se </w:t>
      </w:r>
      <w:r w:rsidR="00343990" w:rsidRPr="00B044F4">
        <w:rPr>
          <w:sz w:val="24"/>
          <w:szCs w:val="24"/>
        </w:rPr>
        <w:t xml:space="preserve">Nejvyšší správní soud </w:t>
      </w:r>
      <w:r w:rsidR="00D335AA" w:rsidRPr="00B044F4">
        <w:rPr>
          <w:sz w:val="24"/>
          <w:szCs w:val="24"/>
        </w:rPr>
        <w:t xml:space="preserve">nemusel k námitce stěžovatelů zabývat tím, zda </w:t>
      </w:r>
      <w:r w:rsidR="00343990" w:rsidRPr="00B044F4">
        <w:rPr>
          <w:sz w:val="24"/>
          <w:szCs w:val="24"/>
        </w:rPr>
        <w:t>te</w:t>
      </w:r>
      <w:r w:rsidR="00157E27" w:rsidRPr="00B044F4">
        <w:rPr>
          <w:sz w:val="24"/>
          <w:szCs w:val="24"/>
        </w:rPr>
        <w:t>nto žalovanou uvedený důvod byl </w:t>
      </w:r>
      <w:r w:rsidR="00343990" w:rsidRPr="00B044F4">
        <w:rPr>
          <w:sz w:val="24"/>
          <w:szCs w:val="24"/>
        </w:rPr>
        <w:t xml:space="preserve">řádně doložen, nebo </w:t>
      </w:r>
      <w:r w:rsidR="006B03A2" w:rsidRPr="00B044F4">
        <w:rPr>
          <w:sz w:val="24"/>
          <w:szCs w:val="24"/>
        </w:rPr>
        <w:t>byl ve skutečnosti použi</w:t>
      </w:r>
      <w:r w:rsidR="00505F05" w:rsidRPr="00B044F4">
        <w:rPr>
          <w:sz w:val="24"/>
          <w:szCs w:val="24"/>
        </w:rPr>
        <w:t>t účelově</w:t>
      </w:r>
      <w:r w:rsidR="006B03A2" w:rsidRPr="00B044F4">
        <w:rPr>
          <w:sz w:val="24"/>
          <w:szCs w:val="24"/>
        </w:rPr>
        <w:t>.</w:t>
      </w:r>
      <w:r w:rsidR="00343990" w:rsidRPr="00B044F4">
        <w:rPr>
          <w:sz w:val="24"/>
          <w:szCs w:val="24"/>
        </w:rPr>
        <w:t xml:space="preserve">  </w:t>
      </w:r>
    </w:p>
    <w:p w14:paraId="6B23FA5B" w14:textId="39C13F62" w:rsidR="008B254C" w:rsidRPr="00B044F4" w:rsidRDefault="00343990" w:rsidP="00825119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Jelikož Nejvyšší správní soud uč</w:t>
      </w:r>
      <w:r w:rsidR="006B03A2" w:rsidRPr="00B044F4">
        <w:rPr>
          <w:sz w:val="24"/>
          <w:szCs w:val="24"/>
        </w:rPr>
        <w:t xml:space="preserve">inil závěr o nemožnosti odvolat </w:t>
      </w:r>
      <w:r w:rsidRPr="00B044F4">
        <w:rPr>
          <w:sz w:val="24"/>
          <w:szCs w:val="24"/>
        </w:rPr>
        <w:t xml:space="preserve">členy dozorčí komise z důvodu uvedeného žalovanou, nemusel </w:t>
      </w:r>
      <w:r w:rsidR="006B03A2" w:rsidRPr="00B044F4">
        <w:rPr>
          <w:sz w:val="24"/>
          <w:szCs w:val="24"/>
        </w:rPr>
        <w:t>již řešit</w:t>
      </w:r>
      <w:r w:rsidRPr="00B044F4">
        <w:rPr>
          <w:sz w:val="24"/>
          <w:szCs w:val="24"/>
        </w:rPr>
        <w:t xml:space="preserve">, zda žalovaná mohla odvolat celý tento orgán. Ostatně </w:t>
      </w:r>
      <w:r w:rsidR="006B03A2" w:rsidRPr="00B044F4">
        <w:rPr>
          <w:sz w:val="24"/>
          <w:szCs w:val="24"/>
        </w:rPr>
        <w:t>pokud lze odvolat členy dozorčí komise jen z</w:t>
      </w:r>
      <w:r w:rsidRPr="00B044F4">
        <w:rPr>
          <w:sz w:val="24"/>
          <w:szCs w:val="24"/>
        </w:rPr>
        <w:t xml:space="preserve"> důvodů </w:t>
      </w:r>
      <w:r w:rsidR="006B03A2" w:rsidRPr="00B044F4">
        <w:rPr>
          <w:sz w:val="24"/>
          <w:szCs w:val="24"/>
        </w:rPr>
        <w:t>uvedených</w:t>
      </w:r>
      <w:r w:rsidR="00157E27" w:rsidRPr="00B044F4">
        <w:rPr>
          <w:sz w:val="24"/>
          <w:szCs w:val="24"/>
        </w:rPr>
        <w:t xml:space="preserve"> v § 6 odst. 2 zákona o </w:t>
      </w:r>
      <w:r w:rsidRPr="00B044F4">
        <w:rPr>
          <w:sz w:val="24"/>
          <w:szCs w:val="24"/>
        </w:rPr>
        <w:t xml:space="preserve">ČT, je sotva myslitelné, aby v něm </w:t>
      </w:r>
      <w:r w:rsidR="00505F05" w:rsidRPr="00B044F4">
        <w:rPr>
          <w:sz w:val="24"/>
          <w:szCs w:val="24"/>
        </w:rPr>
        <w:t xml:space="preserve">vymezené </w:t>
      </w:r>
      <w:r w:rsidRPr="00B044F4">
        <w:rPr>
          <w:sz w:val="24"/>
          <w:szCs w:val="24"/>
        </w:rPr>
        <w:t>p</w:t>
      </w:r>
      <w:r w:rsidR="00505F05" w:rsidRPr="00B044F4">
        <w:rPr>
          <w:sz w:val="24"/>
          <w:szCs w:val="24"/>
        </w:rPr>
        <w:t>odmínky pro odvolání z funkce současně s</w:t>
      </w:r>
      <w:r w:rsidRPr="00B044F4">
        <w:rPr>
          <w:sz w:val="24"/>
          <w:szCs w:val="24"/>
        </w:rPr>
        <w:t xml:space="preserve">plnili všichni </w:t>
      </w:r>
      <w:r w:rsidR="006B03A2" w:rsidRPr="00B044F4">
        <w:rPr>
          <w:sz w:val="24"/>
          <w:szCs w:val="24"/>
        </w:rPr>
        <w:t>její členové.</w:t>
      </w:r>
    </w:p>
    <w:p w14:paraId="4E92A1C2" w14:textId="52FEFC32" w:rsidR="00E55B6F" w:rsidRPr="00B044F4" w:rsidRDefault="00505F05" w:rsidP="0068466A">
      <w:pPr>
        <w:pStyle w:val="mmstd"/>
        <w:numPr>
          <w:ilvl w:val="0"/>
          <w:numId w:val="8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 xml:space="preserve">Lze </w:t>
      </w:r>
      <w:r w:rsidR="00E55B6F" w:rsidRPr="00B044F4">
        <w:rPr>
          <w:sz w:val="24"/>
          <w:szCs w:val="24"/>
        </w:rPr>
        <w:t xml:space="preserve">shrnout, že žalovaná nebyla oprávněna odvolat </w:t>
      </w:r>
      <w:r w:rsidRPr="00B044F4">
        <w:rPr>
          <w:sz w:val="24"/>
          <w:szCs w:val="24"/>
        </w:rPr>
        <w:t>členy dozorčí komise</w:t>
      </w:r>
      <w:r w:rsidR="00E55B6F" w:rsidRPr="00B044F4">
        <w:rPr>
          <w:sz w:val="24"/>
          <w:szCs w:val="24"/>
        </w:rPr>
        <w:t xml:space="preserve"> za přiměřeného použití § 6 odst. 2 ve spojení s § 8a odst. 3 věty třetí zákona o ČT</w:t>
      </w:r>
      <w:r w:rsidR="00BB193D" w:rsidRPr="00B044F4">
        <w:rPr>
          <w:sz w:val="24"/>
          <w:szCs w:val="24"/>
        </w:rPr>
        <w:t xml:space="preserve"> z důvodu</w:t>
      </w:r>
      <w:r w:rsidRPr="00B044F4">
        <w:rPr>
          <w:sz w:val="24"/>
          <w:szCs w:val="24"/>
        </w:rPr>
        <w:t xml:space="preserve"> vyslovení vážných výhrad k jejich</w:t>
      </w:r>
      <w:r w:rsidR="00BB193D" w:rsidRPr="00B044F4">
        <w:rPr>
          <w:sz w:val="24"/>
          <w:szCs w:val="24"/>
        </w:rPr>
        <w:t xml:space="preserve"> práci. I </w:t>
      </w:r>
      <w:r w:rsidR="00E55B6F" w:rsidRPr="00B044F4">
        <w:rPr>
          <w:sz w:val="24"/>
          <w:szCs w:val="24"/>
        </w:rPr>
        <w:t xml:space="preserve">když právní argumentace městského soudu učiněná při řešení této právní otázky byla pečlivá a </w:t>
      </w:r>
      <w:r w:rsidRPr="00B044F4">
        <w:rPr>
          <w:sz w:val="24"/>
          <w:szCs w:val="24"/>
        </w:rPr>
        <w:t xml:space="preserve">jistě </w:t>
      </w:r>
      <w:r w:rsidR="00E55B6F" w:rsidRPr="00B044F4">
        <w:rPr>
          <w:sz w:val="24"/>
          <w:szCs w:val="24"/>
        </w:rPr>
        <w:t>nepostrád</w:t>
      </w:r>
      <w:r w:rsidRPr="00B044F4">
        <w:rPr>
          <w:sz w:val="24"/>
          <w:szCs w:val="24"/>
        </w:rPr>
        <w:t xml:space="preserve">ala logiku, nereflektovala </w:t>
      </w:r>
      <w:r w:rsidR="00E55B6F" w:rsidRPr="00B044F4">
        <w:rPr>
          <w:sz w:val="24"/>
          <w:szCs w:val="24"/>
        </w:rPr>
        <w:t>nutnost respektovat aktuální právní úpravu</w:t>
      </w:r>
      <w:r w:rsidRPr="00B044F4">
        <w:rPr>
          <w:sz w:val="24"/>
          <w:szCs w:val="24"/>
        </w:rPr>
        <w:t xml:space="preserve"> </w:t>
      </w:r>
      <w:r w:rsidR="00D16036" w:rsidRPr="00B044F4">
        <w:rPr>
          <w:sz w:val="24"/>
          <w:szCs w:val="24"/>
        </w:rPr>
        <w:t>ani v ní</w:t>
      </w:r>
      <w:r w:rsidRPr="00B044F4">
        <w:rPr>
          <w:sz w:val="24"/>
          <w:szCs w:val="24"/>
        </w:rPr>
        <w:t xml:space="preserve"> zvolený model postavení členů dozorčí komise, který</w:t>
      </w:r>
      <w:r w:rsidR="00E55B6F" w:rsidRPr="00B044F4">
        <w:rPr>
          <w:sz w:val="24"/>
          <w:szCs w:val="24"/>
        </w:rPr>
        <w:t xml:space="preserve"> neumožnuje extenzivní výklad příslušného ustanovení o odvolání z</w:t>
      </w:r>
      <w:r w:rsidRPr="00B044F4">
        <w:rPr>
          <w:sz w:val="24"/>
          <w:szCs w:val="24"/>
        </w:rPr>
        <w:t xml:space="preserve"> této</w:t>
      </w:r>
      <w:r w:rsidR="00E55B6F" w:rsidRPr="00B044F4">
        <w:rPr>
          <w:sz w:val="24"/>
          <w:szCs w:val="24"/>
        </w:rPr>
        <w:t xml:space="preserve"> funkce. </w:t>
      </w:r>
      <w:r w:rsidR="00866DFD" w:rsidRPr="00B044F4">
        <w:rPr>
          <w:sz w:val="24"/>
          <w:szCs w:val="24"/>
        </w:rPr>
        <w:t>Proto musí Nejvyšší správní soud považovat napadený rozsudek za nezákonný, v důsledku čehož byl naplněn důvod kasační stížnosti uvedený v § 103 odst. 1</w:t>
      </w:r>
      <w:r w:rsidR="00157E27" w:rsidRPr="00B044F4">
        <w:rPr>
          <w:sz w:val="24"/>
          <w:szCs w:val="24"/>
        </w:rPr>
        <w:t xml:space="preserve"> písm. a) s. ř. s.</w:t>
      </w:r>
    </w:p>
    <w:p w14:paraId="6EB81201" w14:textId="0D8F0277" w:rsidR="00D85854" w:rsidRPr="00B044F4" w:rsidRDefault="00D85854" w:rsidP="00157E27">
      <w:pPr>
        <w:pStyle w:val="mmstd"/>
        <w:spacing w:before="0" w:after="240" w:line="240" w:lineRule="auto"/>
        <w:ind w:firstLine="0"/>
        <w:jc w:val="center"/>
        <w:rPr>
          <w:sz w:val="24"/>
          <w:szCs w:val="24"/>
        </w:rPr>
      </w:pPr>
      <w:r w:rsidRPr="00B044F4">
        <w:rPr>
          <w:rFonts w:cs="Garamond-Bold"/>
          <w:b/>
          <w:bCs/>
          <w:sz w:val="24"/>
          <w:szCs w:val="24"/>
        </w:rPr>
        <w:t>IV. Závěr</w:t>
      </w:r>
      <w:r w:rsidR="0058316B" w:rsidRPr="00B044F4">
        <w:rPr>
          <w:rFonts w:cs="Garamond-Bold"/>
          <w:b/>
          <w:bCs/>
          <w:sz w:val="24"/>
          <w:szCs w:val="24"/>
        </w:rPr>
        <w:t xml:space="preserve"> a náklady řízení</w:t>
      </w:r>
    </w:p>
    <w:p w14:paraId="0169BDC1" w14:textId="64F6446B" w:rsidR="00825119" w:rsidRPr="00B044F4" w:rsidRDefault="00825119" w:rsidP="0068466A">
      <w:pPr>
        <w:pStyle w:val="mmstd"/>
        <w:numPr>
          <w:ilvl w:val="0"/>
          <w:numId w:val="9"/>
        </w:numPr>
        <w:tabs>
          <w:tab w:val="clear" w:pos="738"/>
          <w:tab w:val="left" w:pos="378"/>
        </w:tabs>
        <w:spacing w:before="0" w:after="240" w:line="240" w:lineRule="auto"/>
        <w:ind w:left="0"/>
        <w:rPr>
          <w:sz w:val="24"/>
          <w:szCs w:val="24"/>
        </w:rPr>
      </w:pPr>
      <w:r w:rsidRPr="00B044F4">
        <w:rPr>
          <w:sz w:val="24"/>
          <w:szCs w:val="24"/>
        </w:rPr>
        <w:t>S ohledem na všechny shora uvedené skutečnosti Nejvyšší správní soud napadený rozsudek městského soudu podle § 110 odst. 1 věty první před středníkem s. ř. s. zrušil. Vzhledem k tomu, že důvody pro zrušení rozsudku městského soudu se překrývaly s důvody zakládajícími nezákonnost žalobou napadeného rozhodnutí, dospěl Nejvyšší správní soud k závěru, že povaha věci umožňuje, aby o žalobě sám rozhodl</w:t>
      </w:r>
      <w:r w:rsidR="00D16036" w:rsidRPr="00B044F4">
        <w:rPr>
          <w:sz w:val="24"/>
          <w:szCs w:val="24"/>
        </w:rPr>
        <w:t xml:space="preserve"> a podle § 110 odst. 2 písm. a) a</w:t>
      </w:r>
      <w:r w:rsidR="004E6868" w:rsidRPr="00B044F4">
        <w:rPr>
          <w:sz w:val="24"/>
          <w:szCs w:val="24"/>
        </w:rPr>
        <w:t xml:space="preserve"> § 78 odst. 1 věty první </w:t>
      </w:r>
      <w:r w:rsidRPr="00B044F4">
        <w:rPr>
          <w:sz w:val="24"/>
          <w:szCs w:val="24"/>
        </w:rPr>
        <w:t>s. ř. s. současně se zrušením napadeného rozsudku zrušil pro nezákonnost také rozhodnutí žalované</w:t>
      </w:r>
      <w:r w:rsidR="000D12D1" w:rsidRPr="00B044F4">
        <w:rPr>
          <w:sz w:val="24"/>
          <w:szCs w:val="24"/>
        </w:rPr>
        <w:t xml:space="preserve"> ve vztahu k stěžovatelům a), b), c) a d), kteří proti němu podali žalobu, když vůči zbývajícímu pátému </w:t>
      </w:r>
      <w:r w:rsidR="00BE0C8C" w:rsidRPr="00B044F4">
        <w:rPr>
          <w:sz w:val="24"/>
          <w:szCs w:val="24"/>
        </w:rPr>
        <w:t xml:space="preserve">odvolanému </w:t>
      </w:r>
      <w:r w:rsidR="000D12D1" w:rsidRPr="00B044F4">
        <w:rPr>
          <w:sz w:val="24"/>
          <w:szCs w:val="24"/>
        </w:rPr>
        <w:t xml:space="preserve">členu dozorčí komise, který </w:t>
      </w:r>
      <w:r w:rsidR="00157E27" w:rsidRPr="00B044F4">
        <w:rPr>
          <w:sz w:val="24"/>
          <w:szCs w:val="24"/>
        </w:rPr>
        <w:t>tak neučinil, zůstalo nedotčeno </w:t>
      </w:r>
      <w:r w:rsidR="000D12D1" w:rsidRPr="00B044F4">
        <w:rPr>
          <w:sz w:val="24"/>
          <w:szCs w:val="24"/>
        </w:rPr>
        <w:t xml:space="preserve">(srov. usnesení rozšířeného senátu Nejvyššího správního soudu ze dne 9. 6. 2022, </w:t>
      </w:r>
      <w:r w:rsidR="00157E27" w:rsidRPr="00B044F4">
        <w:rPr>
          <w:sz w:val="24"/>
          <w:szCs w:val="24"/>
        </w:rPr>
        <w:t>č. j. </w:t>
      </w:r>
      <w:r w:rsidR="000D12D1" w:rsidRPr="00B044F4">
        <w:rPr>
          <w:sz w:val="24"/>
          <w:szCs w:val="24"/>
        </w:rPr>
        <w:t>2 As 347/2019-81</w:t>
      </w:r>
      <w:r w:rsidR="00D16036" w:rsidRPr="00B044F4">
        <w:rPr>
          <w:sz w:val="24"/>
          <w:szCs w:val="24"/>
        </w:rPr>
        <w:t>)</w:t>
      </w:r>
      <w:r w:rsidRPr="00B044F4">
        <w:rPr>
          <w:sz w:val="24"/>
          <w:szCs w:val="24"/>
        </w:rPr>
        <w:t xml:space="preserve">. </w:t>
      </w:r>
      <w:r w:rsidR="00E92937" w:rsidRPr="00B044F4">
        <w:rPr>
          <w:sz w:val="24"/>
          <w:szCs w:val="24"/>
        </w:rPr>
        <w:t>Nejvyšší správní soud však věc</w:t>
      </w:r>
      <w:r w:rsidR="00BE0C8C" w:rsidRPr="00B044F4">
        <w:rPr>
          <w:sz w:val="24"/>
          <w:szCs w:val="24"/>
        </w:rPr>
        <w:t xml:space="preserve"> podle § 78 odst. 4 ve spojení s § 110 </w:t>
      </w:r>
      <w:r w:rsidR="00157E27" w:rsidRPr="00B044F4">
        <w:rPr>
          <w:sz w:val="24"/>
          <w:szCs w:val="24"/>
        </w:rPr>
        <w:t>odst. </w:t>
      </w:r>
      <w:r w:rsidR="00BE0C8C" w:rsidRPr="00B044F4">
        <w:rPr>
          <w:sz w:val="24"/>
          <w:szCs w:val="24"/>
        </w:rPr>
        <w:t xml:space="preserve">2 písm. a) s. ř. s. </w:t>
      </w:r>
      <w:r w:rsidRPr="00B044F4">
        <w:rPr>
          <w:sz w:val="24"/>
          <w:szCs w:val="24"/>
        </w:rPr>
        <w:t xml:space="preserve">nevrátil žalované k dalšímu řízení, neboť po zrušení usnesení o odvolání dozorčí komise </w:t>
      </w:r>
      <w:r w:rsidR="00BE0C8C" w:rsidRPr="00B044F4">
        <w:rPr>
          <w:sz w:val="24"/>
          <w:szCs w:val="24"/>
        </w:rPr>
        <w:t xml:space="preserve">ve vztahu ke všem stěžovatelům </w:t>
      </w:r>
      <w:r w:rsidRPr="00B044F4">
        <w:rPr>
          <w:sz w:val="24"/>
          <w:szCs w:val="24"/>
        </w:rPr>
        <w:t>kvůli nezákonn</w:t>
      </w:r>
      <w:r w:rsidR="00157E27" w:rsidRPr="00B044F4">
        <w:rPr>
          <w:sz w:val="24"/>
          <w:szCs w:val="24"/>
        </w:rPr>
        <w:t>osti v něm uvedeného důvodu již </w:t>
      </w:r>
      <w:r w:rsidRPr="00B044F4">
        <w:rPr>
          <w:sz w:val="24"/>
          <w:szCs w:val="24"/>
        </w:rPr>
        <w:t>nebude probíhat žádný postup směřuj</w:t>
      </w:r>
      <w:r w:rsidR="00157E27" w:rsidRPr="00B044F4">
        <w:rPr>
          <w:sz w:val="24"/>
          <w:szCs w:val="24"/>
        </w:rPr>
        <w:t>ící k vydání nového rozhodnutí.</w:t>
      </w:r>
    </w:p>
    <w:p w14:paraId="1D871A18" w14:textId="0F95126C" w:rsidR="00181D7C" w:rsidRPr="00B044F4" w:rsidRDefault="00181D7C" w:rsidP="0068466A">
      <w:pPr>
        <w:pStyle w:val="mmstd"/>
        <w:widowControl w:val="0"/>
        <w:numPr>
          <w:ilvl w:val="0"/>
          <w:numId w:val="9"/>
        </w:numPr>
        <w:tabs>
          <w:tab w:val="clear" w:pos="738"/>
          <w:tab w:val="left" w:pos="378"/>
        </w:tabs>
        <w:autoSpaceDE w:val="0"/>
        <w:autoSpaceDN w:val="0"/>
        <w:adjustRightInd w:val="0"/>
        <w:spacing w:before="0" w:after="240" w:line="240" w:lineRule="auto"/>
        <w:ind w:left="0"/>
        <w:rPr>
          <w:i/>
          <w:iCs/>
          <w:sz w:val="24"/>
          <w:szCs w:val="24"/>
        </w:rPr>
      </w:pPr>
      <w:r w:rsidRPr="00B044F4">
        <w:rPr>
          <w:sz w:val="24"/>
          <w:szCs w:val="24"/>
        </w:rPr>
        <w:t xml:space="preserve">Podle § </w:t>
      </w:r>
      <w:r w:rsidR="007A6316" w:rsidRPr="00B044F4">
        <w:rPr>
          <w:sz w:val="24"/>
          <w:szCs w:val="24"/>
        </w:rPr>
        <w:t xml:space="preserve">110 odst. 3 věty druhé s. ř. s., </w:t>
      </w:r>
      <w:r w:rsidR="007A6316" w:rsidRPr="00B044F4">
        <w:rPr>
          <w:i/>
          <w:sz w:val="24"/>
          <w:szCs w:val="24"/>
        </w:rPr>
        <w:t>r</w:t>
      </w:r>
      <w:r w:rsidRPr="00B044F4">
        <w:rPr>
          <w:i/>
          <w:iCs/>
          <w:sz w:val="24"/>
          <w:szCs w:val="24"/>
        </w:rPr>
        <w:t>ozhodl-li Nejvyšší správní soud současně o odmítnutí návrhu, zastavení řízení, o postoupení věci nebo způsobem podle odstavce 2, rozhodne i o nákladech řízení, které předcházelo zrušenému rozhodnutí krajského soudu.“</w:t>
      </w:r>
    </w:p>
    <w:p w14:paraId="315915A3" w14:textId="537A61EF" w:rsidR="00181D7C" w:rsidRPr="00B044F4" w:rsidRDefault="00181D7C" w:rsidP="0068466A">
      <w:pPr>
        <w:pStyle w:val="mmstd"/>
        <w:widowControl w:val="0"/>
        <w:numPr>
          <w:ilvl w:val="0"/>
          <w:numId w:val="9"/>
        </w:numPr>
        <w:tabs>
          <w:tab w:val="clear" w:pos="738"/>
          <w:tab w:val="left" w:pos="378"/>
        </w:tabs>
        <w:autoSpaceDE w:val="0"/>
        <w:autoSpaceDN w:val="0"/>
        <w:adjustRightInd w:val="0"/>
        <w:spacing w:before="0" w:after="240" w:line="240" w:lineRule="auto"/>
        <w:ind w:left="0"/>
        <w:rPr>
          <w:i/>
          <w:iCs/>
          <w:sz w:val="24"/>
          <w:szCs w:val="24"/>
        </w:rPr>
      </w:pPr>
      <w:r w:rsidRPr="00B044F4">
        <w:rPr>
          <w:sz w:val="24"/>
          <w:szCs w:val="24"/>
        </w:rPr>
        <w:t xml:space="preserve">O náhradě nákladů řízení před </w:t>
      </w:r>
      <w:r w:rsidR="00490676" w:rsidRPr="00B044F4">
        <w:rPr>
          <w:sz w:val="24"/>
          <w:szCs w:val="24"/>
        </w:rPr>
        <w:t xml:space="preserve">Nejvyšším správním soudem a </w:t>
      </w:r>
      <w:r w:rsidR="007A6316" w:rsidRPr="00B044F4">
        <w:rPr>
          <w:sz w:val="24"/>
          <w:szCs w:val="24"/>
        </w:rPr>
        <w:t>městským soudem</w:t>
      </w:r>
      <w:r w:rsidRPr="00B044F4">
        <w:rPr>
          <w:sz w:val="24"/>
          <w:szCs w:val="24"/>
        </w:rPr>
        <w:t xml:space="preserve"> </w:t>
      </w:r>
      <w:r w:rsidR="00157E27" w:rsidRPr="00B044F4">
        <w:rPr>
          <w:sz w:val="24"/>
          <w:szCs w:val="24"/>
        </w:rPr>
        <w:t>bylo </w:t>
      </w:r>
      <w:r w:rsidR="00490676" w:rsidRPr="00B044F4">
        <w:rPr>
          <w:sz w:val="24"/>
          <w:szCs w:val="24"/>
        </w:rPr>
        <w:t>rozhodnuto</w:t>
      </w:r>
      <w:r w:rsidRPr="00B044F4">
        <w:rPr>
          <w:sz w:val="24"/>
          <w:szCs w:val="24"/>
        </w:rPr>
        <w:t xml:space="preserve"> tak, že </w:t>
      </w:r>
      <w:r w:rsidR="007A6316" w:rsidRPr="00B044F4">
        <w:rPr>
          <w:sz w:val="24"/>
          <w:szCs w:val="24"/>
        </w:rPr>
        <w:t>stěžovatelé mají vůči žalované</w:t>
      </w:r>
      <w:r w:rsidR="00490676" w:rsidRPr="00B044F4">
        <w:rPr>
          <w:sz w:val="24"/>
          <w:szCs w:val="24"/>
        </w:rPr>
        <w:t xml:space="preserve"> právo </w:t>
      </w:r>
      <w:r w:rsidRPr="00B044F4">
        <w:rPr>
          <w:sz w:val="24"/>
          <w:szCs w:val="24"/>
        </w:rPr>
        <w:t>n</w:t>
      </w:r>
      <w:r w:rsidR="00A5171C" w:rsidRPr="00B044F4">
        <w:rPr>
          <w:sz w:val="24"/>
          <w:szCs w:val="24"/>
        </w:rPr>
        <w:t xml:space="preserve">a náhradu nákladů řízení, které </w:t>
      </w:r>
      <w:r w:rsidRPr="00B044F4">
        <w:rPr>
          <w:sz w:val="24"/>
          <w:szCs w:val="24"/>
        </w:rPr>
        <w:t xml:space="preserve">důvodně vynaložili, neboť měli ve věci plný úspěch (§ 60 odst. 1 věta první za použití § 120 </w:t>
      </w:r>
      <w:r w:rsidR="00157E27" w:rsidRPr="00B044F4">
        <w:rPr>
          <w:sz w:val="24"/>
          <w:szCs w:val="24"/>
        </w:rPr>
        <w:t>s. ř. </w:t>
      </w:r>
      <w:r w:rsidRPr="00B044F4">
        <w:rPr>
          <w:sz w:val="24"/>
          <w:szCs w:val="24"/>
        </w:rPr>
        <w:t>s.). Důvodně vynaložené náklady řízení</w:t>
      </w:r>
      <w:r w:rsidR="00D16036" w:rsidRPr="00B044F4">
        <w:rPr>
          <w:sz w:val="24"/>
          <w:szCs w:val="24"/>
        </w:rPr>
        <w:t xml:space="preserve"> tvoří zaplacené</w:t>
      </w:r>
      <w:r w:rsidR="00BE0C8C" w:rsidRPr="00B044F4">
        <w:rPr>
          <w:sz w:val="24"/>
          <w:szCs w:val="24"/>
        </w:rPr>
        <w:t xml:space="preserve"> soudní poplatky</w:t>
      </w:r>
      <w:r w:rsidRPr="00B044F4">
        <w:rPr>
          <w:sz w:val="24"/>
          <w:szCs w:val="24"/>
        </w:rPr>
        <w:t xml:space="preserve"> za žalobu ve výši </w:t>
      </w:r>
      <w:r w:rsidR="007A6316" w:rsidRPr="00B044F4">
        <w:rPr>
          <w:sz w:val="24"/>
          <w:szCs w:val="24"/>
        </w:rPr>
        <w:t>4</w:t>
      </w:r>
      <w:r w:rsidR="00157E27" w:rsidRPr="00B044F4">
        <w:rPr>
          <w:sz w:val="24"/>
          <w:szCs w:val="24"/>
        </w:rPr>
        <w:t> x </w:t>
      </w:r>
      <w:r w:rsidRPr="00B044F4">
        <w:rPr>
          <w:sz w:val="24"/>
          <w:szCs w:val="24"/>
        </w:rPr>
        <w:t xml:space="preserve">3.000 Kč, </w:t>
      </w:r>
      <w:r w:rsidR="0050465D" w:rsidRPr="00B044F4">
        <w:rPr>
          <w:sz w:val="24"/>
          <w:szCs w:val="24"/>
        </w:rPr>
        <w:t>za</w:t>
      </w:r>
      <w:r w:rsidR="00BE0C8C" w:rsidRPr="00B044F4">
        <w:rPr>
          <w:sz w:val="24"/>
          <w:szCs w:val="24"/>
        </w:rPr>
        <w:t xml:space="preserve"> návrh na</w:t>
      </w:r>
      <w:r w:rsidR="0050465D" w:rsidRPr="00B044F4">
        <w:rPr>
          <w:sz w:val="24"/>
          <w:szCs w:val="24"/>
        </w:rPr>
        <w:t xml:space="preserve"> přiznání odkladného účin</w:t>
      </w:r>
      <w:r w:rsidR="00BE0C8C" w:rsidRPr="00B044F4">
        <w:rPr>
          <w:sz w:val="24"/>
          <w:szCs w:val="24"/>
        </w:rPr>
        <w:t xml:space="preserve">ku žalobě ve výši 4 x 1.000 Kč a </w:t>
      </w:r>
      <w:r w:rsidRPr="00B044F4">
        <w:rPr>
          <w:sz w:val="24"/>
          <w:szCs w:val="24"/>
        </w:rPr>
        <w:t xml:space="preserve">za kasační stížnost ve výši </w:t>
      </w:r>
      <w:r w:rsidR="007A6316" w:rsidRPr="00B044F4">
        <w:rPr>
          <w:sz w:val="24"/>
          <w:szCs w:val="24"/>
        </w:rPr>
        <w:t>4</w:t>
      </w:r>
      <w:r w:rsidRPr="00B044F4">
        <w:rPr>
          <w:sz w:val="24"/>
          <w:szCs w:val="24"/>
        </w:rPr>
        <w:t xml:space="preserve"> x 5.000 Kč</w:t>
      </w:r>
      <w:r w:rsidR="00A76B37" w:rsidRPr="00B044F4">
        <w:rPr>
          <w:sz w:val="24"/>
          <w:szCs w:val="24"/>
        </w:rPr>
        <w:t>, celkem 36.000 Kč,</w:t>
      </w:r>
      <w:r w:rsidRPr="00B044F4">
        <w:rPr>
          <w:sz w:val="24"/>
          <w:szCs w:val="24"/>
        </w:rPr>
        <w:t xml:space="preserve"> a dále odměna </w:t>
      </w:r>
      <w:r w:rsidR="00DA1B82" w:rsidRPr="00B044F4">
        <w:rPr>
          <w:sz w:val="24"/>
          <w:szCs w:val="24"/>
        </w:rPr>
        <w:t xml:space="preserve">a náhrada hotových výdajů </w:t>
      </w:r>
      <w:r w:rsidR="00157E27" w:rsidRPr="00B044F4">
        <w:rPr>
          <w:sz w:val="24"/>
          <w:szCs w:val="24"/>
        </w:rPr>
        <w:t>za zastupování advokátem.</w:t>
      </w:r>
    </w:p>
    <w:p w14:paraId="2A380511" w14:textId="4F2093E9" w:rsidR="00181D7C" w:rsidRPr="00B044F4" w:rsidRDefault="00181D7C" w:rsidP="00E16AF4">
      <w:pPr>
        <w:pStyle w:val="mmstd"/>
        <w:widowControl w:val="0"/>
        <w:numPr>
          <w:ilvl w:val="0"/>
          <w:numId w:val="9"/>
        </w:numPr>
        <w:tabs>
          <w:tab w:val="left" w:pos="378"/>
        </w:tabs>
        <w:autoSpaceDE w:val="0"/>
        <w:autoSpaceDN w:val="0"/>
        <w:adjustRightInd w:val="0"/>
        <w:spacing w:before="0" w:after="240" w:line="240" w:lineRule="auto"/>
        <w:ind w:left="0"/>
        <w:rPr>
          <w:i/>
          <w:iCs/>
          <w:sz w:val="24"/>
          <w:szCs w:val="24"/>
        </w:rPr>
      </w:pPr>
      <w:r w:rsidRPr="00B044F4">
        <w:rPr>
          <w:sz w:val="24"/>
          <w:szCs w:val="24"/>
        </w:rPr>
        <w:t xml:space="preserve">Odměna za zastupování byla určena podle § 11 odst. 1 </w:t>
      </w:r>
      <w:r w:rsidR="00A76B37" w:rsidRPr="00B044F4">
        <w:rPr>
          <w:sz w:val="24"/>
          <w:szCs w:val="24"/>
        </w:rPr>
        <w:t xml:space="preserve">odst. 1 písm. a), d) a g) </w:t>
      </w:r>
      <w:r w:rsidR="00157E27" w:rsidRPr="00B044F4">
        <w:rPr>
          <w:sz w:val="24"/>
          <w:szCs w:val="24"/>
        </w:rPr>
        <w:t>ve spojení s § </w:t>
      </w:r>
      <w:r w:rsidRPr="00B044F4">
        <w:rPr>
          <w:sz w:val="24"/>
          <w:szCs w:val="24"/>
        </w:rPr>
        <w:t xml:space="preserve">7, § 9 odst. 3 písm. f) vyhlášky č. 177/1996 Sb., </w:t>
      </w:r>
      <w:r w:rsidR="00E16AF4" w:rsidRPr="00B044F4">
        <w:rPr>
          <w:sz w:val="24"/>
          <w:szCs w:val="24"/>
        </w:rPr>
        <w:t>o odměnách advokátů a náhradách advokátů za poskytování právních služeb (advokátní tarif),</w:t>
      </w:r>
      <w:r w:rsidRPr="00B044F4">
        <w:rPr>
          <w:sz w:val="24"/>
          <w:szCs w:val="24"/>
        </w:rPr>
        <w:t xml:space="preserve"> ve znění </w:t>
      </w:r>
      <w:r w:rsidR="003C6FF8" w:rsidRPr="00B044F4">
        <w:rPr>
          <w:sz w:val="24"/>
          <w:szCs w:val="24"/>
        </w:rPr>
        <w:t>pozdějších přepisů</w:t>
      </w:r>
      <w:r w:rsidR="00E16AF4" w:rsidRPr="00B044F4">
        <w:rPr>
          <w:sz w:val="24"/>
          <w:szCs w:val="24"/>
        </w:rPr>
        <w:t xml:space="preserve"> (dále jen „advokátní tarif“)</w:t>
      </w:r>
      <w:r w:rsidRPr="00B044F4">
        <w:rPr>
          <w:sz w:val="24"/>
          <w:szCs w:val="24"/>
        </w:rPr>
        <w:t xml:space="preserve">, snížená o 20 % podle § 12 odst. 4 advokátního tarifu, </w:t>
      </w:r>
      <w:r w:rsidR="00BE0C8C" w:rsidRPr="00B044F4">
        <w:rPr>
          <w:sz w:val="24"/>
          <w:szCs w:val="24"/>
        </w:rPr>
        <w:t xml:space="preserve">a to </w:t>
      </w:r>
      <w:r w:rsidRPr="00B044F4">
        <w:rPr>
          <w:sz w:val="24"/>
          <w:szCs w:val="24"/>
        </w:rPr>
        <w:t xml:space="preserve">za </w:t>
      </w:r>
      <w:r w:rsidR="00A76B37" w:rsidRPr="00B044F4">
        <w:rPr>
          <w:sz w:val="24"/>
          <w:szCs w:val="24"/>
        </w:rPr>
        <w:t>šest</w:t>
      </w:r>
      <w:r w:rsidR="003C6FF8" w:rsidRPr="00B044F4">
        <w:rPr>
          <w:sz w:val="24"/>
          <w:szCs w:val="24"/>
        </w:rPr>
        <w:t xml:space="preserve"> úkonů</w:t>
      </w:r>
      <w:r w:rsidR="00FB6422" w:rsidRPr="00B044F4">
        <w:rPr>
          <w:sz w:val="24"/>
          <w:szCs w:val="24"/>
        </w:rPr>
        <w:t xml:space="preserve"> právní služby </w:t>
      </w:r>
      <w:r w:rsidR="00157E27" w:rsidRPr="00B044F4">
        <w:rPr>
          <w:sz w:val="24"/>
          <w:szCs w:val="24"/>
        </w:rPr>
        <w:t>po </w:t>
      </w:r>
      <w:r w:rsidR="00A76B37" w:rsidRPr="00B044F4">
        <w:rPr>
          <w:sz w:val="24"/>
          <w:szCs w:val="24"/>
        </w:rPr>
        <w:t xml:space="preserve">2.480 Kč </w:t>
      </w:r>
      <w:r w:rsidR="00FB6422" w:rsidRPr="00B044F4">
        <w:rPr>
          <w:sz w:val="24"/>
          <w:szCs w:val="24"/>
        </w:rPr>
        <w:t>poskytnutých</w:t>
      </w:r>
      <w:r w:rsidRPr="00B044F4">
        <w:rPr>
          <w:sz w:val="24"/>
          <w:szCs w:val="24"/>
        </w:rPr>
        <w:t xml:space="preserve"> každému ze stěžovatelů (</w:t>
      </w:r>
      <w:r w:rsidR="00A76B37" w:rsidRPr="00B044F4">
        <w:rPr>
          <w:sz w:val="24"/>
          <w:szCs w:val="24"/>
        </w:rPr>
        <w:t xml:space="preserve">převzetí </w:t>
      </w:r>
      <w:r w:rsidRPr="00B044F4">
        <w:rPr>
          <w:sz w:val="24"/>
          <w:szCs w:val="24"/>
        </w:rPr>
        <w:t>příprava a zastoupení, podání žaloby</w:t>
      </w:r>
      <w:r w:rsidR="00A76B37" w:rsidRPr="00B044F4">
        <w:rPr>
          <w:sz w:val="24"/>
          <w:szCs w:val="24"/>
        </w:rPr>
        <w:t>, podání repliky k vyjádření žalované před městským soudem, účast na jednání před městským soudem, podání kasační stížnosti a podání repliky k vyjádření žalované před Nejvyšším správním soudem</w:t>
      </w:r>
      <w:r w:rsidRPr="00B044F4">
        <w:rPr>
          <w:sz w:val="24"/>
          <w:szCs w:val="24"/>
        </w:rPr>
        <w:t>) v</w:t>
      </w:r>
      <w:r w:rsidR="00A76B37" w:rsidRPr="00B044F4">
        <w:rPr>
          <w:sz w:val="24"/>
          <w:szCs w:val="24"/>
        </w:rPr>
        <w:t>e výši 4 x 14.880 Kč, tedy celkem 59.520</w:t>
      </w:r>
      <w:r w:rsidRPr="00B044F4">
        <w:rPr>
          <w:sz w:val="24"/>
          <w:szCs w:val="24"/>
        </w:rPr>
        <w:t xml:space="preserve"> Kč. Náhrada hotových výdajů (režijní paušál) činí podle § 13 odst. </w:t>
      </w:r>
      <w:r w:rsidR="00A76B37" w:rsidRPr="00B044F4">
        <w:rPr>
          <w:sz w:val="24"/>
          <w:szCs w:val="24"/>
        </w:rPr>
        <w:t>4</w:t>
      </w:r>
      <w:r w:rsidRPr="00B044F4">
        <w:rPr>
          <w:sz w:val="24"/>
          <w:szCs w:val="24"/>
        </w:rPr>
        <w:t xml:space="preserve"> advokátního tarifu 300 Kč za každý z uvedených </w:t>
      </w:r>
      <w:r w:rsidR="00157E27" w:rsidRPr="00B044F4">
        <w:rPr>
          <w:sz w:val="24"/>
          <w:szCs w:val="24"/>
        </w:rPr>
        <w:t>šesti </w:t>
      </w:r>
      <w:r w:rsidR="00A76B37" w:rsidRPr="00B044F4">
        <w:rPr>
          <w:sz w:val="24"/>
          <w:szCs w:val="24"/>
        </w:rPr>
        <w:t>úkonů, celkem 1.8</w:t>
      </w:r>
      <w:r w:rsidRPr="00B044F4">
        <w:rPr>
          <w:sz w:val="24"/>
          <w:szCs w:val="24"/>
        </w:rPr>
        <w:t xml:space="preserve">00 Kč. </w:t>
      </w:r>
      <w:r w:rsidR="007B7352" w:rsidRPr="00B044F4">
        <w:rPr>
          <w:sz w:val="24"/>
          <w:szCs w:val="24"/>
        </w:rPr>
        <w:t xml:space="preserve">Odměnu za další písemná podání učiněná advokátem spočívající v reakci na </w:t>
      </w:r>
      <w:r w:rsidR="00E16AF4" w:rsidRPr="00B044F4">
        <w:rPr>
          <w:sz w:val="24"/>
          <w:szCs w:val="24"/>
        </w:rPr>
        <w:t>následná</w:t>
      </w:r>
      <w:r w:rsidR="007B7352" w:rsidRPr="00B044F4">
        <w:rPr>
          <w:sz w:val="24"/>
          <w:szCs w:val="24"/>
        </w:rPr>
        <w:t xml:space="preserve"> vyjádření žalované však již Nejvyšší správní soud stěžovatelům nepřiznal, neboť ta</w:t>
      </w:r>
      <w:r w:rsidR="00E16AF4" w:rsidRPr="00B044F4">
        <w:rPr>
          <w:sz w:val="24"/>
          <w:szCs w:val="24"/>
        </w:rPr>
        <w:t xml:space="preserve"> </w:t>
      </w:r>
      <w:r w:rsidR="007B7352" w:rsidRPr="00B044F4">
        <w:rPr>
          <w:sz w:val="24"/>
          <w:szCs w:val="24"/>
        </w:rPr>
        <w:t>jen opakovala žalobní či kasační argumentaci</w:t>
      </w:r>
      <w:r w:rsidR="00BE0C8C" w:rsidRPr="00B044F4">
        <w:rPr>
          <w:sz w:val="24"/>
          <w:szCs w:val="24"/>
        </w:rPr>
        <w:t>,</w:t>
      </w:r>
      <w:r w:rsidR="00E16AF4" w:rsidRPr="00B044F4">
        <w:rPr>
          <w:sz w:val="24"/>
          <w:szCs w:val="24"/>
        </w:rPr>
        <w:t xml:space="preserve"> a nelze je</w:t>
      </w:r>
      <w:r w:rsidR="007B7352" w:rsidRPr="00B044F4">
        <w:rPr>
          <w:sz w:val="24"/>
          <w:szCs w:val="24"/>
        </w:rPr>
        <w:t xml:space="preserve"> tak považovat za </w:t>
      </w:r>
      <w:r w:rsidR="00223352" w:rsidRPr="00B044F4">
        <w:rPr>
          <w:sz w:val="24"/>
          <w:szCs w:val="24"/>
        </w:rPr>
        <w:t>důvodně učiněné</w:t>
      </w:r>
      <w:r w:rsidR="007B7352" w:rsidRPr="00B044F4">
        <w:rPr>
          <w:sz w:val="24"/>
          <w:szCs w:val="24"/>
        </w:rPr>
        <w:t xml:space="preserve"> úkony právní služby. Zástupce stěžovatelů je </w:t>
      </w:r>
      <w:r w:rsidR="00E16AF4" w:rsidRPr="00B044F4">
        <w:rPr>
          <w:sz w:val="24"/>
          <w:szCs w:val="24"/>
        </w:rPr>
        <w:t>plátcem daně z přidané hodnoty</w:t>
      </w:r>
      <w:r w:rsidRPr="00B044F4">
        <w:rPr>
          <w:sz w:val="24"/>
          <w:szCs w:val="24"/>
        </w:rPr>
        <w:t xml:space="preserve">, </w:t>
      </w:r>
      <w:r w:rsidR="007B7352" w:rsidRPr="00B044F4">
        <w:rPr>
          <w:sz w:val="24"/>
          <w:szCs w:val="24"/>
        </w:rPr>
        <w:t xml:space="preserve">a </w:t>
      </w:r>
      <w:r w:rsidRPr="00B044F4">
        <w:rPr>
          <w:sz w:val="24"/>
          <w:szCs w:val="24"/>
        </w:rPr>
        <w:t xml:space="preserve">proto součást nákladů tvoří rovněž tato daň ve výši </w:t>
      </w:r>
      <w:r w:rsidR="007B7352" w:rsidRPr="00B044F4">
        <w:rPr>
          <w:sz w:val="24"/>
          <w:szCs w:val="24"/>
        </w:rPr>
        <w:t>12.877</w:t>
      </w:r>
      <w:r w:rsidRPr="00B044F4">
        <w:rPr>
          <w:sz w:val="24"/>
          <w:szCs w:val="24"/>
        </w:rPr>
        <w:t xml:space="preserve"> Kč</w:t>
      </w:r>
      <w:r w:rsidR="00223352" w:rsidRPr="00B044F4">
        <w:rPr>
          <w:sz w:val="24"/>
          <w:szCs w:val="24"/>
        </w:rPr>
        <w:t xml:space="preserve"> (po zaokrouhlení)</w:t>
      </w:r>
      <w:r w:rsidRPr="00B044F4">
        <w:rPr>
          <w:sz w:val="24"/>
          <w:szCs w:val="24"/>
        </w:rPr>
        <w:t xml:space="preserve">, tj. 21 % z částky </w:t>
      </w:r>
      <w:r w:rsidR="007B7352" w:rsidRPr="00B044F4">
        <w:rPr>
          <w:sz w:val="24"/>
          <w:szCs w:val="24"/>
        </w:rPr>
        <w:t>61.320</w:t>
      </w:r>
      <w:r w:rsidR="00E16AF4" w:rsidRPr="00B044F4">
        <w:rPr>
          <w:sz w:val="24"/>
          <w:szCs w:val="24"/>
        </w:rPr>
        <w:t xml:space="preserve"> Kč, jak vyplývá z § 57 odst. 2 s. ř. s.</w:t>
      </w:r>
    </w:p>
    <w:p w14:paraId="273E11FC" w14:textId="166B55A9" w:rsidR="00181D7C" w:rsidRPr="00B044F4" w:rsidRDefault="00181D7C" w:rsidP="0068466A">
      <w:pPr>
        <w:pStyle w:val="mmstd"/>
        <w:widowControl w:val="0"/>
        <w:numPr>
          <w:ilvl w:val="0"/>
          <w:numId w:val="9"/>
        </w:numPr>
        <w:tabs>
          <w:tab w:val="clear" w:pos="738"/>
          <w:tab w:val="left" w:pos="378"/>
        </w:tabs>
        <w:autoSpaceDE w:val="0"/>
        <w:autoSpaceDN w:val="0"/>
        <w:adjustRightInd w:val="0"/>
        <w:spacing w:before="0" w:after="240" w:line="240" w:lineRule="auto"/>
        <w:ind w:left="0"/>
        <w:rPr>
          <w:i/>
          <w:iCs/>
          <w:sz w:val="24"/>
          <w:szCs w:val="24"/>
        </w:rPr>
      </w:pPr>
      <w:r w:rsidRPr="00B044F4">
        <w:rPr>
          <w:sz w:val="24"/>
          <w:szCs w:val="24"/>
        </w:rPr>
        <w:t>Celkové důvodně</w:t>
      </w:r>
      <w:r w:rsidR="007B7352" w:rsidRPr="00B044F4">
        <w:rPr>
          <w:sz w:val="24"/>
          <w:szCs w:val="24"/>
        </w:rPr>
        <w:t xml:space="preserve"> vynaložené náklady stěžovatelů tak</w:t>
      </w:r>
      <w:r w:rsidRPr="00B044F4">
        <w:rPr>
          <w:sz w:val="24"/>
          <w:szCs w:val="24"/>
        </w:rPr>
        <w:t xml:space="preserve"> činí </w:t>
      </w:r>
      <w:r w:rsidR="007B7352" w:rsidRPr="00B044F4">
        <w:rPr>
          <w:sz w:val="24"/>
          <w:szCs w:val="24"/>
        </w:rPr>
        <w:t>110.197</w:t>
      </w:r>
      <w:r w:rsidRPr="00B044F4">
        <w:rPr>
          <w:sz w:val="24"/>
          <w:szCs w:val="24"/>
        </w:rPr>
        <w:t xml:space="preserve"> Kč, </w:t>
      </w:r>
      <w:r w:rsidR="007B7352" w:rsidRPr="00B044F4">
        <w:rPr>
          <w:sz w:val="24"/>
          <w:szCs w:val="24"/>
        </w:rPr>
        <w:t xml:space="preserve">a </w:t>
      </w:r>
      <w:r w:rsidRPr="00B044F4">
        <w:rPr>
          <w:sz w:val="24"/>
          <w:szCs w:val="24"/>
        </w:rPr>
        <w:t xml:space="preserve">proto Nejvyšší správní </w:t>
      </w:r>
      <w:r w:rsidR="0068466A" w:rsidRPr="00B044F4">
        <w:rPr>
          <w:sz w:val="24"/>
          <w:szCs w:val="24"/>
        </w:rPr>
        <w:t>soud uložil procesně neúspěšné žalované</w:t>
      </w:r>
      <w:r w:rsidRPr="00B044F4">
        <w:rPr>
          <w:sz w:val="24"/>
          <w:szCs w:val="24"/>
        </w:rPr>
        <w:t xml:space="preserve"> povinnost za</w:t>
      </w:r>
      <w:r w:rsidR="00157E27" w:rsidRPr="00B044F4">
        <w:rPr>
          <w:sz w:val="24"/>
          <w:szCs w:val="24"/>
        </w:rPr>
        <w:t>platit úspěšným stěžovatelům na </w:t>
      </w:r>
      <w:r w:rsidRPr="00B044F4">
        <w:rPr>
          <w:sz w:val="24"/>
          <w:szCs w:val="24"/>
        </w:rPr>
        <w:t xml:space="preserve">náhradě nákladů řízení </w:t>
      </w:r>
      <w:r w:rsidR="00E16AF4" w:rsidRPr="00B044F4">
        <w:rPr>
          <w:sz w:val="24"/>
          <w:szCs w:val="24"/>
        </w:rPr>
        <w:t xml:space="preserve">o kasační stížnosti a o žalobě </w:t>
      </w:r>
      <w:r w:rsidR="007B7352" w:rsidRPr="00B044F4">
        <w:rPr>
          <w:sz w:val="24"/>
          <w:szCs w:val="24"/>
        </w:rPr>
        <w:t xml:space="preserve">tuto </w:t>
      </w:r>
      <w:r w:rsidRPr="00B044F4">
        <w:rPr>
          <w:sz w:val="24"/>
          <w:szCs w:val="24"/>
        </w:rPr>
        <w:t xml:space="preserve">částku k rukám jejich zástupce. Ke splnění této povinnosti stanovil </w:t>
      </w:r>
      <w:r w:rsidR="00BE0C8C" w:rsidRPr="00B044F4">
        <w:rPr>
          <w:sz w:val="24"/>
          <w:szCs w:val="24"/>
        </w:rPr>
        <w:t xml:space="preserve">Nejvyšší správní </w:t>
      </w:r>
      <w:r w:rsidRPr="00B044F4">
        <w:rPr>
          <w:sz w:val="24"/>
          <w:szCs w:val="24"/>
        </w:rPr>
        <w:t xml:space="preserve">soud přiměřenou lhůtu </w:t>
      </w:r>
      <w:r w:rsidR="0068466A" w:rsidRPr="00B044F4">
        <w:rPr>
          <w:sz w:val="24"/>
          <w:szCs w:val="24"/>
        </w:rPr>
        <w:t xml:space="preserve">třiceti </w:t>
      </w:r>
      <w:r w:rsidRPr="00B044F4">
        <w:rPr>
          <w:sz w:val="24"/>
          <w:szCs w:val="24"/>
        </w:rPr>
        <w:t>dnů od právní moci tohoto rozsudku.</w:t>
      </w:r>
    </w:p>
    <w:p w14:paraId="6F3F222E" w14:textId="2DF1FFC2" w:rsidR="0068466A" w:rsidRPr="00B044F4" w:rsidRDefault="001A4888" w:rsidP="00DA1B82">
      <w:pPr>
        <w:pStyle w:val="mmstd"/>
        <w:widowControl w:val="0"/>
        <w:numPr>
          <w:ilvl w:val="0"/>
          <w:numId w:val="9"/>
        </w:numPr>
        <w:tabs>
          <w:tab w:val="clear" w:pos="738"/>
          <w:tab w:val="left" w:pos="378"/>
        </w:tabs>
        <w:autoSpaceDE w:val="0"/>
        <w:autoSpaceDN w:val="0"/>
        <w:adjustRightInd w:val="0"/>
        <w:spacing w:before="0" w:after="0" w:line="240" w:lineRule="auto"/>
        <w:ind w:left="0"/>
        <w:rPr>
          <w:i/>
          <w:iCs/>
          <w:sz w:val="24"/>
          <w:szCs w:val="24"/>
        </w:rPr>
      </w:pPr>
      <w:r w:rsidRPr="00B044F4">
        <w:rPr>
          <w:sz w:val="24"/>
          <w:szCs w:val="24"/>
        </w:rPr>
        <w:t>Osoba zúčastněná na řízení má v souladu s ustanovení</w:t>
      </w:r>
      <w:r w:rsidR="00BE0C8C" w:rsidRPr="00B044F4">
        <w:rPr>
          <w:sz w:val="24"/>
          <w:szCs w:val="24"/>
        </w:rPr>
        <w:t>m</w:t>
      </w:r>
      <w:r w:rsidR="00E16AF4" w:rsidRPr="00B044F4">
        <w:rPr>
          <w:sz w:val="24"/>
          <w:szCs w:val="24"/>
        </w:rPr>
        <w:t>i</w:t>
      </w:r>
      <w:r w:rsidRPr="00B044F4">
        <w:rPr>
          <w:sz w:val="24"/>
          <w:szCs w:val="24"/>
        </w:rPr>
        <w:t xml:space="preserve"> § 60 odst. 5 </w:t>
      </w:r>
      <w:r w:rsidR="00BE0C8C" w:rsidRPr="00B044F4">
        <w:rPr>
          <w:sz w:val="24"/>
          <w:szCs w:val="24"/>
        </w:rPr>
        <w:t xml:space="preserve">a § 120 s. ř. s. </w:t>
      </w:r>
      <w:r w:rsidRPr="00B044F4">
        <w:rPr>
          <w:sz w:val="24"/>
          <w:szCs w:val="24"/>
        </w:rPr>
        <w:t>právo na náhradu</w:t>
      </w:r>
      <w:r w:rsidR="00BE0C8C" w:rsidRPr="00B044F4">
        <w:rPr>
          <w:sz w:val="24"/>
          <w:szCs w:val="24"/>
        </w:rPr>
        <w:t xml:space="preserve"> řízení o kasační stížnosti a o žalobě </w:t>
      </w:r>
      <w:r w:rsidRPr="00B044F4">
        <w:rPr>
          <w:sz w:val="24"/>
          <w:szCs w:val="24"/>
        </w:rPr>
        <w:t>jen těch nákladů, které jí vznikly v souvislosti s plněním povinností, které jí soud uložil. Z důvodů zvláštního zřetele hodných jí může soud na návrh přiznat právo na náhradu dalších nákladů řízení. Taková situace ovšem v dané věci nenastala. Proto Nejvyšší správní soud rozhodl také o tom, že osoba zúčastněná na řízení nemá právo na náhradu nákladů řízení o </w:t>
      </w:r>
      <w:r w:rsidR="00BE0C8C" w:rsidRPr="00B044F4">
        <w:rPr>
          <w:sz w:val="24"/>
          <w:szCs w:val="24"/>
        </w:rPr>
        <w:t>kasační stížnosti a o žalobě</w:t>
      </w:r>
      <w:r w:rsidRPr="00B044F4">
        <w:rPr>
          <w:sz w:val="24"/>
          <w:szCs w:val="24"/>
        </w:rPr>
        <w:t>.</w:t>
      </w:r>
    </w:p>
    <w:p w14:paraId="67EE2CC1" w14:textId="77777777" w:rsidR="00DA1B82" w:rsidRPr="00B044F4" w:rsidRDefault="00DA1B82" w:rsidP="00DA1B82">
      <w:pPr>
        <w:pStyle w:val="mmstd"/>
        <w:widowControl w:val="0"/>
        <w:tabs>
          <w:tab w:val="left" w:pos="378"/>
        </w:tabs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</w:p>
    <w:p w14:paraId="3737C793" w14:textId="77777777" w:rsidR="00DA1B82" w:rsidRPr="00B044F4" w:rsidRDefault="00DA1B82" w:rsidP="00DA1B82">
      <w:pPr>
        <w:pStyle w:val="mmstd"/>
        <w:widowControl w:val="0"/>
        <w:tabs>
          <w:tab w:val="left" w:pos="378"/>
        </w:tabs>
        <w:autoSpaceDE w:val="0"/>
        <w:autoSpaceDN w:val="0"/>
        <w:adjustRightInd w:val="0"/>
        <w:spacing w:before="0" w:after="0" w:line="240" w:lineRule="auto"/>
        <w:ind w:firstLine="0"/>
        <w:rPr>
          <w:iCs/>
          <w:sz w:val="24"/>
          <w:szCs w:val="24"/>
        </w:rPr>
      </w:pPr>
    </w:p>
    <w:p w14:paraId="5203B760" w14:textId="77777777" w:rsidR="00613ADE" w:rsidRPr="00B044F4" w:rsidRDefault="00241C32" w:rsidP="00DA1B82">
      <w:pPr>
        <w:spacing w:after="0" w:line="240" w:lineRule="auto"/>
        <w:rPr>
          <w:rFonts w:ascii="Garamond" w:hAnsi="Garamond"/>
          <w:sz w:val="24"/>
          <w:szCs w:val="24"/>
        </w:rPr>
      </w:pPr>
      <w:r w:rsidRPr="00B044F4">
        <w:rPr>
          <w:rStyle w:val="Siln"/>
          <w:rFonts w:ascii="Garamond" w:hAnsi="Garamond"/>
          <w:spacing w:val="60"/>
          <w:sz w:val="24"/>
          <w:szCs w:val="24"/>
        </w:rPr>
        <w:t>Poučení:</w:t>
      </w:r>
      <w:r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Pr="00B044F4">
        <w:rPr>
          <w:rFonts w:ascii="Garamond" w:hAnsi="Garamond"/>
          <w:sz w:val="24"/>
          <w:szCs w:val="24"/>
        </w:rPr>
        <w:t>Proti tomuto rozsudku</w:t>
      </w:r>
      <w:r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Pr="00B044F4">
        <w:rPr>
          <w:rStyle w:val="Siln"/>
          <w:rFonts w:ascii="Garamond" w:hAnsi="Garamond"/>
          <w:spacing w:val="60"/>
          <w:sz w:val="24"/>
          <w:szCs w:val="24"/>
        </w:rPr>
        <w:t>nejsou</w:t>
      </w:r>
      <w:r w:rsidRPr="00B044F4">
        <w:rPr>
          <w:rFonts w:ascii="Garamond" w:hAnsi="Garamond"/>
          <w:spacing w:val="60"/>
          <w:sz w:val="24"/>
          <w:szCs w:val="24"/>
        </w:rPr>
        <w:t xml:space="preserve"> </w:t>
      </w:r>
      <w:r w:rsidRPr="00B044F4">
        <w:rPr>
          <w:rFonts w:ascii="Garamond" w:hAnsi="Garamond"/>
          <w:sz w:val="24"/>
          <w:szCs w:val="24"/>
        </w:rPr>
        <w:t>opravné prostředky přípustné.</w:t>
      </w:r>
    </w:p>
    <w:p w14:paraId="739ECDF7" w14:textId="77777777" w:rsidR="00613ADE" w:rsidRPr="00B044F4" w:rsidRDefault="00613A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5072BE" w14:textId="77777777" w:rsidR="00613ADE" w:rsidRPr="00B044F4" w:rsidRDefault="00613AD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4EC028" w14:textId="5FAD1F92" w:rsidR="00613ADE" w:rsidRPr="00B044F4" w:rsidRDefault="00DA1B8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 xml:space="preserve">V </w:t>
      </w:r>
      <w:r w:rsidR="00241C32" w:rsidRPr="00B044F4">
        <w:rPr>
          <w:rFonts w:ascii="Garamond" w:hAnsi="Garamond"/>
          <w:sz w:val="24"/>
          <w:szCs w:val="24"/>
        </w:rPr>
        <w:t xml:space="preserve">Brně </w:t>
      </w:r>
      <w:r w:rsidRPr="00B044F4">
        <w:rPr>
          <w:rFonts w:ascii="Garamond" w:hAnsi="Garamond"/>
          <w:sz w:val="24"/>
          <w:szCs w:val="24"/>
        </w:rPr>
        <w:t>dne 20. října 2022</w:t>
      </w:r>
    </w:p>
    <w:p w14:paraId="6B2EB644" w14:textId="77777777" w:rsidR="00613ADE" w:rsidRPr="00B044F4" w:rsidRDefault="00613A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A133294" w14:textId="77777777" w:rsidR="00613ADE" w:rsidRPr="00B044F4" w:rsidRDefault="00613AD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885CEA" w14:textId="6A614A69" w:rsidR="00613ADE" w:rsidRPr="00B044F4" w:rsidRDefault="00176999" w:rsidP="00DA1B82">
      <w:pPr>
        <w:spacing w:after="0" w:line="240" w:lineRule="auto"/>
        <w:ind w:left="6237"/>
        <w:jc w:val="center"/>
        <w:rPr>
          <w:rFonts w:ascii="Garamond" w:hAnsi="Garamond"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>JUDr.</w:t>
      </w:r>
      <w:r w:rsidR="00DA1B82" w:rsidRPr="00B044F4">
        <w:rPr>
          <w:rFonts w:ascii="Garamond" w:hAnsi="Garamond"/>
          <w:sz w:val="24"/>
          <w:szCs w:val="24"/>
        </w:rPr>
        <w:t xml:space="preserve"> </w:t>
      </w:r>
      <w:r w:rsidR="00241C32" w:rsidRPr="00B044F4">
        <w:rPr>
          <w:rFonts w:ascii="Garamond" w:hAnsi="Garamond"/>
          <w:sz w:val="24"/>
          <w:szCs w:val="24"/>
        </w:rPr>
        <w:t>Jiří Palla</w:t>
      </w:r>
    </w:p>
    <w:p w14:paraId="03614E4F" w14:textId="77777777" w:rsidR="00613ADE" w:rsidRPr="002517B9" w:rsidRDefault="00241C32" w:rsidP="00DA1B82">
      <w:pPr>
        <w:spacing w:after="0" w:line="240" w:lineRule="auto"/>
        <w:ind w:left="6237"/>
        <w:jc w:val="center"/>
        <w:rPr>
          <w:rFonts w:ascii="Garamond" w:hAnsi="Garamond"/>
          <w:sz w:val="24"/>
          <w:szCs w:val="24"/>
        </w:rPr>
      </w:pPr>
      <w:r w:rsidRPr="00B044F4">
        <w:rPr>
          <w:rFonts w:ascii="Garamond" w:hAnsi="Garamond"/>
          <w:sz w:val="24"/>
          <w:szCs w:val="24"/>
        </w:rPr>
        <w:t>předseda senátu</w:t>
      </w:r>
    </w:p>
    <w:p w14:paraId="4705E33F" w14:textId="1C0787B7" w:rsidR="00613ADE" w:rsidRPr="002517B9" w:rsidRDefault="00613ADE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3E957832" w14:textId="77777777" w:rsidR="00613ADE" w:rsidRPr="002517B9" w:rsidRDefault="00613ADE" w:rsidP="00DA1B82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613ADE" w:rsidRPr="002517B9" w:rsidSect="00DA1B82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E4C3" w14:textId="77777777" w:rsidR="00331DB1" w:rsidRDefault="00331DB1">
      <w:pPr>
        <w:spacing w:after="0" w:line="240" w:lineRule="auto"/>
      </w:pPr>
      <w:r>
        <w:separator/>
      </w:r>
    </w:p>
  </w:endnote>
  <w:endnote w:type="continuationSeparator" w:id="0">
    <w:p w14:paraId="155A56E5" w14:textId="77777777" w:rsidR="00331DB1" w:rsidRDefault="0033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A799" w14:textId="77777777" w:rsidR="00331DB1" w:rsidRDefault="00331DB1">
      <w:pPr>
        <w:spacing w:after="0" w:line="240" w:lineRule="auto"/>
      </w:pPr>
      <w:r>
        <w:separator/>
      </w:r>
    </w:p>
  </w:footnote>
  <w:footnote w:type="continuationSeparator" w:id="0">
    <w:p w14:paraId="73D862A0" w14:textId="77777777" w:rsidR="00331DB1" w:rsidRDefault="0033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7CFC" w14:textId="5357C515" w:rsidR="00331DB1" w:rsidRPr="00DA1B82" w:rsidRDefault="00DA1B82" w:rsidP="00DA1B82">
    <w:pPr>
      <w:pStyle w:val="Zhlav"/>
      <w:jc w:val="right"/>
      <w:rPr>
        <w:rFonts w:ascii="Garamond" w:hAnsi="Garamond"/>
        <w:sz w:val="24"/>
      </w:rPr>
    </w:pPr>
    <w:r>
      <w:rPr>
        <w:rFonts w:ascii="Garamond" w:hAnsi="Garamond"/>
        <w:sz w:val="24"/>
      </w:rPr>
      <w:t>4 As 422/2021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17C9" w14:textId="4E41CDC5" w:rsidR="00DA1B82" w:rsidRDefault="00DA1B82" w:rsidP="00DA1B82">
    <w:pPr>
      <w:pStyle w:val="Zhlav"/>
      <w:jc w:val="right"/>
      <w:rPr>
        <w:rFonts w:ascii="Garamond" w:hAnsi="Garamond"/>
        <w:sz w:val="24"/>
      </w:rPr>
    </w:pPr>
    <w:r>
      <w:rPr>
        <w:rFonts w:ascii="Garamond" w:hAnsi="Garamond"/>
        <w:sz w:val="24"/>
      </w:rPr>
      <w:t>4 As 422/2021-</w:t>
    </w:r>
    <w:r>
      <w:rPr>
        <w:rFonts w:ascii="Garamond" w:hAnsi="Garamond"/>
        <w:sz w:val="24"/>
      </w:rPr>
      <w:fldChar w:fldCharType="begin"/>
    </w:r>
    <w:r>
      <w:rPr>
        <w:rFonts w:ascii="Garamond" w:hAnsi="Garamond"/>
        <w:sz w:val="24"/>
      </w:rPr>
      <w:instrText>= 73 + INT ((</w:instrText>
    </w:r>
    <w:r>
      <w:rPr>
        <w:rFonts w:ascii="Garamond" w:hAnsi="Garamond"/>
        <w:sz w:val="24"/>
      </w:rPr>
      <w:fldChar w:fldCharType="begin"/>
    </w:r>
    <w:r>
      <w:rPr>
        <w:rFonts w:ascii="Garamond" w:hAnsi="Garamond"/>
        <w:sz w:val="24"/>
      </w:rPr>
      <w:instrText xml:space="preserve"> PAGE </w:instrText>
    </w:r>
    <w:r>
      <w:rPr>
        <w:rFonts w:ascii="Garamond" w:hAnsi="Garamond"/>
        <w:sz w:val="24"/>
      </w:rPr>
      <w:fldChar w:fldCharType="separate"/>
    </w:r>
    <w:r w:rsidR="00A70F76">
      <w:rPr>
        <w:rFonts w:ascii="Garamond" w:hAnsi="Garamond"/>
        <w:noProof/>
        <w:sz w:val="24"/>
      </w:rPr>
      <w:instrText>9</w:instrText>
    </w:r>
    <w:r>
      <w:rPr>
        <w:rFonts w:ascii="Garamond" w:hAnsi="Garamond"/>
        <w:sz w:val="24"/>
      </w:rPr>
      <w:fldChar w:fldCharType="end"/>
    </w:r>
    <w:r>
      <w:rPr>
        <w:rFonts w:ascii="Garamond" w:hAnsi="Garamond"/>
        <w:sz w:val="24"/>
      </w:rPr>
      <w:instrText xml:space="preserve">+1)/2)-1 </w:instrText>
    </w:r>
    <w:r>
      <w:rPr>
        <w:rFonts w:ascii="Garamond" w:hAnsi="Garamond"/>
        <w:sz w:val="24"/>
      </w:rPr>
      <w:fldChar w:fldCharType="separate"/>
    </w:r>
    <w:r w:rsidR="00A70F76">
      <w:rPr>
        <w:rFonts w:ascii="Garamond" w:hAnsi="Garamond"/>
        <w:noProof/>
        <w:sz w:val="24"/>
      </w:rPr>
      <w:t>77</w:t>
    </w:r>
    <w:r>
      <w:rPr>
        <w:rFonts w:ascii="Garamond" w:hAnsi="Garamond"/>
        <w:sz w:val="24"/>
      </w:rPr>
      <w:fldChar w:fldCharType="end"/>
    </w:r>
  </w:p>
  <w:p w14:paraId="312FF07C" w14:textId="76025A86" w:rsidR="00DA1B82" w:rsidRDefault="00DA1B82" w:rsidP="00DA1B82">
    <w:pPr>
      <w:pStyle w:val="Zhlav"/>
      <w:rPr>
        <w:rFonts w:ascii="Garamond" w:hAnsi="Garamond"/>
        <w:sz w:val="24"/>
      </w:rPr>
    </w:pPr>
    <w:r>
      <w:rPr>
        <w:rFonts w:ascii="Garamond" w:hAnsi="Garamond"/>
        <w:sz w:val="24"/>
      </w:rPr>
      <w:t>pokračování</w:t>
    </w:r>
  </w:p>
  <w:p w14:paraId="20494DE3" w14:textId="77777777" w:rsidR="00DA1B82" w:rsidRPr="00DA1B82" w:rsidRDefault="00DA1B82" w:rsidP="00DA1B82">
    <w:pPr>
      <w:pStyle w:val="Zhlav"/>
      <w:rPr>
        <w:rFonts w:ascii="Garamond" w:hAnsi="Garamond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69C5" w14:textId="38C15E67" w:rsidR="00331DB1" w:rsidRPr="00DA1B82" w:rsidRDefault="00DA1B82" w:rsidP="00DA1B82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4 As 422/2021-73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447A"/>
    <w:multiLevelType w:val="hybridMultilevel"/>
    <w:tmpl w:val="5DCCC98C"/>
    <w:lvl w:ilvl="0" w:tplc="99FC0848">
      <w:start w:val="1"/>
      <w:numFmt w:val="upperRoman"/>
      <w:lvlText w:val="%1."/>
      <w:lvlJc w:val="left"/>
      <w:pPr>
        <w:ind w:left="1996" w:hanging="720"/>
      </w:pPr>
      <w:rPr>
        <w:rFonts w:ascii="Garamond" w:eastAsia="Times New Roman" w:hAnsi="Garamond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 w15:restartNumberingAfterBreak="0">
    <w:nsid w:val="298A5C75"/>
    <w:multiLevelType w:val="hybridMultilevel"/>
    <w:tmpl w:val="F4EE0E22"/>
    <w:lvl w:ilvl="0" w:tplc="9EF4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5E22"/>
    <w:multiLevelType w:val="hybridMultilevel"/>
    <w:tmpl w:val="12884AAE"/>
    <w:lvl w:ilvl="0" w:tplc="3692E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45FB9"/>
    <w:multiLevelType w:val="hybridMultilevel"/>
    <w:tmpl w:val="4C3C03C8"/>
    <w:lvl w:ilvl="0" w:tplc="A672E85E">
      <w:start w:val="1"/>
      <w:numFmt w:val="decimal"/>
      <w:lvlText w:val="[%1]"/>
      <w:lvlJc w:val="left"/>
      <w:pPr>
        <w:ind w:left="2204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E2984"/>
    <w:multiLevelType w:val="multilevel"/>
    <w:tmpl w:val="AB72D3BE"/>
    <w:lvl w:ilvl="0">
      <w:start w:val="1"/>
      <w:numFmt w:val="bullet"/>
      <w:pStyle w:val="Textodvodnn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6134BD"/>
    <w:multiLevelType w:val="hybridMultilevel"/>
    <w:tmpl w:val="170CA0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47122"/>
    <w:multiLevelType w:val="multilevel"/>
    <w:tmpl w:val="D7B60F4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7" w15:restartNumberingAfterBreak="0">
    <w:nsid w:val="665942F3"/>
    <w:multiLevelType w:val="multilevel"/>
    <w:tmpl w:val="369A1CDA"/>
    <w:lvl w:ilvl="0">
      <w:start w:val="1"/>
      <w:numFmt w:val="decimal"/>
      <w:lvlText w:val="[%1]"/>
      <w:lvlJc w:val="left"/>
      <w:pPr>
        <w:tabs>
          <w:tab w:val="num" w:pos="738"/>
        </w:tabs>
        <w:ind w:left="284" w:firstLine="0"/>
      </w:pPr>
      <w:rPr>
        <w:rFonts w:ascii="Garamond" w:hAnsi="Garamond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542C8"/>
    <w:multiLevelType w:val="multilevel"/>
    <w:tmpl w:val="6ACEBC8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9" w15:restartNumberingAfterBreak="0">
    <w:nsid w:val="716B7462"/>
    <w:multiLevelType w:val="hybridMultilevel"/>
    <w:tmpl w:val="2B6647C6"/>
    <w:lvl w:ilvl="0" w:tplc="2E62B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34D4"/>
    <w:multiLevelType w:val="hybridMultilevel"/>
    <w:tmpl w:val="06987360"/>
    <w:lvl w:ilvl="0" w:tplc="A4E8C4A6">
      <w:start w:val="1"/>
      <w:numFmt w:val="decimal"/>
      <w:pStyle w:val="R-oficilntext"/>
      <w:lvlText w:val="%1."/>
      <w:lvlJc w:val="left"/>
      <w:pPr>
        <w:ind w:left="1069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4215303">
    <w:abstractNumId w:val="6"/>
  </w:num>
  <w:num w:numId="2" w16cid:durableId="2088333401">
    <w:abstractNumId w:val="4"/>
  </w:num>
  <w:num w:numId="3" w16cid:durableId="1645964115">
    <w:abstractNumId w:val="8"/>
  </w:num>
  <w:num w:numId="4" w16cid:durableId="64226287">
    <w:abstractNumId w:val="7"/>
    <w:lvlOverride w:ilvl="0">
      <w:startOverride w:val="1"/>
    </w:lvlOverride>
  </w:num>
  <w:num w:numId="5" w16cid:durableId="1984920574">
    <w:abstractNumId w:val="7"/>
  </w:num>
  <w:num w:numId="6" w16cid:durableId="1006709794">
    <w:abstractNumId w:val="7"/>
  </w:num>
  <w:num w:numId="7" w16cid:durableId="911305962">
    <w:abstractNumId w:val="7"/>
  </w:num>
  <w:num w:numId="8" w16cid:durableId="2015956105">
    <w:abstractNumId w:val="7"/>
  </w:num>
  <w:num w:numId="9" w16cid:durableId="355499191">
    <w:abstractNumId w:val="7"/>
  </w:num>
  <w:num w:numId="10" w16cid:durableId="475028840">
    <w:abstractNumId w:val="10"/>
  </w:num>
  <w:num w:numId="11" w16cid:durableId="1034386696">
    <w:abstractNumId w:val="5"/>
  </w:num>
  <w:num w:numId="12" w16cid:durableId="1349798030">
    <w:abstractNumId w:val="1"/>
  </w:num>
  <w:num w:numId="13" w16cid:durableId="1528637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7157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736420">
    <w:abstractNumId w:val="0"/>
  </w:num>
  <w:num w:numId="16" w16cid:durableId="311448542">
    <w:abstractNumId w:val="2"/>
  </w:num>
  <w:num w:numId="17" w16cid:durableId="13952032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DE"/>
    <w:rsid w:val="00007A60"/>
    <w:rsid w:val="000109E1"/>
    <w:rsid w:val="0001310D"/>
    <w:rsid w:val="00013DF2"/>
    <w:rsid w:val="00027A24"/>
    <w:rsid w:val="000336BD"/>
    <w:rsid w:val="00033720"/>
    <w:rsid w:val="00036916"/>
    <w:rsid w:val="00044163"/>
    <w:rsid w:val="00045247"/>
    <w:rsid w:val="000517EE"/>
    <w:rsid w:val="0005242D"/>
    <w:rsid w:val="00052BE8"/>
    <w:rsid w:val="00055706"/>
    <w:rsid w:val="00057E57"/>
    <w:rsid w:val="00066433"/>
    <w:rsid w:val="00070E67"/>
    <w:rsid w:val="00074CF6"/>
    <w:rsid w:val="00076597"/>
    <w:rsid w:val="000811E6"/>
    <w:rsid w:val="000820D9"/>
    <w:rsid w:val="00084BA4"/>
    <w:rsid w:val="000877E6"/>
    <w:rsid w:val="00087B95"/>
    <w:rsid w:val="00094E90"/>
    <w:rsid w:val="00095A1F"/>
    <w:rsid w:val="00096C43"/>
    <w:rsid w:val="00097F88"/>
    <w:rsid w:val="000A18F7"/>
    <w:rsid w:val="000A19CD"/>
    <w:rsid w:val="000A43BB"/>
    <w:rsid w:val="000A48B2"/>
    <w:rsid w:val="000A6C9B"/>
    <w:rsid w:val="000B06A9"/>
    <w:rsid w:val="000B12B5"/>
    <w:rsid w:val="000B5D94"/>
    <w:rsid w:val="000C50A2"/>
    <w:rsid w:val="000D12D1"/>
    <w:rsid w:val="000D1E19"/>
    <w:rsid w:val="000D264A"/>
    <w:rsid w:val="000D40D8"/>
    <w:rsid w:val="000D497D"/>
    <w:rsid w:val="000D6702"/>
    <w:rsid w:val="000D7BE4"/>
    <w:rsid w:val="000E2DF5"/>
    <w:rsid w:val="000F6955"/>
    <w:rsid w:val="001003A2"/>
    <w:rsid w:val="001021FA"/>
    <w:rsid w:val="001066C0"/>
    <w:rsid w:val="00107B47"/>
    <w:rsid w:val="00114F00"/>
    <w:rsid w:val="00122C30"/>
    <w:rsid w:val="00125184"/>
    <w:rsid w:val="00132BD1"/>
    <w:rsid w:val="00134468"/>
    <w:rsid w:val="001373E2"/>
    <w:rsid w:val="00140225"/>
    <w:rsid w:val="00141909"/>
    <w:rsid w:val="00142976"/>
    <w:rsid w:val="00142EF0"/>
    <w:rsid w:val="001446C0"/>
    <w:rsid w:val="001451D6"/>
    <w:rsid w:val="00155793"/>
    <w:rsid w:val="00157E27"/>
    <w:rsid w:val="00161304"/>
    <w:rsid w:val="00170034"/>
    <w:rsid w:val="00176999"/>
    <w:rsid w:val="00181D7C"/>
    <w:rsid w:val="001825BC"/>
    <w:rsid w:val="001853BC"/>
    <w:rsid w:val="00186E26"/>
    <w:rsid w:val="001975DC"/>
    <w:rsid w:val="001A1F51"/>
    <w:rsid w:val="001A46E1"/>
    <w:rsid w:val="001A4888"/>
    <w:rsid w:val="001A7D87"/>
    <w:rsid w:val="001C034C"/>
    <w:rsid w:val="001C3FEB"/>
    <w:rsid w:val="001C4920"/>
    <w:rsid w:val="001D2B01"/>
    <w:rsid w:val="001E0DA2"/>
    <w:rsid w:val="001E3027"/>
    <w:rsid w:val="001E56FA"/>
    <w:rsid w:val="001F00B0"/>
    <w:rsid w:val="001F47B8"/>
    <w:rsid w:val="001F4CF7"/>
    <w:rsid w:val="001F4F3D"/>
    <w:rsid w:val="001F5B2E"/>
    <w:rsid w:val="00201F67"/>
    <w:rsid w:val="002032FD"/>
    <w:rsid w:val="0020629A"/>
    <w:rsid w:val="00212BFF"/>
    <w:rsid w:val="00215F68"/>
    <w:rsid w:val="00221AF0"/>
    <w:rsid w:val="00221C96"/>
    <w:rsid w:val="00222E13"/>
    <w:rsid w:val="00223352"/>
    <w:rsid w:val="00223D80"/>
    <w:rsid w:val="00241C32"/>
    <w:rsid w:val="00250325"/>
    <w:rsid w:val="002517B9"/>
    <w:rsid w:val="00255048"/>
    <w:rsid w:val="002629DA"/>
    <w:rsid w:val="00270A2A"/>
    <w:rsid w:val="00272D06"/>
    <w:rsid w:val="00282200"/>
    <w:rsid w:val="002827CF"/>
    <w:rsid w:val="0028510C"/>
    <w:rsid w:val="00297F93"/>
    <w:rsid w:val="002A193E"/>
    <w:rsid w:val="002A460A"/>
    <w:rsid w:val="002A6050"/>
    <w:rsid w:val="002B1D21"/>
    <w:rsid w:val="002B2E85"/>
    <w:rsid w:val="002B3CE1"/>
    <w:rsid w:val="002B48E3"/>
    <w:rsid w:val="002B53D9"/>
    <w:rsid w:val="002B63A2"/>
    <w:rsid w:val="002B67F9"/>
    <w:rsid w:val="002B6D62"/>
    <w:rsid w:val="002C6531"/>
    <w:rsid w:val="002D1A1B"/>
    <w:rsid w:val="002D537B"/>
    <w:rsid w:val="002D616B"/>
    <w:rsid w:val="002E60EF"/>
    <w:rsid w:val="002E6C2E"/>
    <w:rsid w:val="00305B31"/>
    <w:rsid w:val="00314389"/>
    <w:rsid w:val="00314807"/>
    <w:rsid w:val="00322A7F"/>
    <w:rsid w:val="00331302"/>
    <w:rsid w:val="00331DB1"/>
    <w:rsid w:val="003366D9"/>
    <w:rsid w:val="00341477"/>
    <w:rsid w:val="00343990"/>
    <w:rsid w:val="00350E69"/>
    <w:rsid w:val="00356432"/>
    <w:rsid w:val="00360893"/>
    <w:rsid w:val="00370684"/>
    <w:rsid w:val="00370AC0"/>
    <w:rsid w:val="00372BC3"/>
    <w:rsid w:val="003732E2"/>
    <w:rsid w:val="00375E33"/>
    <w:rsid w:val="00376988"/>
    <w:rsid w:val="00376CB6"/>
    <w:rsid w:val="00377EC5"/>
    <w:rsid w:val="00380A7B"/>
    <w:rsid w:val="00390031"/>
    <w:rsid w:val="0039196A"/>
    <w:rsid w:val="00395F12"/>
    <w:rsid w:val="003B23C0"/>
    <w:rsid w:val="003B3362"/>
    <w:rsid w:val="003C01F4"/>
    <w:rsid w:val="003C4D95"/>
    <w:rsid w:val="003C6EFA"/>
    <w:rsid w:val="003C6FF8"/>
    <w:rsid w:val="003D237C"/>
    <w:rsid w:val="003D3DE3"/>
    <w:rsid w:val="003E3220"/>
    <w:rsid w:val="003E42F1"/>
    <w:rsid w:val="003E489C"/>
    <w:rsid w:val="003E6514"/>
    <w:rsid w:val="003F4FEE"/>
    <w:rsid w:val="003F686E"/>
    <w:rsid w:val="003F6AE3"/>
    <w:rsid w:val="00403C21"/>
    <w:rsid w:val="004048CA"/>
    <w:rsid w:val="004072FF"/>
    <w:rsid w:val="0041134C"/>
    <w:rsid w:val="00411C0D"/>
    <w:rsid w:val="0041308F"/>
    <w:rsid w:val="004206DF"/>
    <w:rsid w:val="00423CC2"/>
    <w:rsid w:val="00425D1E"/>
    <w:rsid w:val="00427EE2"/>
    <w:rsid w:val="00433B3B"/>
    <w:rsid w:val="0043500A"/>
    <w:rsid w:val="00442A59"/>
    <w:rsid w:val="00451879"/>
    <w:rsid w:val="004604A0"/>
    <w:rsid w:val="00471AE5"/>
    <w:rsid w:val="004736F4"/>
    <w:rsid w:val="00474157"/>
    <w:rsid w:val="00477FDD"/>
    <w:rsid w:val="00481E0F"/>
    <w:rsid w:val="00490676"/>
    <w:rsid w:val="00493193"/>
    <w:rsid w:val="004934B7"/>
    <w:rsid w:val="004946C8"/>
    <w:rsid w:val="0049530F"/>
    <w:rsid w:val="0049662F"/>
    <w:rsid w:val="004973C1"/>
    <w:rsid w:val="004A0EBC"/>
    <w:rsid w:val="004A11AC"/>
    <w:rsid w:val="004A2036"/>
    <w:rsid w:val="004A28B7"/>
    <w:rsid w:val="004A4115"/>
    <w:rsid w:val="004B28C9"/>
    <w:rsid w:val="004B299B"/>
    <w:rsid w:val="004B4EE5"/>
    <w:rsid w:val="004B6E7A"/>
    <w:rsid w:val="004C0BD4"/>
    <w:rsid w:val="004C448A"/>
    <w:rsid w:val="004C4CF6"/>
    <w:rsid w:val="004C5B08"/>
    <w:rsid w:val="004D0D82"/>
    <w:rsid w:val="004E6868"/>
    <w:rsid w:val="004F167A"/>
    <w:rsid w:val="004F416B"/>
    <w:rsid w:val="004F44F1"/>
    <w:rsid w:val="004F4ED7"/>
    <w:rsid w:val="004F6A75"/>
    <w:rsid w:val="005021F7"/>
    <w:rsid w:val="005033EF"/>
    <w:rsid w:val="0050351E"/>
    <w:rsid w:val="0050465D"/>
    <w:rsid w:val="00505F05"/>
    <w:rsid w:val="00507AA5"/>
    <w:rsid w:val="00510E13"/>
    <w:rsid w:val="0051112E"/>
    <w:rsid w:val="00513BD8"/>
    <w:rsid w:val="00513F84"/>
    <w:rsid w:val="0051430C"/>
    <w:rsid w:val="0051537E"/>
    <w:rsid w:val="00520F3A"/>
    <w:rsid w:val="005250BD"/>
    <w:rsid w:val="00531C80"/>
    <w:rsid w:val="00541371"/>
    <w:rsid w:val="00546149"/>
    <w:rsid w:val="005502F9"/>
    <w:rsid w:val="00551698"/>
    <w:rsid w:val="005559EC"/>
    <w:rsid w:val="005664CE"/>
    <w:rsid w:val="00571423"/>
    <w:rsid w:val="00572D88"/>
    <w:rsid w:val="005739DF"/>
    <w:rsid w:val="00573FDF"/>
    <w:rsid w:val="00575466"/>
    <w:rsid w:val="0057707C"/>
    <w:rsid w:val="0058316B"/>
    <w:rsid w:val="005859C8"/>
    <w:rsid w:val="00594094"/>
    <w:rsid w:val="005969D2"/>
    <w:rsid w:val="005A1E60"/>
    <w:rsid w:val="005A6E4A"/>
    <w:rsid w:val="005B1186"/>
    <w:rsid w:val="005B1622"/>
    <w:rsid w:val="005B1712"/>
    <w:rsid w:val="005B1A20"/>
    <w:rsid w:val="005B3782"/>
    <w:rsid w:val="005B443D"/>
    <w:rsid w:val="005B49F0"/>
    <w:rsid w:val="005C062B"/>
    <w:rsid w:val="005C373D"/>
    <w:rsid w:val="005C4C0A"/>
    <w:rsid w:val="005C73D7"/>
    <w:rsid w:val="005D02DF"/>
    <w:rsid w:val="005D1E95"/>
    <w:rsid w:val="005D42F9"/>
    <w:rsid w:val="005E0883"/>
    <w:rsid w:val="005E52F6"/>
    <w:rsid w:val="005E792C"/>
    <w:rsid w:val="005F024B"/>
    <w:rsid w:val="005F3AF5"/>
    <w:rsid w:val="005F59FE"/>
    <w:rsid w:val="005F741E"/>
    <w:rsid w:val="00601A55"/>
    <w:rsid w:val="00604D95"/>
    <w:rsid w:val="006103AE"/>
    <w:rsid w:val="00610B79"/>
    <w:rsid w:val="006117F2"/>
    <w:rsid w:val="00611A96"/>
    <w:rsid w:val="00613ADE"/>
    <w:rsid w:val="00613FDA"/>
    <w:rsid w:val="0061508F"/>
    <w:rsid w:val="00616D61"/>
    <w:rsid w:val="00616DBF"/>
    <w:rsid w:val="00626315"/>
    <w:rsid w:val="00626E7B"/>
    <w:rsid w:val="00627D5D"/>
    <w:rsid w:val="0063152A"/>
    <w:rsid w:val="0064109E"/>
    <w:rsid w:val="00642712"/>
    <w:rsid w:val="00643F21"/>
    <w:rsid w:val="006442C1"/>
    <w:rsid w:val="00653724"/>
    <w:rsid w:val="0066630C"/>
    <w:rsid w:val="006711AC"/>
    <w:rsid w:val="00674083"/>
    <w:rsid w:val="00677A69"/>
    <w:rsid w:val="0068218A"/>
    <w:rsid w:val="00684540"/>
    <w:rsid w:val="0068466A"/>
    <w:rsid w:val="006866B2"/>
    <w:rsid w:val="0069130E"/>
    <w:rsid w:val="006B0243"/>
    <w:rsid w:val="006B03A2"/>
    <w:rsid w:val="006B2EE7"/>
    <w:rsid w:val="006C6EDB"/>
    <w:rsid w:val="006D1BB9"/>
    <w:rsid w:val="006D410E"/>
    <w:rsid w:val="006D7E37"/>
    <w:rsid w:val="006E742D"/>
    <w:rsid w:val="006E7FF6"/>
    <w:rsid w:val="006F3589"/>
    <w:rsid w:val="00707721"/>
    <w:rsid w:val="007105F8"/>
    <w:rsid w:val="00711108"/>
    <w:rsid w:val="00722B5F"/>
    <w:rsid w:val="00725568"/>
    <w:rsid w:val="007258C8"/>
    <w:rsid w:val="00725E94"/>
    <w:rsid w:val="007318CA"/>
    <w:rsid w:val="00733FC5"/>
    <w:rsid w:val="00734BD1"/>
    <w:rsid w:val="00742425"/>
    <w:rsid w:val="0074420E"/>
    <w:rsid w:val="007445AC"/>
    <w:rsid w:val="0074482E"/>
    <w:rsid w:val="007478E6"/>
    <w:rsid w:val="00747AA6"/>
    <w:rsid w:val="007534BC"/>
    <w:rsid w:val="00754B04"/>
    <w:rsid w:val="0075655A"/>
    <w:rsid w:val="00760318"/>
    <w:rsid w:val="007611D7"/>
    <w:rsid w:val="007618AA"/>
    <w:rsid w:val="00772A16"/>
    <w:rsid w:val="007852C5"/>
    <w:rsid w:val="00791264"/>
    <w:rsid w:val="0079253D"/>
    <w:rsid w:val="007941C1"/>
    <w:rsid w:val="007A1447"/>
    <w:rsid w:val="007A1AC8"/>
    <w:rsid w:val="007A5CFC"/>
    <w:rsid w:val="007A6316"/>
    <w:rsid w:val="007A7E4C"/>
    <w:rsid w:val="007B7352"/>
    <w:rsid w:val="007C26F4"/>
    <w:rsid w:val="007D3B8C"/>
    <w:rsid w:val="007E4C85"/>
    <w:rsid w:val="007F1D30"/>
    <w:rsid w:val="007F1DEF"/>
    <w:rsid w:val="007F30F7"/>
    <w:rsid w:val="007F31F7"/>
    <w:rsid w:val="007F34B6"/>
    <w:rsid w:val="007F582E"/>
    <w:rsid w:val="007F66F2"/>
    <w:rsid w:val="008073F8"/>
    <w:rsid w:val="00807E46"/>
    <w:rsid w:val="00812B5F"/>
    <w:rsid w:val="00825119"/>
    <w:rsid w:val="008272D8"/>
    <w:rsid w:val="0083357B"/>
    <w:rsid w:val="00840A6F"/>
    <w:rsid w:val="00842DCB"/>
    <w:rsid w:val="008457EB"/>
    <w:rsid w:val="00854CB6"/>
    <w:rsid w:val="00856E31"/>
    <w:rsid w:val="00856E4A"/>
    <w:rsid w:val="00861784"/>
    <w:rsid w:val="00861E9F"/>
    <w:rsid w:val="00864263"/>
    <w:rsid w:val="0086505F"/>
    <w:rsid w:val="00866DFD"/>
    <w:rsid w:val="008709D9"/>
    <w:rsid w:val="008738A3"/>
    <w:rsid w:val="00874F52"/>
    <w:rsid w:val="00876ED6"/>
    <w:rsid w:val="008822F4"/>
    <w:rsid w:val="008828F4"/>
    <w:rsid w:val="00890E2B"/>
    <w:rsid w:val="00892BCC"/>
    <w:rsid w:val="008A0C7D"/>
    <w:rsid w:val="008A173A"/>
    <w:rsid w:val="008A70ED"/>
    <w:rsid w:val="008B254C"/>
    <w:rsid w:val="008B37C1"/>
    <w:rsid w:val="008C1015"/>
    <w:rsid w:val="008C513F"/>
    <w:rsid w:val="008C684A"/>
    <w:rsid w:val="008D0344"/>
    <w:rsid w:val="008D462F"/>
    <w:rsid w:val="008D521D"/>
    <w:rsid w:val="008D526D"/>
    <w:rsid w:val="00903173"/>
    <w:rsid w:val="00903247"/>
    <w:rsid w:val="00903B88"/>
    <w:rsid w:val="0090771F"/>
    <w:rsid w:val="009138C1"/>
    <w:rsid w:val="00916DEF"/>
    <w:rsid w:val="0092223E"/>
    <w:rsid w:val="00924EFC"/>
    <w:rsid w:val="00925FBF"/>
    <w:rsid w:val="00932954"/>
    <w:rsid w:val="009343EF"/>
    <w:rsid w:val="00937535"/>
    <w:rsid w:val="009415E4"/>
    <w:rsid w:val="009420A5"/>
    <w:rsid w:val="00947AB4"/>
    <w:rsid w:val="00951545"/>
    <w:rsid w:val="00961690"/>
    <w:rsid w:val="00963467"/>
    <w:rsid w:val="00971C6B"/>
    <w:rsid w:val="009834FE"/>
    <w:rsid w:val="00983D2F"/>
    <w:rsid w:val="00983EDE"/>
    <w:rsid w:val="00983F05"/>
    <w:rsid w:val="00984D52"/>
    <w:rsid w:val="0099177E"/>
    <w:rsid w:val="009A3011"/>
    <w:rsid w:val="009A7266"/>
    <w:rsid w:val="009B1822"/>
    <w:rsid w:val="009B2B61"/>
    <w:rsid w:val="009B551E"/>
    <w:rsid w:val="009B717D"/>
    <w:rsid w:val="009B78FD"/>
    <w:rsid w:val="009B7D9D"/>
    <w:rsid w:val="009C03DA"/>
    <w:rsid w:val="009D2238"/>
    <w:rsid w:val="009E5C55"/>
    <w:rsid w:val="009F0478"/>
    <w:rsid w:val="00A014E3"/>
    <w:rsid w:val="00A023B1"/>
    <w:rsid w:val="00A02F1A"/>
    <w:rsid w:val="00A03668"/>
    <w:rsid w:val="00A04570"/>
    <w:rsid w:val="00A157B5"/>
    <w:rsid w:val="00A243CB"/>
    <w:rsid w:val="00A310EC"/>
    <w:rsid w:val="00A324B7"/>
    <w:rsid w:val="00A349FF"/>
    <w:rsid w:val="00A4141B"/>
    <w:rsid w:val="00A42379"/>
    <w:rsid w:val="00A5171C"/>
    <w:rsid w:val="00A53E8E"/>
    <w:rsid w:val="00A546E1"/>
    <w:rsid w:val="00A55D4B"/>
    <w:rsid w:val="00A609F4"/>
    <w:rsid w:val="00A60A67"/>
    <w:rsid w:val="00A612D6"/>
    <w:rsid w:val="00A677C6"/>
    <w:rsid w:val="00A700B8"/>
    <w:rsid w:val="00A70F76"/>
    <w:rsid w:val="00A716FF"/>
    <w:rsid w:val="00A71A3D"/>
    <w:rsid w:val="00A72294"/>
    <w:rsid w:val="00A7504B"/>
    <w:rsid w:val="00A76B37"/>
    <w:rsid w:val="00A8170E"/>
    <w:rsid w:val="00A86E40"/>
    <w:rsid w:val="00A96372"/>
    <w:rsid w:val="00AA0336"/>
    <w:rsid w:val="00AA0551"/>
    <w:rsid w:val="00AA687E"/>
    <w:rsid w:val="00AA7D7C"/>
    <w:rsid w:val="00AB0162"/>
    <w:rsid w:val="00AB177A"/>
    <w:rsid w:val="00AB6EB3"/>
    <w:rsid w:val="00AC0B42"/>
    <w:rsid w:val="00AC2B29"/>
    <w:rsid w:val="00AC6751"/>
    <w:rsid w:val="00AD00E2"/>
    <w:rsid w:val="00AD0EC5"/>
    <w:rsid w:val="00AD39D1"/>
    <w:rsid w:val="00AD5089"/>
    <w:rsid w:val="00AF0070"/>
    <w:rsid w:val="00AF4441"/>
    <w:rsid w:val="00AF4E94"/>
    <w:rsid w:val="00AF6B8E"/>
    <w:rsid w:val="00B044F4"/>
    <w:rsid w:val="00B21CB1"/>
    <w:rsid w:val="00B24687"/>
    <w:rsid w:val="00B3051A"/>
    <w:rsid w:val="00B34645"/>
    <w:rsid w:val="00B411E6"/>
    <w:rsid w:val="00B44D78"/>
    <w:rsid w:val="00B55168"/>
    <w:rsid w:val="00B572D2"/>
    <w:rsid w:val="00B609C4"/>
    <w:rsid w:val="00B621C1"/>
    <w:rsid w:val="00B72F70"/>
    <w:rsid w:val="00B81991"/>
    <w:rsid w:val="00B8205C"/>
    <w:rsid w:val="00B83AC8"/>
    <w:rsid w:val="00B87E1D"/>
    <w:rsid w:val="00B90EE1"/>
    <w:rsid w:val="00B90FCC"/>
    <w:rsid w:val="00B9267E"/>
    <w:rsid w:val="00B92F27"/>
    <w:rsid w:val="00B953C9"/>
    <w:rsid w:val="00B967BA"/>
    <w:rsid w:val="00B97C27"/>
    <w:rsid w:val="00BA17C8"/>
    <w:rsid w:val="00BA5628"/>
    <w:rsid w:val="00BA6585"/>
    <w:rsid w:val="00BB193D"/>
    <w:rsid w:val="00BB2E46"/>
    <w:rsid w:val="00BB3CC2"/>
    <w:rsid w:val="00BB3F3B"/>
    <w:rsid w:val="00BB5E4F"/>
    <w:rsid w:val="00BC09FB"/>
    <w:rsid w:val="00BC33ED"/>
    <w:rsid w:val="00BC39CD"/>
    <w:rsid w:val="00BC4CD3"/>
    <w:rsid w:val="00BD0DBD"/>
    <w:rsid w:val="00BD1D22"/>
    <w:rsid w:val="00BD6A77"/>
    <w:rsid w:val="00BE0C8C"/>
    <w:rsid w:val="00BE4B1B"/>
    <w:rsid w:val="00BE5DFC"/>
    <w:rsid w:val="00BF028B"/>
    <w:rsid w:val="00BF15A5"/>
    <w:rsid w:val="00BF6CF9"/>
    <w:rsid w:val="00C00F80"/>
    <w:rsid w:val="00C05097"/>
    <w:rsid w:val="00C14F0A"/>
    <w:rsid w:val="00C153DC"/>
    <w:rsid w:val="00C205F1"/>
    <w:rsid w:val="00C226D0"/>
    <w:rsid w:val="00C25EEB"/>
    <w:rsid w:val="00C30417"/>
    <w:rsid w:val="00C30BE0"/>
    <w:rsid w:val="00C32345"/>
    <w:rsid w:val="00C629D9"/>
    <w:rsid w:val="00C63290"/>
    <w:rsid w:val="00C71742"/>
    <w:rsid w:val="00C75BE3"/>
    <w:rsid w:val="00C8050E"/>
    <w:rsid w:val="00C81936"/>
    <w:rsid w:val="00C8454C"/>
    <w:rsid w:val="00C93189"/>
    <w:rsid w:val="00CA1CBA"/>
    <w:rsid w:val="00CA6DE3"/>
    <w:rsid w:val="00CA6F9F"/>
    <w:rsid w:val="00CA6FD6"/>
    <w:rsid w:val="00CB09F0"/>
    <w:rsid w:val="00CB76C6"/>
    <w:rsid w:val="00CC3ED1"/>
    <w:rsid w:val="00CD3C2B"/>
    <w:rsid w:val="00CD5C68"/>
    <w:rsid w:val="00CD7471"/>
    <w:rsid w:val="00CE7859"/>
    <w:rsid w:val="00CF5D80"/>
    <w:rsid w:val="00CF6947"/>
    <w:rsid w:val="00D015D4"/>
    <w:rsid w:val="00D03D05"/>
    <w:rsid w:val="00D06420"/>
    <w:rsid w:val="00D119E3"/>
    <w:rsid w:val="00D11A82"/>
    <w:rsid w:val="00D16036"/>
    <w:rsid w:val="00D21B92"/>
    <w:rsid w:val="00D226A8"/>
    <w:rsid w:val="00D23FFC"/>
    <w:rsid w:val="00D26407"/>
    <w:rsid w:val="00D335AA"/>
    <w:rsid w:val="00D37594"/>
    <w:rsid w:val="00D41BB1"/>
    <w:rsid w:val="00D42C55"/>
    <w:rsid w:val="00D5346F"/>
    <w:rsid w:val="00D54923"/>
    <w:rsid w:val="00D554F8"/>
    <w:rsid w:val="00D61754"/>
    <w:rsid w:val="00D74D2F"/>
    <w:rsid w:val="00D805B1"/>
    <w:rsid w:val="00D82243"/>
    <w:rsid w:val="00D85854"/>
    <w:rsid w:val="00D91172"/>
    <w:rsid w:val="00D921ED"/>
    <w:rsid w:val="00D9313C"/>
    <w:rsid w:val="00D939D8"/>
    <w:rsid w:val="00D94459"/>
    <w:rsid w:val="00D9569C"/>
    <w:rsid w:val="00DA1B82"/>
    <w:rsid w:val="00DA5039"/>
    <w:rsid w:val="00DA6D51"/>
    <w:rsid w:val="00DB44C5"/>
    <w:rsid w:val="00DC1890"/>
    <w:rsid w:val="00DC22C8"/>
    <w:rsid w:val="00DC43F4"/>
    <w:rsid w:val="00DC48EE"/>
    <w:rsid w:val="00DC4D78"/>
    <w:rsid w:val="00DC755B"/>
    <w:rsid w:val="00DD3DF3"/>
    <w:rsid w:val="00DD652D"/>
    <w:rsid w:val="00DD6915"/>
    <w:rsid w:val="00DE22C7"/>
    <w:rsid w:val="00DE4772"/>
    <w:rsid w:val="00DF2F5E"/>
    <w:rsid w:val="00DF5C05"/>
    <w:rsid w:val="00DF7F99"/>
    <w:rsid w:val="00E004C4"/>
    <w:rsid w:val="00E017DE"/>
    <w:rsid w:val="00E02244"/>
    <w:rsid w:val="00E04143"/>
    <w:rsid w:val="00E162F0"/>
    <w:rsid w:val="00E16AF4"/>
    <w:rsid w:val="00E17D3C"/>
    <w:rsid w:val="00E242E2"/>
    <w:rsid w:val="00E31572"/>
    <w:rsid w:val="00E32F62"/>
    <w:rsid w:val="00E37550"/>
    <w:rsid w:val="00E379E9"/>
    <w:rsid w:val="00E4707B"/>
    <w:rsid w:val="00E521C1"/>
    <w:rsid w:val="00E558A7"/>
    <w:rsid w:val="00E55B6F"/>
    <w:rsid w:val="00E56DE7"/>
    <w:rsid w:val="00E6419F"/>
    <w:rsid w:val="00E66B3E"/>
    <w:rsid w:val="00E71D88"/>
    <w:rsid w:val="00E72D1C"/>
    <w:rsid w:val="00E731F6"/>
    <w:rsid w:val="00E809BF"/>
    <w:rsid w:val="00E81501"/>
    <w:rsid w:val="00E82AF8"/>
    <w:rsid w:val="00E8493B"/>
    <w:rsid w:val="00E861E3"/>
    <w:rsid w:val="00E879E9"/>
    <w:rsid w:val="00E92937"/>
    <w:rsid w:val="00E94BAE"/>
    <w:rsid w:val="00E97904"/>
    <w:rsid w:val="00E97BC9"/>
    <w:rsid w:val="00EA1232"/>
    <w:rsid w:val="00EA1913"/>
    <w:rsid w:val="00EA6DF6"/>
    <w:rsid w:val="00EA7559"/>
    <w:rsid w:val="00EA7897"/>
    <w:rsid w:val="00EB186A"/>
    <w:rsid w:val="00EB37F4"/>
    <w:rsid w:val="00EC0EE9"/>
    <w:rsid w:val="00EC7CDD"/>
    <w:rsid w:val="00ED52C4"/>
    <w:rsid w:val="00EE2B45"/>
    <w:rsid w:val="00EE508B"/>
    <w:rsid w:val="00EE631F"/>
    <w:rsid w:val="00EE757B"/>
    <w:rsid w:val="00EF2782"/>
    <w:rsid w:val="00F05A07"/>
    <w:rsid w:val="00F06085"/>
    <w:rsid w:val="00F10CBB"/>
    <w:rsid w:val="00F138BD"/>
    <w:rsid w:val="00F143E2"/>
    <w:rsid w:val="00F14CD3"/>
    <w:rsid w:val="00F22F06"/>
    <w:rsid w:val="00F24469"/>
    <w:rsid w:val="00F32E6B"/>
    <w:rsid w:val="00F3699B"/>
    <w:rsid w:val="00F436DD"/>
    <w:rsid w:val="00F4537C"/>
    <w:rsid w:val="00F5131C"/>
    <w:rsid w:val="00F5404A"/>
    <w:rsid w:val="00F56DD8"/>
    <w:rsid w:val="00F57F22"/>
    <w:rsid w:val="00F6238D"/>
    <w:rsid w:val="00F626E6"/>
    <w:rsid w:val="00F6775F"/>
    <w:rsid w:val="00F7485C"/>
    <w:rsid w:val="00F74E41"/>
    <w:rsid w:val="00F76D52"/>
    <w:rsid w:val="00F8114C"/>
    <w:rsid w:val="00F86731"/>
    <w:rsid w:val="00F8746C"/>
    <w:rsid w:val="00F87ABE"/>
    <w:rsid w:val="00F912AA"/>
    <w:rsid w:val="00F91383"/>
    <w:rsid w:val="00F92120"/>
    <w:rsid w:val="00FA04B9"/>
    <w:rsid w:val="00FA23C7"/>
    <w:rsid w:val="00FA533C"/>
    <w:rsid w:val="00FA67D3"/>
    <w:rsid w:val="00FA7397"/>
    <w:rsid w:val="00FB3611"/>
    <w:rsid w:val="00FB3726"/>
    <w:rsid w:val="00FB6422"/>
    <w:rsid w:val="00FC51B2"/>
    <w:rsid w:val="00FC7039"/>
    <w:rsid w:val="00FD489D"/>
    <w:rsid w:val="00FD5C9E"/>
    <w:rsid w:val="00FD6209"/>
    <w:rsid w:val="00FF10C1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79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4FB7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C74FB7"/>
  </w:style>
  <w:style w:type="character" w:customStyle="1" w:styleId="Bodytext">
    <w:name w:val="Body text_"/>
    <w:link w:val="Bodytext1"/>
    <w:uiPriority w:val="99"/>
    <w:qFormat/>
    <w:locked/>
    <w:rsid w:val="00CD0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073A7"/>
  </w:style>
  <w:style w:type="character" w:customStyle="1" w:styleId="ZpatChar">
    <w:name w:val="Zápatí Char"/>
    <w:basedOn w:val="Standardnpsmoodstavce"/>
    <w:link w:val="Zpat"/>
    <w:uiPriority w:val="99"/>
    <w:qFormat/>
    <w:rsid w:val="007073A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073A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qFormat/>
    <w:rsid w:val="00F5618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5618C"/>
    <w:rPr>
      <w:b/>
      <w:bCs/>
      <w:i w:val="0"/>
      <w:iCs w:val="0"/>
    </w:rPr>
  </w:style>
  <w:style w:type="character" w:customStyle="1" w:styleId="nowrap">
    <w:name w:val="nowrap"/>
    <w:basedOn w:val="Standardnpsmoodstavce"/>
    <w:qFormat/>
    <w:rsid w:val="00F5618C"/>
  </w:style>
  <w:style w:type="character" w:styleId="Hypertextovodkaz">
    <w:name w:val="Hyperlink"/>
    <w:basedOn w:val="Standardnpsmoodstavce"/>
    <w:uiPriority w:val="99"/>
    <w:unhideWhenUsed/>
    <w:rsid w:val="00D16DA4"/>
    <w:rPr>
      <w:color w:val="0000FF"/>
      <w:u w:val="single"/>
    </w:rPr>
  </w:style>
  <w:style w:type="character" w:customStyle="1" w:styleId="highlight">
    <w:name w:val="highlight"/>
    <w:basedOn w:val="Standardnpsmoodstavce"/>
    <w:qFormat/>
    <w:rsid w:val="00CC7D93"/>
  </w:style>
  <w:style w:type="character" w:customStyle="1" w:styleId="NumberingSymbols">
    <w:name w:val="Numbering Symbols"/>
    <w:qFormat/>
  </w:style>
  <w:style w:type="character" w:customStyle="1" w:styleId="Variable">
    <w:name w:val="Variable"/>
    <w:qFormat/>
    <w:rPr>
      <w:i/>
      <w:i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561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C74FB7"/>
    <w:pPr>
      <w:ind w:left="720"/>
      <w:contextualSpacing/>
    </w:pPr>
  </w:style>
  <w:style w:type="paragraph" w:customStyle="1" w:styleId="Bodytext1">
    <w:name w:val="Body text1"/>
    <w:basedOn w:val="Normln"/>
    <w:link w:val="Bodytext"/>
    <w:uiPriority w:val="99"/>
    <w:qFormat/>
    <w:rsid w:val="00CD0847"/>
    <w:pPr>
      <w:widowControl w:val="0"/>
      <w:spacing w:before="600" w:after="0" w:line="274" w:lineRule="exact"/>
      <w:ind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073A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073A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073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mstd">
    <w:name w:val="mm std."/>
    <w:basedOn w:val="Normln"/>
    <w:qFormat/>
    <w:rsid w:val="003A1914"/>
    <w:pPr>
      <w:spacing w:before="60" w:after="60" w:line="180" w:lineRule="atLeast"/>
      <w:ind w:firstLine="425"/>
      <w:jc w:val="both"/>
    </w:pPr>
    <w:rPr>
      <w:rFonts w:ascii="Garamond" w:eastAsia="Times New Roman" w:hAnsi="Garamond" w:cs="Times New Roman"/>
      <w:sz w:val="26"/>
      <w:szCs w:val="20"/>
    </w:rPr>
  </w:style>
  <w:style w:type="paragraph" w:customStyle="1" w:styleId="NormlnGaramond">
    <w:name w:val="Normální + Garamond"/>
    <w:basedOn w:val="Normln"/>
    <w:qFormat/>
    <w:rsid w:val="00410E3D"/>
    <w:pPr>
      <w:tabs>
        <w:tab w:val="left" w:pos="360"/>
      </w:tabs>
      <w:spacing w:after="0" w:line="240" w:lineRule="auto"/>
      <w:ind w:left="360" w:hanging="360"/>
      <w:jc w:val="both"/>
    </w:pPr>
    <w:rPr>
      <w:rFonts w:ascii="Garamond" w:eastAsia="Times New Roman" w:hAnsi="Garamond" w:cs="Times New Roman"/>
      <w:sz w:val="26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C732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1">
    <w:name w:val="Základní text1"/>
    <w:basedOn w:val="Normln"/>
    <w:qFormat/>
    <w:rsid w:val="00D0025D"/>
    <w:pPr>
      <w:spacing w:after="0" w:line="22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vodnn">
    <w:name w:val="Text odůvodnění"/>
    <w:basedOn w:val="Normln"/>
    <w:qFormat/>
    <w:pPr>
      <w:numPr>
        <w:numId w:val="2"/>
      </w:numPr>
    </w:pPr>
    <w:rPr>
      <w:lang w:eastAsia="en-US" w:bidi="en-US"/>
    </w:rPr>
  </w:style>
  <w:style w:type="paragraph" w:customStyle="1" w:styleId="Odstavec">
    <w:name w:val="Odstavec"/>
    <w:basedOn w:val="Zkladntext"/>
    <w:rsid w:val="006442C1"/>
    <w:pPr>
      <w:widowControl w:val="0"/>
      <w:suppressAutoHyphens w:val="0"/>
      <w:spacing w:after="115"/>
      <w:ind w:firstLine="480"/>
    </w:pPr>
    <w:rPr>
      <w:rFonts w:ascii="Arial" w:hAnsi="Arial"/>
      <w:noProof/>
      <w:sz w:val="24"/>
      <w:szCs w:val="20"/>
    </w:rPr>
  </w:style>
  <w:style w:type="paragraph" w:customStyle="1" w:styleId="R-oficilntext">
    <w:name w:val="R-oficiální text"/>
    <w:basedOn w:val="Normln"/>
    <w:link w:val="R-oficilntextChar"/>
    <w:qFormat/>
    <w:rsid w:val="00DC22C8"/>
    <w:pPr>
      <w:numPr>
        <w:numId w:val="10"/>
      </w:numPr>
      <w:suppressAutoHyphens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R-oficilntextChar">
    <w:name w:val="R-oficiální text Char"/>
    <w:basedOn w:val="Standardnpsmoodstavce"/>
    <w:link w:val="R-oficilntext"/>
    <w:rsid w:val="00DC22C8"/>
    <w:rPr>
      <w:rFonts w:ascii="Garamond" w:eastAsia="Times New Roman" w:hAnsi="Garamond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739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90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E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02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9D2432C90FF54686E01B26E40AA861" ma:contentTypeVersion="0" ma:contentTypeDescription="Vytvoří nový dokument" ma:contentTypeScope="" ma:versionID="39d76f62e13af19f95ed609b8ce135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DA10E-0B40-4936-BC76-B624BAA00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2E3CB-F02C-4E21-9BF8-6A194B9D1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2CE3C-D79B-4B28-94F0-8527ADAF2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00A77-7894-409B-A739-918FA3B8C6C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5424</Words>
  <Characters>32002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2023-05-10T15:30:00Z</dcterms:created>
  <dcterms:modified xsi:type="dcterms:W3CDTF">2023-05-10T19:55:00Z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LinksUpToDate">
    <vt:bool>false</vt:bool>
  </property>
  <property fmtid="{D5CDD505-2E9C-101B-9397-08002B2CF9AE}" pid="4" name="AppVersion">
    <vt:lpwstr>14.0000</vt:lpwstr>
  </property>
  <property fmtid="{D5CDD505-2E9C-101B-9397-08002B2CF9AE}" pid="5" name="ContentTypeId">
    <vt:lpwstr>0x0101000A9D2432C90FF54686E01B26E40AA861</vt:lpwstr>
  </property>
  <property fmtid="{D5CDD505-2E9C-101B-9397-08002B2CF9AE}" pid="6" name="ShareDoc">
    <vt:bool>false</vt:bool>
  </property>
  <property fmtid="{D5CDD505-2E9C-101B-9397-08002B2CF9AE}" pid="7" name="Company">
    <vt:lpwstr>MSP ČR</vt:lpwstr>
  </property>
  <property fmtid="{D5CDD505-2E9C-101B-9397-08002B2CF9AE}" pid="8" name="HyperlinksChanged">
    <vt:bool>false</vt:bool>
  </property>
  <property fmtid="{D5CDD505-2E9C-101B-9397-08002B2CF9AE}" pid="9" name="ScaleCrop">
    <vt:bool>false</vt:bool>
  </property>
</Properties>
</file>